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77B2A" w14:textId="77777777" w:rsidR="00BE1E74" w:rsidRDefault="00BE1E74">
      <w:pPr>
        <w:spacing w:after="280" w:line="240" w:lineRule="auto"/>
        <w:ind w:firstLine="3402"/>
        <w:jc w:val="center"/>
        <w:rPr>
          <w:rFonts w:ascii="Arial" w:eastAsia="Arial" w:hAnsi="Arial" w:cs="Arial"/>
          <w:b/>
          <w:bCs/>
          <w:sz w:val="24"/>
          <w:szCs w:val="24"/>
        </w:rPr>
      </w:pPr>
    </w:p>
    <w:p w14:paraId="5FCCF656" w14:textId="77777777" w:rsidR="00BE1E74" w:rsidRDefault="00D330BE">
      <w:pPr>
        <w:spacing w:after="280" w:line="240" w:lineRule="auto"/>
        <w:ind w:firstLine="3402"/>
        <w:jc w:val="center"/>
        <w:rPr>
          <w:rFonts w:ascii="Arial" w:eastAsia="Arial" w:hAnsi="Arial" w:cs="Arial"/>
          <w:b/>
          <w:sz w:val="24"/>
          <w:szCs w:val="24"/>
        </w:rPr>
      </w:pPr>
      <w:r>
        <w:rPr>
          <w:rFonts w:ascii="Arial" w:eastAsia="Arial" w:hAnsi="Arial" w:cs="Arial"/>
          <w:b/>
          <w:sz w:val="24"/>
          <w:szCs w:val="24"/>
        </w:rPr>
        <w:t>PROCEDIMIENTO ESPECIAL</w:t>
      </w:r>
    </w:p>
    <w:p w14:paraId="551339A7" w14:textId="77777777" w:rsidR="00BE1E74" w:rsidRDefault="00D330BE">
      <w:pPr>
        <w:spacing w:after="280" w:line="240" w:lineRule="auto"/>
        <w:ind w:firstLine="3402"/>
        <w:jc w:val="center"/>
        <w:rPr>
          <w:rFonts w:ascii="Arial" w:eastAsia="Arial" w:hAnsi="Arial" w:cs="Arial"/>
          <w:b/>
          <w:sz w:val="24"/>
          <w:szCs w:val="24"/>
        </w:rPr>
      </w:pPr>
      <w:r>
        <w:rPr>
          <w:rFonts w:ascii="Arial" w:eastAsia="Arial" w:hAnsi="Arial" w:cs="Arial"/>
          <w:b/>
          <w:sz w:val="24"/>
          <w:szCs w:val="24"/>
        </w:rPr>
        <w:t>SANCIONADOR</w:t>
      </w:r>
    </w:p>
    <w:p w14:paraId="5D979189" w14:textId="77777777" w:rsidR="00BE1E74" w:rsidRDefault="00D330BE">
      <w:pPr>
        <w:spacing w:before="280" w:after="280" w:line="240" w:lineRule="auto"/>
        <w:ind w:left="3401"/>
        <w:jc w:val="both"/>
        <w:rPr>
          <w:rFonts w:ascii="Arial" w:eastAsia="Arial" w:hAnsi="Arial" w:cs="Arial"/>
          <w:sz w:val="24"/>
          <w:szCs w:val="24"/>
        </w:rPr>
      </w:pPr>
      <w:r>
        <w:rPr>
          <w:rFonts w:ascii="Arial" w:eastAsia="Arial" w:hAnsi="Arial" w:cs="Arial"/>
          <w:b/>
          <w:sz w:val="24"/>
          <w:szCs w:val="24"/>
        </w:rPr>
        <w:t>EXPEDIENTE:</w:t>
      </w:r>
      <w:r>
        <w:rPr>
          <w:rFonts w:ascii="Arial" w:eastAsia="Arial" w:hAnsi="Arial" w:cs="Arial"/>
          <w:sz w:val="24"/>
          <w:szCs w:val="24"/>
        </w:rPr>
        <w:t xml:space="preserve"> TEEM-PES-021/2026</w:t>
      </w:r>
    </w:p>
    <w:p w14:paraId="1AB714C1" w14:textId="77777777" w:rsidR="00BE1E74" w:rsidRDefault="00D330BE">
      <w:pPr>
        <w:spacing w:before="280" w:after="280" w:line="240" w:lineRule="auto"/>
        <w:ind w:left="3401"/>
        <w:jc w:val="both"/>
        <w:rPr>
          <w:rFonts w:ascii="Arial" w:eastAsia="Arial" w:hAnsi="Arial" w:cs="Arial"/>
          <w:b/>
          <w:sz w:val="24"/>
          <w:szCs w:val="24"/>
        </w:rPr>
      </w:pPr>
      <w:r>
        <w:rPr>
          <w:rFonts w:ascii="Arial" w:eastAsia="Arial" w:hAnsi="Arial" w:cs="Arial"/>
          <w:b/>
          <w:sz w:val="24"/>
          <w:szCs w:val="24"/>
        </w:rPr>
        <w:t xml:space="preserve">DENUNCIANTE: </w:t>
      </w:r>
      <w:r>
        <w:rPr>
          <w:rFonts w:ascii="Arial" w:eastAsia="Arial" w:hAnsi="Arial" w:cs="Arial"/>
          <w:sz w:val="24"/>
          <w:szCs w:val="24"/>
        </w:rPr>
        <w:t>EMMA CASTOLO CALDERÓN</w:t>
      </w:r>
    </w:p>
    <w:p w14:paraId="7CA3FDBC" w14:textId="77777777" w:rsidR="00BE1E74" w:rsidRDefault="00D330BE">
      <w:pPr>
        <w:spacing w:before="280" w:after="280" w:line="240" w:lineRule="auto"/>
        <w:ind w:left="3401"/>
        <w:jc w:val="both"/>
        <w:rPr>
          <w:rFonts w:ascii="Arial" w:eastAsia="Arial" w:hAnsi="Arial" w:cs="Arial"/>
          <w:sz w:val="24"/>
          <w:szCs w:val="24"/>
        </w:rPr>
      </w:pPr>
      <w:r>
        <w:rPr>
          <w:rFonts w:ascii="Arial" w:eastAsia="Arial" w:hAnsi="Arial" w:cs="Arial"/>
          <w:b/>
          <w:sz w:val="24"/>
          <w:szCs w:val="24"/>
        </w:rPr>
        <w:t xml:space="preserve">DENUNCIADOS: </w:t>
      </w:r>
      <w:r>
        <w:rPr>
          <w:rFonts w:ascii="Arial" w:eastAsia="Arial" w:hAnsi="Arial" w:cs="Arial"/>
          <w:sz w:val="24"/>
          <w:szCs w:val="24"/>
        </w:rPr>
        <w:t>MARCO POLO AGUIRRE CHÁVEZ Y MORENA</w:t>
      </w:r>
    </w:p>
    <w:p w14:paraId="3A4A1C65" w14:textId="77777777" w:rsidR="00BE1E74" w:rsidRDefault="00D330BE">
      <w:pPr>
        <w:spacing w:before="280" w:after="280" w:line="240" w:lineRule="auto"/>
        <w:ind w:left="3401"/>
        <w:jc w:val="both"/>
        <w:rPr>
          <w:rFonts w:ascii="Arial" w:eastAsia="Arial" w:hAnsi="Arial" w:cs="Arial"/>
          <w:sz w:val="24"/>
          <w:szCs w:val="24"/>
        </w:rPr>
      </w:pPr>
      <w:r>
        <w:rPr>
          <w:rFonts w:ascii="Arial" w:eastAsia="Arial" w:hAnsi="Arial" w:cs="Arial"/>
          <w:b/>
          <w:sz w:val="24"/>
          <w:szCs w:val="24"/>
        </w:rPr>
        <w:t>AUTORIDAD INSTRUCTORA:</w:t>
      </w:r>
      <w:r>
        <w:rPr>
          <w:rFonts w:ascii="Arial" w:eastAsia="Arial" w:hAnsi="Arial" w:cs="Arial"/>
          <w:sz w:val="24"/>
          <w:szCs w:val="24"/>
        </w:rPr>
        <w:t xml:space="preserve"> INSTITUTO ELECTORAL DE MICHOACÁN</w:t>
      </w:r>
    </w:p>
    <w:p w14:paraId="48301559" w14:textId="77777777" w:rsidR="00BE1E74" w:rsidRDefault="00D330BE">
      <w:pPr>
        <w:spacing w:before="280" w:after="280" w:line="240" w:lineRule="auto"/>
        <w:ind w:left="3401"/>
        <w:jc w:val="both"/>
        <w:rPr>
          <w:rFonts w:ascii="Arial" w:eastAsia="Arial" w:hAnsi="Arial" w:cs="Arial"/>
          <w:sz w:val="24"/>
          <w:szCs w:val="24"/>
        </w:rPr>
      </w:pPr>
      <w:r>
        <w:rPr>
          <w:rFonts w:ascii="Arial" w:eastAsia="Arial" w:hAnsi="Arial" w:cs="Arial"/>
          <w:b/>
          <w:sz w:val="24"/>
          <w:szCs w:val="24"/>
        </w:rPr>
        <w:t xml:space="preserve">MAGISTRADA: </w:t>
      </w:r>
      <w:r>
        <w:rPr>
          <w:rFonts w:ascii="Arial" w:eastAsia="Arial" w:hAnsi="Arial" w:cs="Arial"/>
          <w:sz w:val="24"/>
          <w:szCs w:val="24"/>
        </w:rPr>
        <w:t>ALMA ROSA BAHENA VILLALOBOS</w:t>
      </w:r>
    </w:p>
    <w:p w14:paraId="77AFDC2F" w14:textId="599DB921" w:rsidR="00BE1E74" w:rsidRDefault="00D330BE">
      <w:pPr>
        <w:spacing w:before="280" w:after="280" w:line="240" w:lineRule="auto"/>
        <w:ind w:left="3401"/>
        <w:jc w:val="both"/>
        <w:rPr>
          <w:rFonts w:ascii="Arial" w:eastAsia="Arial" w:hAnsi="Arial" w:cs="Arial"/>
          <w:sz w:val="25"/>
          <w:szCs w:val="25"/>
        </w:rPr>
      </w:pPr>
      <w:r>
        <w:rPr>
          <w:rFonts w:ascii="Arial" w:eastAsia="Arial" w:hAnsi="Arial" w:cs="Arial"/>
          <w:b/>
          <w:sz w:val="24"/>
          <w:szCs w:val="24"/>
        </w:rPr>
        <w:t xml:space="preserve">SECRETARIA </w:t>
      </w:r>
      <w:r>
        <w:rPr>
          <w:rFonts w:ascii="Arial" w:eastAsia="Arial" w:hAnsi="Arial" w:cs="Arial"/>
          <w:b/>
          <w:sz w:val="24"/>
          <w:szCs w:val="24"/>
        </w:rPr>
        <w:tab/>
        <w:t>INSTRUCTORA Y PROYECTISTA:</w:t>
      </w:r>
      <w:r>
        <w:rPr>
          <w:rFonts w:ascii="Arial" w:eastAsia="Arial" w:hAnsi="Arial" w:cs="Arial"/>
          <w:sz w:val="24"/>
          <w:szCs w:val="24"/>
        </w:rPr>
        <w:t xml:space="preserve"> SANDRA YÉPEZ CARRANZA </w:t>
      </w:r>
    </w:p>
    <w:p w14:paraId="309EE3A6" w14:textId="77777777" w:rsidR="00BE1E74" w:rsidRDefault="00D330BE">
      <w:pPr>
        <w:spacing w:before="280" w:after="280" w:line="240" w:lineRule="auto"/>
        <w:ind w:left="3401"/>
        <w:jc w:val="both"/>
        <w:rPr>
          <w:rFonts w:ascii="Arial" w:eastAsia="Arial" w:hAnsi="Arial" w:cs="Arial"/>
          <w:sz w:val="24"/>
          <w:szCs w:val="24"/>
        </w:rPr>
      </w:pPr>
      <w:r>
        <w:rPr>
          <w:rFonts w:ascii="Arial" w:eastAsia="Arial" w:hAnsi="Arial" w:cs="Arial"/>
          <w:b/>
          <w:sz w:val="24"/>
          <w:szCs w:val="24"/>
        </w:rPr>
        <w:t xml:space="preserve">COLABORÓ: </w:t>
      </w:r>
      <w:r>
        <w:rPr>
          <w:rFonts w:ascii="Arial" w:eastAsia="Arial" w:hAnsi="Arial" w:cs="Arial"/>
          <w:sz w:val="24"/>
          <w:szCs w:val="24"/>
        </w:rPr>
        <w:t>MANUEL CHAMORRO DELGADO</w:t>
      </w:r>
    </w:p>
    <w:p w14:paraId="641F9F23" w14:textId="77777777" w:rsidR="00BE1E74" w:rsidRDefault="00BE1E74">
      <w:pPr>
        <w:spacing w:after="0" w:line="240" w:lineRule="auto"/>
        <w:ind w:left="2835" w:hanging="2835"/>
        <w:rPr>
          <w:rFonts w:ascii="Arial" w:eastAsia="Arial" w:hAnsi="Arial" w:cs="Arial"/>
          <w:sz w:val="24"/>
          <w:szCs w:val="24"/>
        </w:rPr>
      </w:pPr>
    </w:p>
    <w:p w14:paraId="2C28DCC1" w14:textId="453D6B68" w:rsidR="00BE1E74" w:rsidRDefault="00D330BE">
      <w:pPr>
        <w:spacing w:after="0" w:line="240" w:lineRule="auto"/>
        <w:ind w:left="2835" w:hanging="2835"/>
        <w:jc w:val="right"/>
        <w:rPr>
          <w:rFonts w:ascii="Arial" w:eastAsia="Arial" w:hAnsi="Arial" w:cs="Arial"/>
          <w:sz w:val="24"/>
          <w:szCs w:val="24"/>
        </w:rPr>
      </w:pPr>
      <w:r>
        <w:rPr>
          <w:rFonts w:ascii="Arial" w:eastAsia="Arial" w:hAnsi="Arial" w:cs="Arial"/>
          <w:sz w:val="24"/>
          <w:szCs w:val="24"/>
        </w:rPr>
        <w:t xml:space="preserve">Morelia, Michoacán, </w:t>
      </w:r>
      <w:r w:rsidRPr="005D4B69">
        <w:rPr>
          <w:rFonts w:ascii="Arial" w:eastAsia="Arial" w:hAnsi="Arial" w:cs="Arial"/>
          <w:sz w:val="24"/>
          <w:szCs w:val="24"/>
        </w:rPr>
        <w:t xml:space="preserve">a </w:t>
      </w:r>
      <w:r w:rsidR="005D4B69" w:rsidRPr="005D4B69">
        <w:rPr>
          <w:rFonts w:ascii="Arial" w:eastAsia="Arial" w:hAnsi="Arial" w:cs="Arial"/>
          <w:sz w:val="24"/>
          <w:szCs w:val="24"/>
        </w:rPr>
        <w:t xml:space="preserve">ocho </w:t>
      </w:r>
      <w:r w:rsidRPr="005D4B69">
        <w:rPr>
          <w:rFonts w:ascii="Arial" w:eastAsia="Arial" w:hAnsi="Arial" w:cs="Arial"/>
          <w:sz w:val="24"/>
          <w:szCs w:val="24"/>
        </w:rPr>
        <w:t>de octubre de</w:t>
      </w:r>
      <w:r>
        <w:rPr>
          <w:rFonts w:ascii="Arial" w:eastAsia="Arial" w:hAnsi="Arial" w:cs="Arial"/>
          <w:sz w:val="24"/>
          <w:szCs w:val="24"/>
        </w:rPr>
        <w:t xml:space="preserve"> dos mil veintiséis</w:t>
      </w:r>
      <w:r>
        <w:rPr>
          <w:rStyle w:val="Refdenotaalpie"/>
          <w:rFonts w:ascii="Arial" w:eastAsia="Arial" w:hAnsi="Arial" w:cs="Arial"/>
          <w:sz w:val="24"/>
          <w:szCs w:val="24"/>
        </w:rPr>
        <w:footnoteReference w:id="2"/>
      </w:r>
      <w:r>
        <w:rPr>
          <w:rFonts w:ascii="Arial" w:eastAsia="Arial" w:hAnsi="Arial" w:cs="Arial"/>
          <w:sz w:val="24"/>
          <w:szCs w:val="24"/>
        </w:rPr>
        <w:t>.</w:t>
      </w:r>
    </w:p>
    <w:p w14:paraId="36A9A631" w14:textId="77777777" w:rsidR="00BE1E74" w:rsidRDefault="00BE1E74">
      <w:pPr>
        <w:spacing w:after="0" w:line="240" w:lineRule="auto"/>
        <w:ind w:left="2835" w:hanging="2409"/>
        <w:jc w:val="center"/>
        <w:rPr>
          <w:rFonts w:ascii="Arial" w:eastAsia="Arial" w:hAnsi="Arial" w:cs="Arial"/>
          <w:sz w:val="24"/>
          <w:szCs w:val="24"/>
        </w:rPr>
      </w:pPr>
    </w:p>
    <w:p w14:paraId="2559639E" w14:textId="77777777" w:rsidR="00BE1E74" w:rsidRDefault="00D330BE">
      <w:pPr>
        <w:pStyle w:val="NormalWeb"/>
        <w:spacing w:before="240" w:beforeAutospacing="0" w:after="0" w:afterAutospacing="0" w:line="360" w:lineRule="auto"/>
        <w:jc w:val="both"/>
        <w:textAlignment w:val="baseline"/>
        <w:rPr>
          <w:rFonts w:ascii="Arial" w:hAnsi="Arial" w:cs="Arial"/>
        </w:rPr>
      </w:pPr>
      <w:r>
        <w:rPr>
          <w:rFonts w:ascii="Arial" w:eastAsia="Arial" w:hAnsi="Arial" w:cs="Arial"/>
          <w:b/>
        </w:rPr>
        <w:t xml:space="preserve">Sentencia </w:t>
      </w:r>
      <w:r>
        <w:rPr>
          <w:rFonts w:ascii="Arial" w:eastAsia="Arial" w:hAnsi="Arial" w:cs="Arial"/>
        </w:rPr>
        <w:t xml:space="preserve">que determina: </w:t>
      </w:r>
      <w:r>
        <w:rPr>
          <w:rFonts w:ascii="Arial" w:eastAsia="Arial" w:hAnsi="Arial" w:cs="Arial"/>
          <w:b/>
          <w:bCs/>
        </w:rPr>
        <w:t>I.</w:t>
      </w:r>
      <w:r>
        <w:rPr>
          <w:rFonts w:ascii="Arial" w:eastAsia="Arial" w:hAnsi="Arial" w:cs="Arial"/>
          <w:b/>
        </w:rPr>
        <w:t xml:space="preserve"> </w:t>
      </w:r>
      <w:r>
        <w:rPr>
          <w:rFonts w:ascii="Arial" w:eastAsia="Arial" w:hAnsi="Arial" w:cs="Arial"/>
        </w:rPr>
        <w:t>La</w:t>
      </w:r>
      <w:r>
        <w:rPr>
          <w:rFonts w:ascii="Arial" w:eastAsia="Arial" w:hAnsi="Arial" w:cs="Arial"/>
          <w:b/>
        </w:rPr>
        <w:t xml:space="preserve"> i</w:t>
      </w:r>
      <w:r>
        <w:rPr>
          <w:rFonts w:ascii="Arial" w:eastAsia="Arial" w:hAnsi="Arial" w:cs="Arial"/>
          <w:b/>
          <w:color w:val="000000"/>
        </w:rPr>
        <w:t xml:space="preserve">nexistencia </w:t>
      </w:r>
      <w:r>
        <w:rPr>
          <w:rFonts w:ascii="Arial" w:eastAsia="Arial" w:hAnsi="Arial" w:cs="Arial"/>
          <w:color w:val="000000"/>
        </w:rPr>
        <w:t>de la infracci</w:t>
      </w:r>
      <w:r>
        <w:rPr>
          <w:rFonts w:ascii="Arial" w:eastAsia="Arial" w:hAnsi="Arial" w:cs="Arial"/>
        </w:rPr>
        <w:t xml:space="preserve">ón atribuida a los denunciados, </w:t>
      </w:r>
      <w:r>
        <w:rPr>
          <w:rFonts w:ascii="Arial" w:eastAsia="Arial" w:hAnsi="Arial" w:cs="Arial"/>
          <w:color w:val="000000"/>
        </w:rPr>
        <w:t>consistente en</w:t>
      </w:r>
      <w:r>
        <w:rPr>
          <w:rFonts w:ascii="Arial" w:eastAsia="Arial" w:hAnsi="Arial" w:cs="Arial"/>
        </w:rPr>
        <w:t xml:space="preserve"> colocación de propaganda política en inmueble particular sin autorización; </w:t>
      </w:r>
      <w:r w:rsidRPr="005D4B69">
        <w:rPr>
          <w:rFonts w:ascii="Arial" w:eastAsia="Arial" w:hAnsi="Arial" w:cs="Arial"/>
          <w:b/>
          <w:bCs/>
        </w:rPr>
        <w:t>II.</w:t>
      </w:r>
      <w:r>
        <w:rPr>
          <w:rFonts w:ascii="Arial" w:eastAsia="Arial" w:hAnsi="Arial" w:cs="Arial"/>
        </w:rPr>
        <w:t xml:space="preserve"> </w:t>
      </w:r>
      <w:r>
        <w:rPr>
          <w:rFonts w:ascii="Arial" w:hAnsi="Arial" w:cs="Arial"/>
        </w:rPr>
        <w:t xml:space="preserve">Dejar a </w:t>
      </w:r>
      <w:r>
        <w:rPr>
          <w:rFonts w:ascii="Arial" w:hAnsi="Arial" w:cs="Arial"/>
          <w:b/>
          <w:bCs/>
        </w:rPr>
        <w:t>salvo los derechos</w:t>
      </w:r>
      <w:r>
        <w:rPr>
          <w:rFonts w:ascii="Arial" w:hAnsi="Arial" w:cs="Arial"/>
        </w:rPr>
        <w:t xml:space="preserve"> de la denunciante, conforme a lo señalado en la sentencia.</w:t>
      </w:r>
    </w:p>
    <w:p w14:paraId="714F789D" w14:textId="77777777" w:rsidR="00BE1E74" w:rsidRDefault="00D330BE">
      <w:pPr>
        <w:pStyle w:val="TtuloTDC"/>
        <w:jc w:val="center"/>
        <w:rPr>
          <w:rFonts w:ascii="Arial Narrow" w:eastAsia="Arial" w:hAnsi="Arial Narrow" w:cs="Arial"/>
          <w:b/>
          <w:color w:val="auto"/>
          <w:sz w:val="20"/>
          <w:szCs w:val="20"/>
        </w:rPr>
      </w:pPr>
      <w:r>
        <w:rPr>
          <w:rFonts w:ascii="Arial Narrow" w:eastAsia="Arial" w:hAnsi="Arial Narrow" w:cs="Arial"/>
          <w:b/>
          <w:color w:val="auto"/>
          <w:sz w:val="20"/>
          <w:szCs w:val="20"/>
        </w:rPr>
        <w:t>CONTENIDO</w:t>
      </w:r>
    </w:p>
    <w:sdt>
      <w:sdtPr>
        <w:rPr>
          <w:rFonts w:ascii="Arial Narrow" w:hAnsi="Arial Narrow"/>
          <w:sz w:val="20"/>
          <w:szCs w:val="20"/>
          <w:lang w:val="es-ES"/>
        </w:rPr>
        <w:id w:val="-749195211"/>
        <w:docPartObj>
          <w:docPartGallery w:val="Table of Contents"/>
          <w:docPartUnique/>
        </w:docPartObj>
      </w:sdtPr>
      <w:sdtEndPr>
        <w:rPr>
          <w:b/>
          <w:bCs/>
        </w:rPr>
      </w:sdtEndPr>
      <w:sdtContent>
        <w:p w14:paraId="10D32589" w14:textId="77777777" w:rsidR="00BE1E74" w:rsidRDefault="00BE1E74">
          <w:pPr>
            <w:spacing w:after="0" w:line="240" w:lineRule="auto"/>
            <w:ind w:left="2835" w:hanging="2409"/>
            <w:jc w:val="center"/>
            <w:rPr>
              <w:rFonts w:ascii="Arial Narrow" w:hAnsi="Arial Narrow"/>
              <w:sz w:val="20"/>
              <w:szCs w:val="20"/>
            </w:rPr>
          </w:pPr>
        </w:p>
        <w:p w14:paraId="1673E373" w14:textId="1A756DEE" w:rsidR="00756B64" w:rsidRPr="00756B64" w:rsidRDefault="00D330BE">
          <w:pPr>
            <w:pStyle w:val="TDC2"/>
            <w:rPr>
              <w:rFonts w:asciiTheme="minorHAnsi" w:eastAsiaTheme="minorEastAsia" w:hAnsiTheme="minorHAnsi" w:cstheme="minorBidi"/>
              <w:b w:val="0"/>
              <w:bCs w:val="0"/>
              <w:kern w:val="2"/>
              <w:sz w:val="18"/>
              <w:szCs w:val="18"/>
              <w14:ligatures w14:val="standardContextual"/>
            </w:rPr>
          </w:pPr>
          <w:r>
            <w:rPr>
              <w:rFonts w:ascii="Arial Narrow" w:hAnsi="Arial Narrow"/>
              <w:b w:val="0"/>
              <w:bCs w:val="0"/>
            </w:rPr>
            <w:fldChar w:fldCharType="begin"/>
          </w:r>
          <w:r>
            <w:rPr>
              <w:rFonts w:ascii="Arial Narrow" w:hAnsi="Arial Narrow"/>
              <w:b w:val="0"/>
              <w:bCs w:val="0"/>
            </w:rPr>
            <w:instrText xml:space="preserve"> TOC \o "1-3" \h \z \u </w:instrText>
          </w:r>
          <w:r>
            <w:rPr>
              <w:rFonts w:ascii="Arial Narrow" w:hAnsi="Arial Narrow"/>
              <w:b w:val="0"/>
              <w:bCs w:val="0"/>
            </w:rPr>
            <w:fldChar w:fldCharType="separate"/>
          </w:r>
          <w:hyperlink w:anchor="_Toc242354036" w:history="1">
            <w:r w:rsidR="00756B64" w:rsidRPr="00756B64">
              <w:rPr>
                <w:rStyle w:val="Hipervnculo"/>
                <w:rFonts w:ascii="Arial Narrow" w:eastAsia="Arial" w:hAnsi="Arial Narrow"/>
                <w:sz w:val="18"/>
                <w:szCs w:val="18"/>
              </w:rPr>
              <w:t>GLOSARIO</w:t>
            </w:r>
            <w:r w:rsidR="00756B64" w:rsidRPr="00756B64">
              <w:rPr>
                <w:webHidden/>
                <w:sz w:val="18"/>
                <w:szCs w:val="18"/>
              </w:rPr>
              <w:tab/>
            </w:r>
            <w:r w:rsidR="00756B64" w:rsidRPr="00756B64">
              <w:rPr>
                <w:webHidden/>
                <w:sz w:val="18"/>
                <w:szCs w:val="18"/>
              </w:rPr>
              <w:fldChar w:fldCharType="begin"/>
            </w:r>
            <w:r w:rsidR="00756B64" w:rsidRPr="00756B64">
              <w:rPr>
                <w:webHidden/>
                <w:sz w:val="18"/>
                <w:szCs w:val="18"/>
              </w:rPr>
              <w:instrText xml:space="preserve"> PAGEREF _Toc242354036 \h </w:instrText>
            </w:r>
            <w:r w:rsidR="00756B64" w:rsidRPr="00756B64">
              <w:rPr>
                <w:webHidden/>
                <w:sz w:val="18"/>
                <w:szCs w:val="18"/>
              </w:rPr>
            </w:r>
            <w:r w:rsidR="00756B64" w:rsidRPr="00756B64">
              <w:rPr>
                <w:webHidden/>
                <w:sz w:val="18"/>
                <w:szCs w:val="18"/>
              </w:rPr>
              <w:fldChar w:fldCharType="separate"/>
            </w:r>
            <w:r w:rsidR="00756B64" w:rsidRPr="00756B64">
              <w:rPr>
                <w:webHidden/>
                <w:sz w:val="18"/>
                <w:szCs w:val="18"/>
              </w:rPr>
              <w:t>2</w:t>
            </w:r>
            <w:r w:rsidR="00756B64" w:rsidRPr="00756B64">
              <w:rPr>
                <w:webHidden/>
                <w:sz w:val="18"/>
                <w:szCs w:val="18"/>
              </w:rPr>
              <w:fldChar w:fldCharType="end"/>
            </w:r>
          </w:hyperlink>
        </w:p>
        <w:p w14:paraId="76E97B4E" w14:textId="778F0093"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37" w:history="1">
            <w:r w:rsidRPr="00756B64">
              <w:rPr>
                <w:rStyle w:val="Hipervnculo"/>
                <w:rFonts w:ascii="Arial" w:hAnsi="Arial"/>
                <w:sz w:val="18"/>
                <w:szCs w:val="18"/>
              </w:rPr>
              <w:t>I. ANTECEDENTES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_Toc242354037 \h </w:instrText>
            </w:r>
            <w:r w:rsidRPr="00756B64">
              <w:rPr>
                <w:webHidden/>
                <w:sz w:val="18"/>
                <w:szCs w:val="18"/>
              </w:rPr>
            </w:r>
            <w:r w:rsidRPr="00756B64">
              <w:rPr>
                <w:webHidden/>
                <w:sz w:val="18"/>
                <w:szCs w:val="18"/>
              </w:rPr>
              <w:fldChar w:fldCharType="separate"/>
            </w:r>
            <w:r w:rsidRPr="00756B64">
              <w:rPr>
                <w:webHidden/>
                <w:sz w:val="18"/>
                <w:szCs w:val="18"/>
              </w:rPr>
              <w:t>2</w:t>
            </w:r>
            <w:r w:rsidRPr="00756B64">
              <w:rPr>
                <w:webHidden/>
                <w:sz w:val="18"/>
                <w:szCs w:val="18"/>
              </w:rPr>
              <w:fldChar w:fldCharType="end"/>
            </w:r>
          </w:hyperlink>
        </w:p>
        <w:p w14:paraId="762C58F1" w14:textId="1D484A62"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38" w:history="1">
            <w:r w:rsidRPr="00756B64">
              <w:rPr>
                <w:rStyle w:val="Hipervnculo"/>
                <w:rFonts w:ascii="Arial" w:hAnsi="Arial"/>
                <w:sz w:val="18"/>
                <w:szCs w:val="18"/>
              </w:rPr>
              <w:t>II. COMPETENCIA</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_Toc242354038 \h </w:instrText>
            </w:r>
            <w:r w:rsidRPr="00756B64">
              <w:rPr>
                <w:webHidden/>
                <w:sz w:val="18"/>
                <w:szCs w:val="18"/>
              </w:rPr>
            </w:r>
            <w:r w:rsidRPr="00756B64">
              <w:rPr>
                <w:webHidden/>
                <w:sz w:val="18"/>
                <w:szCs w:val="18"/>
              </w:rPr>
              <w:fldChar w:fldCharType="separate"/>
            </w:r>
            <w:r w:rsidRPr="00756B64">
              <w:rPr>
                <w:webHidden/>
                <w:sz w:val="18"/>
                <w:szCs w:val="18"/>
              </w:rPr>
              <w:t>4</w:t>
            </w:r>
            <w:r w:rsidRPr="00756B64">
              <w:rPr>
                <w:webHidden/>
                <w:sz w:val="18"/>
                <w:szCs w:val="18"/>
              </w:rPr>
              <w:fldChar w:fldCharType="end"/>
            </w:r>
          </w:hyperlink>
        </w:p>
        <w:p w14:paraId="1E5D0E43" w14:textId="1ACA9764" w:rsidR="00756B64" w:rsidRPr="00756B64" w:rsidRDefault="00756B64">
          <w:pPr>
            <w:pStyle w:val="TDC2"/>
            <w:rPr>
              <w:rFonts w:asciiTheme="minorHAnsi" w:eastAsiaTheme="minorEastAsia" w:hAnsiTheme="minorHAnsi" w:cstheme="minorBidi"/>
              <w:b w:val="0"/>
              <w:bCs w:val="0"/>
              <w:kern w:val="2"/>
              <w:sz w:val="18"/>
              <w:szCs w:val="18"/>
              <w14:ligatures w14:val="standardContextual"/>
            </w:rPr>
          </w:pPr>
          <w:hyperlink w:anchor="_Toc242354039" w:history="1">
            <w:r w:rsidRPr="00756B64">
              <w:rPr>
                <w:rStyle w:val="Hipervnculo"/>
                <w:sz w:val="18"/>
                <w:szCs w:val="18"/>
              </w:rPr>
              <w:t>III. CAUSALES DE IMPROCEDENCIA</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_Toc242354039 \h </w:instrText>
            </w:r>
            <w:r w:rsidRPr="00756B64">
              <w:rPr>
                <w:webHidden/>
                <w:sz w:val="18"/>
                <w:szCs w:val="18"/>
              </w:rPr>
            </w:r>
            <w:r w:rsidRPr="00756B64">
              <w:rPr>
                <w:webHidden/>
                <w:sz w:val="18"/>
                <w:szCs w:val="18"/>
              </w:rPr>
              <w:fldChar w:fldCharType="separate"/>
            </w:r>
            <w:r w:rsidRPr="00756B64">
              <w:rPr>
                <w:webHidden/>
                <w:sz w:val="18"/>
                <w:szCs w:val="18"/>
              </w:rPr>
              <w:t>4</w:t>
            </w:r>
            <w:r w:rsidRPr="00756B64">
              <w:rPr>
                <w:webHidden/>
                <w:sz w:val="18"/>
                <w:szCs w:val="18"/>
              </w:rPr>
              <w:fldChar w:fldCharType="end"/>
            </w:r>
          </w:hyperlink>
        </w:p>
        <w:p w14:paraId="72F8EBCA" w14:textId="577A2792"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0" w:history="1">
            <w:r w:rsidRPr="00756B64">
              <w:rPr>
                <w:rStyle w:val="Hipervnculo"/>
                <w:rFonts w:ascii="Arial" w:hAnsi="Arial"/>
                <w:sz w:val="18"/>
                <w:szCs w:val="18"/>
              </w:rPr>
              <w:t>IV. PROCEDENCIA</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_Toc242354040 \h </w:instrText>
            </w:r>
            <w:r w:rsidRPr="00756B64">
              <w:rPr>
                <w:webHidden/>
                <w:sz w:val="18"/>
                <w:szCs w:val="18"/>
              </w:rPr>
            </w:r>
            <w:r w:rsidRPr="00756B64">
              <w:rPr>
                <w:webHidden/>
                <w:sz w:val="18"/>
                <w:szCs w:val="18"/>
              </w:rPr>
              <w:fldChar w:fldCharType="separate"/>
            </w:r>
            <w:r w:rsidRPr="00756B64">
              <w:rPr>
                <w:webHidden/>
                <w:sz w:val="18"/>
                <w:szCs w:val="18"/>
              </w:rPr>
              <w:t>8</w:t>
            </w:r>
            <w:r w:rsidRPr="00756B64">
              <w:rPr>
                <w:webHidden/>
                <w:sz w:val="18"/>
                <w:szCs w:val="18"/>
              </w:rPr>
              <w:fldChar w:fldCharType="end"/>
            </w:r>
          </w:hyperlink>
        </w:p>
        <w:p w14:paraId="527AA136" w14:textId="16F8E4F2"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1" w:history="1">
            <w:r w:rsidRPr="00756B64">
              <w:rPr>
                <w:rStyle w:val="Hipervnculo"/>
                <w:rFonts w:ascii="Arial" w:hAnsi="Arial"/>
                <w:sz w:val="18"/>
                <w:szCs w:val="18"/>
              </w:rPr>
              <w:t>V. INFRACCIONES Y DEFENSAS PLANTEADAS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_Toc242354041 \h </w:instrText>
            </w:r>
            <w:r w:rsidRPr="00756B64">
              <w:rPr>
                <w:webHidden/>
                <w:sz w:val="18"/>
                <w:szCs w:val="18"/>
              </w:rPr>
            </w:r>
            <w:r w:rsidRPr="00756B64">
              <w:rPr>
                <w:webHidden/>
                <w:sz w:val="18"/>
                <w:szCs w:val="18"/>
              </w:rPr>
              <w:fldChar w:fldCharType="separate"/>
            </w:r>
            <w:r w:rsidRPr="00756B64">
              <w:rPr>
                <w:webHidden/>
                <w:sz w:val="18"/>
                <w:szCs w:val="18"/>
              </w:rPr>
              <w:t>8</w:t>
            </w:r>
            <w:r w:rsidRPr="00756B64">
              <w:rPr>
                <w:webHidden/>
                <w:sz w:val="18"/>
                <w:szCs w:val="18"/>
              </w:rPr>
              <w:fldChar w:fldCharType="end"/>
            </w:r>
          </w:hyperlink>
        </w:p>
        <w:p w14:paraId="45878622" w14:textId="273482A8"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2" w:history="1">
            <w:r w:rsidRPr="00756B64">
              <w:rPr>
                <w:rStyle w:val="Hipervnculo"/>
                <w:rFonts w:ascii="Arial" w:hAnsi="Arial"/>
                <w:sz w:val="18"/>
                <w:szCs w:val="18"/>
              </w:rPr>
              <w:t>5.1. Hechos denunciados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_Toc242354042 \h </w:instrText>
            </w:r>
            <w:r w:rsidRPr="00756B64">
              <w:rPr>
                <w:webHidden/>
                <w:sz w:val="18"/>
                <w:szCs w:val="18"/>
              </w:rPr>
            </w:r>
            <w:r w:rsidRPr="00756B64">
              <w:rPr>
                <w:webHidden/>
                <w:sz w:val="18"/>
                <w:szCs w:val="18"/>
              </w:rPr>
              <w:fldChar w:fldCharType="separate"/>
            </w:r>
            <w:r w:rsidRPr="00756B64">
              <w:rPr>
                <w:webHidden/>
                <w:sz w:val="18"/>
                <w:szCs w:val="18"/>
              </w:rPr>
              <w:t>8</w:t>
            </w:r>
            <w:r w:rsidRPr="00756B64">
              <w:rPr>
                <w:webHidden/>
                <w:sz w:val="18"/>
                <w:szCs w:val="18"/>
              </w:rPr>
              <w:fldChar w:fldCharType="end"/>
            </w:r>
          </w:hyperlink>
        </w:p>
        <w:p w14:paraId="7B31A74E" w14:textId="239B64C7"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3" w:history="1">
            <w:r w:rsidRPr="00756B64">
              <w:rPr>
                <w:rStyle w:val="Hipervnculo"/>
                <w:rFonts w:ascii="Arial" w:hAnsi="Arial"/>
                <w:sz w:val="18"/>
                <w:szCs w:val="18"/>
              </w:rPr>
              <w:t>5.2. Excepciones y defensas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_Toc242354043 \h </w:instrText>
            </w:r>
            <w:r w:rsidRPr="00756B64">
              <w:rPr>
                <w:webHidden/>
                <w:sz w:val="18"/>
                <w:szCs w:val="18"/>
              </w:rPr>
            </w:r>
            <w:r w:rsidRPr="00756B64">
              <w:rPr>
                <w:webHidden/>
                <w:sz w:val="18"/>
                <w:szCs w:val="18"/>
              </w:rPr>
              <w:fldChar w:fldCharType="separate"/>
            </w:r>
            <w:r w:rsidRPr="00756B64">
              <w:rPr>
                <w:webHidden/>
                <w:sz w:val="18"/>
                <w:szCs w:val="18"/>
              </w:rPr>
              <w:t>9</w:t>
            </w:r>
            <w:r w:rsidRPr="00756B64">
              <w:rPr>
                <w:webHidden/>
                <w:sz w:val="18"/>
                <w:szCs w:val="18"/>
              </w:rPr>
              <w:fldChar w:fldCharType="end"/>
            </w:r>
          </w:hyperlink>
        </w:p>
        <w:p w14:paraId="3AEC5D30" w14:textId="14D9991A"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4" w:history="1">
            <w:r w:rsidRPr="00756B64">
              <w:rPr>
                <w:rStyle w:val="Hipervnculo"/>
                <w:rFonts w:ascii="Arial" w:hAnsi="Arial"/>
                <w:sz w:val="18"/>
                <w:szCs w:val="18"/>
              </w:rPr>
              <w:t>5.3. Cuestión por resolver</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_Toc242354044 \h </w:instrText>
            </w:r>
            <w:r w:rsidRPr="00756B64">
              <w:rPr>
                <w:webHidden/>
                <w:sz w:val="18"/>
                <w:szCs w:val="18"/>
              </w:rPr>
            </w:r>
            <w:r w:rsidRPr="00756B64">
              <w:rPr>
                <w:webHidden/>
                <w:sz w:val="18"/>
                <w:szCs w:val="18"/>
              </w:rPr>
              <w:fldChar w:fldCharType="separate"/>
            </w:r>
            <w:r w:rsidRPr="00756B64">
              <w:rPr>
                <w:webHidden/>
                <w:sz w:val="18"/>
                <w:szCs w:val="18"/>
              </w:rPr>
              <w:t>11</w:t>
            </w:r>
            <w:r w:rsidRPr="00756B64">
              <w:rPr>
                <w:webHidden/>
                <w:sz w:val="18"/>
                <w:szCs w:val="18"/>
              </w:rPr>
              <w:fldChar w:fldCharType="end"/>
            </w:r>
          </w:hyperlink>
        </w:p>
        <w:p w14:paraId="18BFCC0A" w14:textId="1319C276"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5" w:history="1">
            <w:r w:rsidRPr="00756B64">
              <w:rPr>
                <w:rStyle w:val="Hipervnculo"/>
                <w:rFonts w:ascii="Arial" w:hAnsi="Arial"/>
                <w:sz w:val="18"/>
                <w:szCs w:val="18"/>
              </w:rPr>
              <w:t>VI. Valoración probatoria y hechos acreditados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_Toc242354045 \h </w:instrText>
            </w:r>
            <w:r w:rsidRPr="00756B64">
              <w:rPr>
                <w:webHidden/>
                <w:sz w:val="18"/>
                <w:szCs w:val="18"/>
              </w:rPr>
            </w:r>
            <w:r w:rsidRPr="00756B64">
              <w:rPr>
                <w:webHidden/>
                <w:sz w:val="18"/>
                <w:szCs w:val="18"/>
              </w:rPr>
              <w:fldChar w:fldCharType="separate"/>
            </w:r>
            <w:r w:rsidRPr="00756B64">
              <w:rPr>
                <w:webHidden/>
                <w:sz w:val="18"/>
                <w:szCs w:val="18"/>
              </w:rPr>
              <w:t>11</w:t>
            </w:r>
            <w:r w:rsidRPr="00756B64">
              <w:rPr>
                <w:webHidden/>
                <w:sz w:val="18"/>
                <w:szCs w:val="18"/>
              </w:rPr>
              <w:fldChar w:fldCharType="end"/>
            </w:r>
          </w:hyperlink>
        </w:p>
        <w:p w14:paraId="110347B2" w14:textId="3967EA8A"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6" w:history="1">
            <w:r w:rsidRPr="00756B64">
              <w:rPr>
                <w:rStyle w:val="Hipervnculo"/>
                <w:rFonts w:ascii="Arial" w:hAnsi="Arial"/>
                <w:sz w:val="18"/>
                <w:szCs w:val="18"/>
              </w:rPr>
              <w:t>6.1. Pruebas aportadas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_Toc242354046 \h </w:instrText>
            </w:r>
            <w:r w:rsidRPr="00756B64">
              <w:rPr>
                <w:webHidden/>
                <w:sz w:val="18"/>
                <w:szCs w:val="18"/>
              </w:rPr>
            </w:r>
            <w:r w:rsidRPr="00756B64">
              <w:rPr>
                <w:webHidden/>
                <w:sz w:val="18"/>
                <w:szCs w:val="18"/>
              </w:rPr>
              <w:fldChar w:fldCharType="separate"/>
            </w:r>
            <w:r w:rsidRPr="00756B64">
              <w:rPr>
                <w:webHidden/>
                <w:sz w:val="18"/>
                <w:szCs w:val="18"/>
              </w:rPr>
              <w:t>11</w:t>
            </w:r>
            <w:r w:rsidRPr="00756B64">
              <w:rPr>
                <w:webHidden/>
                <w:sz w:val="18"/>
                <w:szCs w:val="18"/>
              </w:rPr>
              <w:fldChar w:fldCharType="end"/>
            </w:r>
          </w:hyperlink>
        </w:p>
        <w:p w14:paraId="45E223A6" w14:textId="4D5ECE2F"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7" w:history="1">
            <w:r w:rsidRPr="00756B64">
              <w:rPr>
                <w:rStyle w:val="Hipervnculo"/>
                <w:rFonts w:ascii="Arial" w:hAnsi="Arial"/>
                <w:sz w:val="18"/>
                <w:szCs w:val="18"/>
              </w:rPr>
              <w:t>6.2. Valoración probatoria y hechos acreditados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_Toc242354047 \h </w:instrText>
            </w:r>
            <w:r w:rsidRPr="00756B64">
              <w:rPr>
                <w:webHidden/>
                <w:sz w:val="18"/>
                <w:szCs w:val="18"/>
              </w:rPr>
            </w:r>
            <w:r w:rsidRPr="00756B64">
              <w:rPr>
                <w:webHidden/>
                <w:sz w:val="18"/>
                <w:szCs w:val="18"/>
              </w:rPr>
              <w:fldChar w:fldCharType="separate"/>
            </w:r>
            <w:r w:rsidRPr="00756B64">
              <w:rPr>
                <w:webHidden/>
                <w:sz w:val="18"/>
                <w:szCs w:val="18"/>
              </w:rPr>
              <w:t>14</w:t>
            </w:r>
            <w:r w:rsidRPr="00756B64">
              <w:rPr>
                <w:webHidden/>
                <w:sz w:val="18"/>
                <w:szCs w:val="18"/>
              </w:rPr>
              <w:fldChar w:fldCharType="end"/>
            </w:r>
          </w:hyperlink>
        </w:p>
        <w:p w14:paraId="0F7E62B0" w14:textId="573FD83A"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8" w:history="1">
            <w:r w:rsidRPr="00756B64">
              <w:rPr>
                <w:rStyle w:val="Hipervnculo"/>
                <w:rFonts w:ascii="Arial" w:hAnsi="Arial"/>
                <w:sz w:val="18"/>
                <w:szCs w:val="18"/>
              </w:rPr>
              <w:t>6.3. Análisis y determinación sobre los hechos denunciados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_Toc242354048 \h </w:instrText>
            </w:r>
            <w:r w:rsidRPr="00756B64">
              <w:rPr>
                <w:webHidden/>
                <w:sz w:val="18"/>
                <w:szCs w:val="18"/>
              </w:rPr>
            </w:r>
            <w:r w:rsidRPr="00756B64">
              <w:rPr>
                <w:webHidden/>
                <w:sz w:val="18"/>
                <w:szCs w:val="18"/>
              </w:rPr>
              <w:fldChar w:fldCharType="separate"/>
            </w:r>
            <w:r w:rsidRPr="00756B64">
              <w:rPr>
                <w:webHidden/>
                <w:sz w:val="18"/>
                <w:szCs w:val="18"/>
              </w:rPr>
              <w:t>15</w:t>
            </w:r>
            <w:r w:rsidRPr="00756B64">
              <w:rPr>
                <w:webHidden/>
                <w:sz w:val="18"/>
                <w:szCs w:val="18"/>
              </w:rPr>
              <w:fldChar w:fldCharType="end"/>
            </w:r>
          </w:hyperlink>
        </w:p>
        <w:p w14:paraId="7E9CA312" w14:textId="72229EC7"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49" w:history="1">
            <w:r w:rsidRPr="00756B64">
              <w:rPr>
                <w:rStyle w:val="Hipervnculo"/>
                <w:rFonts w:ascii="Arial" w:hAnsi="Arial"/>
                <w:sz w:val="18"/>
                <w:szCs w:val="18"/>
              </w:rPr>
              <w:t xml:space="preserve">VII. </w:t>
            </w:r>
            <w:r w:rsidRPr="00756B64">
              <w:rPr>
                <w:rStyle w:val="Hipervnculo"/>
                <w:rFonts w:ascii="Arial" w:eastAsia="Arial" w:hAnsi="Arial"/>
                <w:sz w:val="18"/>
                <w:szCs w:val="18"/>
              </w:rPr>
              <w:t>ESTUDIO DE FONDO</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_Toc242354049 \h </w:instrText>
            </w:r>
            <w:r w:rsidRPr="00756B64">
              <w:rPr>
                <w:webHidden/>
                <w:sz w:val="18"/>
                <w:szCs w:val="18"/>
              </w:rPr>
            </w:r>
            <w:r w:rsidRPr="00756B64">
              <w:rPr>
                <w:webHidden/>
                <w:sz w:val="18"/>
                <w:szCs w:val="18"/>
              </w:rPr>
              <w:fldChar w:fldCharType="separate"/>
            </w:r>
            <w:r w:rsidRPr="00756B64">
              <w:rPr>
                <w:webHidden/>
                <w:sz w:val="18"/>
                <w:szCs w:val="18"/>
              </w:rPr>
              <w:t>15</w:t>
            </w:r>
            <w:r w:rsidRPr="00756B64">
              <w:rPr>
                <w:webHidden/>
                <w:sz w:val="18"/>
                <w:szCs w:val="18"/>
              </w:rPr>
              <w:fldChar w:fldCharType="end"/>
            </w:r>
          </w:hyperlink>
        </w:p>
        <w:p w14:paraId="5A28DF06" w14:textId="5F725721"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50" w:history="1">
            <w:r w:rsidRPr="00756B64">
              <w:rPr>
                <w:rStyle w:val="Hipervnculo"/>
                <w:rFonts w:ascii="Arial" w:eastAsia="Arial" w:hAnsi="Arial"/>
                <w:sz w:val="18"/>
                <w:szCs w:val="18"/>
              </w:rPr>
              <w:t>7.1. Marco normativo respecto a la propaganda política-electoral</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_Toc242354050 \h </w:instrText>
            </w:r>
            <w:r w:rsidRPr="00756B64">
              <w:rPr>
                <w:webHidden/>
                <w:sz w:val="18"/>
                <w:szCs w:val="18"/>
              </w:rPr>
            </w:r>
            <w:r w:rsidRPr="00756B64">
              <w:rPr>
                <w:webHidden/>
                <w:sz w:val="18"/>
                <w:szCs w:val="18"/>
              </w:rPr>
              <w:fldChar w:fldCharType="separate"/>
            </w:r>
            <w:r w:rsidRPr="00756B64">
              <w:rPr>
                <w:webHidden/>
                <w:sz w:val="18"/>
                <w:szCs w:val="18"/>
              </w:rPr>
              <w:t>15</w:t>
            </w:r>
            <w:r w:rsidRPr="00756B64">
              <w:rPr>
                <w:webHidden/>
                <w:sz w:val="18"/>
                <w:szCs w:val="18"/>
              </w:rPr>
              <w:fldChar w:fldCharType="end"/>
            </w:r>
          </w:hyperlink>
        </w:p>
        <w:p w14:paraId="6D00E230" w14:textId="5964BD93"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51" w:history="1">
            <w:r w:rsidRPr="00756B64">
              <w:rPr>
                <w:rStyle w:val="Hipervnculo"/>
                <w:rFonts w:ascii="Arial" w:eastAsia="Arial" w:hAnsi="Arial"/>
                <w:sz w:val="18"/>
                <w:szCs w:val="18"/>
              </w:rPr>
              <w:t>7.2. Caso concreto</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_Toc242354051 \h </w:instrText>
            </w:r>
            <w:r w:rsidRPr="00756B64">
              <w:rPr>
                <w:webHidden/>
                <w:sz w:val="18"/>
                <w:szCs w:val="18"/>
              </w:rPr>
            </w:r>
            <w:r w:rsidRPr="00756B64">
              <w:rPr>
                <w:webHidden/>
                <w:sz w:val="18"/>
                <w:szCs w:val="18"/>
              </w:rPr>
              <w:fldChar w:fldCharType="separate"/>
            </w:r>
            <w:r w:rsidRPr="00756B64">
              <w:rPr>
                <w:webHidden/>
                <w:sz w:val="18"/>
                <w:szCs w:val="18"/>
              </w:rPr>
              <w:t>18</w:t>
            </w:r>
            <w:r w:rsidRPr="00756B64">
              <w:rPr>
                <w:webHidden/>
                <w:sz w:val="18"/>
                <w:szCs w:val="18"/>
              </w:rPr>
              <w:fldChar w:fldCharType="end"/>
            </w:r>
          </w:hyperlink>
        </w:p>
        <w:p w14:paraId="55F232B0" w14:textId="373F18E5" w:rsidR="00756B64" w:rsidRPr="00756B64" w:rsidRDefault="00756B64">
          <w:pPr>
            <w:pStyle w:val="TDC1"/>
            <w:rPr>
              <w:rFonts w:asciiTheme="minorHAnsi" w:hAnsiTheme="minorHAnsi" w:cstheme="minorBidi"/>
              <w:b w:val="0"/>
              <w:bCs w:val="0"/>
              <w:kern w:val="2"/>
              <w:sz w:val="18"/>
              <w:szCs w:val="18"/>
              <w:lang w:val="es-MX"/>
              <w14:ligatures w14:val="standardContextual"/>
            </w:rPr>
          </w:pPr>
          <w:hyperlink w:anchor="_Toc242354052" w:history="1">
            <w:r w:rsidRPr="00756B64">
              <w:rPr>
                <w:rStyle w:val="Hipervnculo"/>
                <w:rFonts w:ascii="Arial" w:eastAsia="Arial" w:hAnsi="Arial"/>
                <w:sz w:val="18"/>
                <w:szCs w:val="18"/>
              </w:rPr>
              <w:t>VIII. RESOLUTIVOS</w:t>
            </w:r>
            <w:r w:rsidRPr="00756B64">
              <w:rPr>
                <w:webHidden/>
                <w:sz w:val="18"/>
                <w:szCs w:val="18"/>
              </w:rPr>
              <w:tab/>
            </w:r>
            <w:r w:rsidRPr="00756B64">
              <w:rPr>
                <w:webHidden/>
                <w:sz w:val="18"/>
                <w:szCs w:val="18"/>
              </w:rPr>
              <w:fldChar w:fldCharType="begin"/>
            </w:r>
            <w:r w:rsidRPr="00756B64">
              <w:rPr>
                <w:webHidden/>
                <w:sz w:val="18"/>
                <w:szCs w:val="18"/>
              </w:rPr>
              <w:instrText xml:space="preserve"> PAGEREF _Toc242354052 \h </w:instrText>
            </w:r>
            <w:r w:rsidRPr="00756B64">
              <w:rPr>
                <w:webHidden/>
                <w:sz w:val="18"/>
                <w:szCs w:val="18"/>
              </w:rPr>
            </w:r>
            <w:r w:rsidRPr="00756B64">
              <w:rPr>
                <w:webHidden/>
                <w:sz w:val="18"/>
                <w:szCs w:val="18"/>
              </w:rPr>
              <w:fldChar w:fldCharType="separate"/>
            </w:r>
            <w:r w:rsidRPr="00756B64">
              <w:rPr>
                <w:webHidden/>
                <w:sz w:val="18"/>
                <w:szCs w:val="18"/>
              </w:rPr>
              <w:t>25</w:t>
            </w:r>
            <w:r w:rsidRPr="00756B64">
              <w:rPr>
                <w:webHidden/>
                <w:sz w:val="18"/>
                <w:szCs w:val="18"/>
              </w:rPr>
              <w:fldChar w:fldCharType="end"/>
            </w:r>
          </w:hyperlink>
        </w:p>
        <w:p w14:paraId="5B27BF12" w14:textId="478F6F77" w:rsidR="00BE1E74" w:rsidRDefault="00D330BE">
          <w:pPr>
            <w:rPr>
              <w:rFonts w:ascii="Arial Narrow" w:hAnsi="Arial Narrow"/>
              <w:b/>
              <w:sz w:val="20"/>
              <w:szCs w:val="20"/>
              <w:lang w:val="es-ES"/>
            </w:rPr>
          </w:pPr>
          <w:r>
            <w:rPr>
              <w:rFonts w:ascii="Arial Narrow" w:hAnsi="Arial Narrow"/>
              <w:sz w:val="20"/>
              <w:szCs w:val="20"/>
              <w:lang w:val="es-ES"/>
            </w:rPr>
            <w:fldChar w:fldCharType="end"/>
          </w:r>
        </w:p>
      </w:sdtContent>
    </w:sdt>
    <w:p w14:paraId="1ED9FE11" w14:textId="77777777" w:rsidR="00BE1E74" w:rsidRDefault="00D330BE">
      <w:pPr>
        <w:pStyle w:val="Ttulo2"/>
        <w:spacing w:before="0" w:after="240"/>
        <w:jc w:val="center"/>
        <w:rPr>
          <w:rFonts w:ascii="Arial Narrow" w:eastAsia="Arial" w:hAnsi="Arial Narrow" w:cs="Arial"/>
          <w:b/>
          <w:color w:val="000000"/>
          <w:sz w:val="20"/>
          <w:szCs w:val="20"/>
        </w:rPr>
      </w:pPr>
      <w:bookmarkStart w:id="0" w:name="_Toc163203234"/>
      <w:bookmarkStart w:id="1" w:name="_Toc177046828"/>
      <w:bookmarkStart w:id="2" w:name="_Toc242354036"/>
      <w:r>
        <w:rPr>
          <w:rFonts w:ascii="Arial Narrow" w:eastAsia="Arial" w:hAnsi="Arial Narrow" w:cs="Arial"/>
          <w:b/>
          <w:color w:val="000000"/>
          <w:sz w:val="20"/>
          <w:szCs w:val="20"/>
        </w:rPr>
        <w:t>GLOSARIO</w:t>
      </w:r>
      <w:bookmarkEnd w:id="0"/>
      <w:bookmarkEnd w:id="1"/>
      <w:bookmarkEnd w:id="2"/>
    </w:p>
    <w:tbl>
      <w:tblPr>
        <w:tblpPr w:leftFromText="141" w:rightFromText="141" w:vertAnchor="text" w:tblpY="1"/>
        <w:tblOverlap w:val="neve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47"/>
        <w:gridCol w:w="4252"/>
      </w:tblGrid>
      <w:tr w:rsidR="00BE1E74" w14:paraId="12D3183D" w14:textId="77777777">
        <w:tc>
          <w:tcPr>
            <w:tcW w:w="2547" w:type="dxa"/>
            <w:vAlign w:val="center"/>
          </w:tcPr>
          <w:p w14:paraId="2BF49490"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ciudadano</w:t>
            </w:r>
            <w:r>
              <w:rPr>
                <w:rFonts w:ascii="Arial Narrow" w:eastAsia="Arial Narrow" w:hAnsi="Arial Narrow" w:cs="Arial"/>
                <w:bCs/>
                <w:i/>
                <w:color w:val="000000"/>
                <w:sz w:val="20"/>
                <w:szCs w:val="20"/>
              </w:rPr>
              <w:t xml:space="preserve"> </w:t>
            </w:r>
            <w:r>
              <w:rPr>
                <w:rFonts w:ascii="Arial Narrow" w:eastAsia="Arial Narrow" w:hAnsi="Arial Narrow" w:cs="Arial"/>
                <w:bCs/>
                <w:iCs/>
                <w:color w:val="000000"/>
                <w:sz w:val="20"/>
                <w:szCs w:val="20"/>
              </w:rPr>
              <w:t xml:space="preserve">o </w:t>
            </w:r>
            <w:r>
              <w:rPr>
                <w:rFonts w:ascii="Arial Narrow" w:eastAsia="Arial Narrow" w:hAnsi="Arial Narrow" w:cs="Arial"/>
                <w:b/>
                <w:i/>
                <w:color w:val="000000"/>
                <w:sz w:val="20"/>
                <w:szCs w:val="20"/>
              </w:rPr>
              <w:t>denunciado:</w:t>
            </w:r>
          </w:p>
        </w:tc>
        <w:tc>
          <w:tcPr>
            <w:tcW w:w="4252" w:type="dxa"/>
            <w:vAlign w:val="center"/>
          </w:tcPr>
          <w:p w14:paraId="60F42F9A" w14:textId="7FE8FC28"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themeColor="text1"/>
                <w:sz w:val="20"/>
                <w:szCs w:val="20"/>
              </w:rPr>
              <w:t>Marco Polo Aguirre Chávez (diputado local)</w:t>
            </w:r>
            <w:r w:rsidR="005D4B69">
              <w:rPr>
                <w:rFonts w:ascii="Arial Narrow" w:eastAsia="Arial Narrow" w:hAnsi="Arial Narrow" w:cs="Arial"/>
                <w:color w:val="000000" w:themeColor="text1"/>
                <w:sz w:val="20"/>
                <w:szCs w:val="20"/>
              </w:rPr>
              <w:t>.</w:t>
            </w:r>
          </w:p>
        </w:tc>
      </w:tr>
      <w:tr w:rsidR="00BE1E74" w14:paraId="26E256FE" w14:textId="77777777">
        <w:tc>
          <w:tcPr>
            <w:tcW w:w="2547" w:type="dxa"/>
            <w:vAlign w:val="center"/>
          </w:tcPr>
          <w:p w14:paraId="4755A836"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Código Electoral:</w:t>
            </w:r>
          </w:p>
        </w:tc>
        <w:tc>
          <w:tcPr>
            <w:tcW w:w="4252" w:type="dxa"/>
            <w:vAlign w:val="center"/>
          </w:tcPr>
          <w:p w14:paraId="3C230778"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Código Electoral del Estado de Michoacán de Ocampo.</w:t>
            </w:r>
          </w:p>
        </w:tc>
      </w:tr>
      <w:tr w:rsidR="00BE1E74" w14:paraId="03DD5C39" w14:textId="77777777">
        <w:tc>
          <w:tcPr>
            <w:tcW w:w="2547" w:type="dxa"/>
            <w:vAlign w:val="center"/>
          </w:tcPr>
          <w:p w14:paraId="5430244A"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Constitución Federal:</w:t>
            </w:r>
          </w:p>
        </w:tc>
        <w:tc>
          <w:tcPr>
            <w:tcW w:w="4252" w:type="dxa"/>
            <w:vAlign w:val="center"/>
          </w:tcPr>
          <w:p w14:paraId="55ED18CD"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Constitución Política de los Estados Unidos Mexicanos.</w:t>
            </w:r>
          </w:p>
        </w:tc>
      </w:tr>
      <w:tr w:rsidR="00BE1E74" w14:paraId="5FBD0F9F" w14:textId="77777777">
        <w:trPr>
          <w:trHeight w:val="379"/>
        </w:trPr>
        <w:tc>
          <w:tcPr>
            <w:tcW w:w="2547" w:type="dxa"/>
            <w:vAlign w:val="center"/>
          </w:tcPr>
          <w:p w14:paraId="5E27B1D3"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Constitución Local:</w:t>
            </w:r>
          </w:p>
        </w:tc>
        <w:tc>
          <w:tcPr>
            <w:tcW w:w="4252" w:type="dxa"/>
            <w:vAlign w:val="center"/>
          </w:tcPr>
          <w:p w14:paraId="33DDD18E"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Constitución Política del Estado Libre y Soberano de Michoacán de Ocampo.</w:t>
            </w:r>
          </w:p>
        </w:tc>
      </w:tr>
      <w:tr w:rsidR="00BE1E74" w14:paraId="1CBFAF0D" w14:textId="77777777">
        <w:tc>
          <w:tcPr>
            <w:tcW w:w="2547" w:type="dxa"/>
            <w:vAlign w:val="center"/>
          </w:tcPr>
          <w:p w14:paraId="730D3B33"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denunciados:</w:t>
            </w:r>
          </w:p>
        </w:tc>
        <w:tc>
          <w:tcPr>
            <w:tcW w:w="4252" w:type="dxa"/>
            <w:vAlign w:val="center"/>
          </w:tcPr>
          <w:p w14:paraId="5DA4F7B4"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Marco Polo Aguirre Chávez y MORENA.</w:t>
            </w:r>
          </w:p>
        </w:tc>
      </w:tr>
      <w:tr w:rsidR="00BE1E74" w14:paraId="303B5391" w14:textId="77777777">
        <w:tc>
          <w:tcPr>
            <w:tcW w:w="2547" w:type="dxa"/>
            <w:vAlign w:val="center"/>
          </w:tcPr>
          <w:p w14:paraId="00AB4677"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denunciante:</w:t>
            </w:r>
          </w:p>
        </w:tc>
        <w:tc>
          <w:tcPr>
            <w:tcW w:w="4252" w:type="dxa"/>
            <w:vAlign w:val="center"/>
          </w:tcPr>
          <w:p w14:paraId="45BAF44F"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themeColor="text1"/>
                <w:sz w:val="20"/>
                <w:szCs w:val="20"/>
              </w:rPr>
              <w:t>Emma Castolo Calderón.</w:t>
            </w:r>
          </w:p>
        </w:tc>
      </w:tr>
      <w:tr w:rsidR="00BE1E74" w14:paraId="0454E903" w14:textId="77777777">
        <w:tc>
          <w:tcPr>
            <w:tcW w:w="2547" w:type="dxa"/>
            <w:vAlign w:val="center"/>
          </w:tcPr>
          <w:p w14:paraId="6F01B0F3"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 xml:space="preserve">IEM </w:t>
            </w:r>
            <w:r>
              <w:rPr>
                <w:rFonts w:ascii="Arial Narrow" w:eastAsia="Arial Narrow" w:hAnsi="Arial Narrow" w:cs="Arial"/>
                <w:bCs/>
                <w:iCs/>
                <w:color w:val="000000"/>
                <w:sz w:val="20"/>
                <w:szCs w:val="20"/>
              </w:rPr>
              <w:t>o</w:t>
            </w:r>
            <w:r>
              <w:rPr>
                <w:rFonts w:ascii="Arial Narrow" w:eastAsia="Arial Narrow" w:hAnsi="Arial Narrow" w:cs="Arial"/>
                <w:b/>
                <w:i/>
                <w:color w:val="000000"/>
                <w:sz w:val="20"/>
                <w:szCs w:val="20"/>
              </w:rPr>
              <w:t xml:space="preserve"> Instituto: </w:t>
            </w:r>
          </w:p>
        </w:tc>
        <w:tc>
          <w:tcPr>
            <w:tcW w:w="4252" w:type="dxa"/>
            <w:vAlign w:val="center"/>
          </w:tcPr>
          <w:p w14:paraId="2EEE3ADC"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Instituto Electoral de Michoacán.</w:t>
            </w:r>
          </w:p>
        </w:tc>
      </w:tr>
      <w:tr w:rsidR="00BE1E74" w14:paraId="025CF49B" w14:textId="77777777">
        <w:tc>
          <w:tcPr>
            <w:tcW w:w="2547" w:type="dxa"/>
            <w:vAlign w:val="center"/>
          </w:tcPr>
          <w:p w14:paraId="487BB875"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Ley de Justicia Electoral:</w:t>
            </w:r>
          </w:p>
        </w:tc>
        <w:tc>
          <w:tcPr>
            <w:tcW w:w="4252" w:type="dxa"/>
            <w:vAlign w:val="center"/>
          </w:tcPr>
          <w:p w14:paraId="4D604C53" w14:textId="77777777" w:rsidR="00BE1E74" w:rsidRDefault="00D330BE">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Ley de Justicia en Materia Electoral y de Participación Ciudadana del Estado de Michoacán de Ocampo.</w:t>
            </w:r>
          </w:p>
        </w:tc>
      </w:tr>
      <w:tr w:rsidR="00BE1E74" w14:paraId="7127581A" w14:textId="77777777">
        <w:tc>
          <w:tcPr>
            <w:tcW w:w="2547" w:type="dxa"/>
            <w:vAlign w:val="center"/>
          </w:tcPr>
          <w:p w14:paraId="432099BA" w14:textId="77777777" w:rsidR="00BE1E74" w:rsidRDefault="00D330BE">
            <w:pPr>
              <w:pBdr>
                <w:top w:val="nil"/>
                <w:left w:val="nil"/>
                <w:bottom w:val="nil"/>
                <w:right w:val="nil"/>
                <w:between w:val="nil"/>
              </w:pBdr>
              <w:spacing w:after="0"/>
              <w:jc w:val="both"/>
              <w:rPr>
                <w:rFonts w:ascii="Arial Narrow" w:eastAsia="Arial Narrow" w:hAnsi="Arial Narrow" w:cs="Arial"/>
                <w:b/>
                <w:bCs/>
                <w:i/>
                <w:iCs/>
                <w:color w:val="000000"/>
                <w:sz w:val="20"/>
                <w:szCs w:val="20"/>
              </w:rPr>
            </w:pPr>
            <w:r>
              <w:rPr>
                <w:rFonts w:ascii="Arial Narrow" w:eastAsia="Arial Narrow" w:hAnsi="Arial Narrow" w:cs="Arial"/>
                <w:b/>
                <w:bCs/>
                <w:i/>
                <w:iCs/>
                <w:color w:val="000000" w:themeColor="text1"/>
                <w:sz w:val="20"/>
                <w:szCs w:val="20"/>
              </w:rPr>
              <w:t xml:space="preserve">órgano jurisdiccional </w:t>
            </w:r>
            <w:r>
              <w:rPr>
                <w:rFonts w:ascii="Arial Narrow" w:eastAsia="Arial Narrow" w:hAnsi="Arial Narrow" w:cs="Arial"/>
                <w:color w:val="000000" w:themeColor="text1"/>
                <w:sz w:val="20"/>
                <w:szCs w:val="20"/>
              </w:rPr>
              <w:t>o</w:t>
            </w:r>
            <w:r>
              <w:rPr>
                <w:rFonts w:ascii="Arial Narrow" w:eastAsia="Arial Narrow" w:hAnsi="Arial Narrow" w:cs="Arial"/>
                <w:b/>
                <w:bCs/>
                <w:i/>
                <w:iCs/>
                <w:color w:val="000000" w:themeColor="text1"/>
                <w:sz w:val="20"/>
                <w:szCs w:val="20"/>
              </w:rPr>
              <w:t xml:space="preserve"> Tribunal Electoral:</w:t>
            </w:r>
          </w:p>
        </w:tc>
        <w:tc>
          <w:tcPr>
            <w:tcW w:w="4252" w:type="dxa"/>
            <w:vAlign w:val="center"/>
          </w:tcPr>
          <w:p w14:paraId="54B64FFC" w14:textId="77777777"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Tribunal Electoral del Estado.</w:t>
            </w:r>
          </w:p>
        </w:tc>
      </w:tr>
      <w:tr w:rsidR="00BE1E74" w14:paraId="7C0F4A49" w14:textId="77777777">
        <w:tc>
          <w:tcPr>
            <w:tcW w:w="2547" w:type="dxa"/>
            <w:vAlign w:val="center"/>
          </w:tcPr>
          <w:p w14:paraId="0D6BCA52"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 xml:space="preserve">MORENA </w:t>
            </w:r>
            <w:r>
              <w:rPr>
                <w:rFonts w:ascii="Arial Narrow" w:eastAsia="Arial Narrow" w:hAnsi="Arial Narrow" w:cs="Arial"/>
                <w:bCs/>
                <w:iCs/>
                <w:color w:val="000000"/>
                <w:sz w:val="20"/>
                <w:szCs w:val="20"/>
              </w:rPr>
              <w:t>o</w:t>
            </w:r>
            <w:r>
              <w:rPr>
                <w:rFonts w:ascii="Arial Narrow" w:eastAsia="Arial Narrow" w:hAnsi="Arial Narrow" w:cs="Arial"/>
                <w:b/>
                <w:i/>
                <w:color w:val="000000"/>
                <w:sz w:val="20"/>
                <w:szCs w:val="20"/>
              </w:rPr>
              <w:t xml:space="preserve"> partido político denunciado:</w:t>
            </w:r>
          </w:p>
        </w:tc>
        <w:tc>
          <w:tcPr>
            <w:tcW w:w="4252" w:type="dxa"/>
            <w:vAlign w:val="center"/>
          </w:tcPr>
          <w:p w14:paraId="7B3D5C6A" w14:textId="77777777"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Partido político MORENA.</w:t>
            </w:r>
          </w:p>
        </w:tc>
      </w:tr>
      <w:tr w:rsidR="00BE1E74" w14:paraId="5D665923" w14:textId="77777777">
        <w:tc>
          <w:tcPr>
            <w:tcW w:w="2547" w:type="dxa"/>
            <w:vAlign w:val="center"/>
          </w:tcPr>
          <w:p w14:paraId="71A1D56B"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Sala Superior:</w:t>
            </w:r>
          </w:p>
        </w:tc>
        <w:tc>
          <w:tcPr>
            <w:tcW w:w="4252" w:type="dxa"/>
            <w:vAlign w:val="center"/>
          </w:tcPr>
          <w:p w14:paraId="6885504C" w14:textId="77777777"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Sala Superior del Tribunal Electoral del Poder Judicial de la Federación.</w:t>
            </w:r>
          </w:p>
        </w:tc>
      </w:tr>
      <w:tr w:rsidR="00BE1E74" w14:paraId="51F8767A" w14:textId="77777777">
        <w:tc>
          <w:tcPr>
            <w:tcW w:w="2547" w:type="dxa"/>
            <w:vAlign w:val="center"/>
          </w:tcPr>
          <w:p w14:paraId="3A767246"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Secretaria Ejecutiva:</w:t>
            </w:r>
          </w:p>
        </w:tc>
        <w:tc>
          <w:tcPr>
            <w:tcW w:w="4252" w:type="dxa"/>
            <w:vAlign w:val="center"/>
          </w:tcPr>
          <w:p w14:paraId="6D0ACA1C" w14:textId="77777777"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Secretaria Ejecutiva del Instituto Electoral de Michoacán.</w:t>
            </w:r>
          </w:p>
        </w:tc>
      </w:tr>
      <w:tr w:rsidR="00BE1E74" w14:paraId="4B222092" w14:textId="77777777">
        <w:tc>
          <w:tcPr>
            <w:tcW w:w="2547" w:type="dxa"/>
            <w:vAlign w:val="center"/>
          </w:tcPr>
          <w:p w14:paraId="43E60C26"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LGIPE:</w:t>
            </w:r>
          </w:p>
        </w:tc>
        <w:tc>
          <w:tcPr>
            <w:tcW w:w="4252" w:type="dxa"/>
            <w:vAlign w:val="center"/>
          </w:tcPr>
          <w:p w14:paraId="6B6CE1DF" w14:textId="77777777"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 xml:space="preserve">Ley General de Instituciones y Procedimientos Electorales. </w:t>
            </w:r>
          </w:p>
        </w:tc>
      </w:tr>
      <w:tr w:rsidR="00BE1E74" w14:paraId="547671E2" w14:textId="77777777">
        <w:tc>
          <w:tcPr>
            <w:tcW w:w="2547" w:type="dxa"/>
            <w:vAlign w:val="center"/>
          </w:tcPr>
          <w:p w14:paraId="774864EA" w14:textId="77777777" w:rsidR="00BE1E74" w:rsidRDefault="00D330BE">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TEPJF:</w:t>
            </w:r>
          </w:p>
        </w:tc>
        <w:tc>
          <w:tcPr>
            <w:tcW w:w="4252" w:type="dxa"/>
            <w:vAlign w:val="center"/>
          </w:tcPr>
          <w:p w14:paraId="2F546A15" w14:textId="281E87BD" w:rsidR="00BE1E74" w:rsidRDefault="00D330BE">
            <w:pPr>
              <w:spacing w:after="0"/>
              <w:jc w:val="both"/>
              <w:rPr>
                <w:rFonts w:ascii="Arial Narrow" w:eastAsia="Arial Narrow" w:hAnsi="Arial Narrow" w:cs="Arial"/>
                <w:sz w:val="20"/>
                <w:szCs w:val="20"/>
              </w:rPr>
            </w:pPr>
            <w:r>
              <w:rPr>
                <w:rFonts w:ascii="Arial Narrow" w:eastAsia="Arial Narrow" w:hAnsi="Arial Narrow" w:cs="Arial"/>
                <w:sz w:val="20"/>
                <w:szCs w:val="20"/>
              </w:rPr>
              <w:t>Tribunal Electoral del Poder Judicial de la Federación</w:t>
            </w:r>
            <w:r w:rsidR="005D4B69">
              <w:rPr>
                <w:rFonts w:ascii="Arial Narrow" w:eastAsia="Arial Narrow" w:hAnsi="Arial Narrow" w:cs="Arial"/>
                <w:sz w:val="20"/>
                <w:szCs w:val="20"/>
              </w:rPr>
              <w:t>.</w:t>
            </w:r>
            <w:r>
              <w:rPr>
                <w:rFonts w:ascii="Arial Narrow" w:eastAsia="Arial Narrow" w:hAnsi="Arial Narrow" w:cs="Arial"/>
                <w:sz w:val="20"/>
                <w:szCs w:val="20"/>
              </w:rPr>
              <w:t xml:space="preserve"> </w:t>
            </w:r>
          </w:p>
        </w:tc>
      </w:tr>
    </w:tbl>
    <w:p w14:paraId="5EFBC52A" w14:textId="77777777" w:rsidR="00BE1E74" w:rsidRDefault="00BE1E74"/>
    <w:p w14:paraId="7BC7C2D5" w14:textId="77777777" w:rsidR="00BE1E74" w:rsidRDefault="00BE1E74"/>
    <w:p w14:paraId="398A58C5" w14:textId="77777777" w:rsidR="00BE1E74" w:rsidRDefault="00BE1E74"/>
    <w:p w14:paraId="0B7C4CEB" w14:textId="77777777" w:rsidR="00BE1E74" w:rsidRDefault="00D330BE">
      <w:pPr>
        <w:tabs>
          <w:tab w:val="left" w:pos="528"/>
        </w:tabs>
      </w:pPr>
      <w:r>
        <w:tab/>
      </w:r>
      <w:r>
        <w:br w:type="textWrapping" w:clear="all"/>
      </w:r>
    </w:p>
    <w:p w14:paraId="3A9F948F" w14:textId="77777777" w:rsidR="00BE1E74" w:rsidRDefault="00D330BE">
      <w:pPr>
        <w:pStyle w:val="Ttulo1"/>
        <w:jc w:val="center"/>
        <w:rPr>
          <w:rFonts w:ascii="Arial" w:hAnsi="Arial" w:cs="Arial"/>
          <w:b/>
          <w:bCs/>
          <w:color w:val="auto"/>
          <w:sz w:val="24"/>
          <w:szCs w:val="24"/>
        </w:rPr>
      </w:pPr>
      <w:bookmarkStart w:id="3" w:name="_Toc163203235"/>
      <w:bookmarkStart w:id="4" w:name="_Toc163496515"/>
      <w:bookmarkStart w:id="5" w:name="_Toc242354037"/>
      <w:bookmarkStart w:id="6" w:name="_Hlk189055526"/>
      <w:bookmarkStart w:id="7" w:name="_Toc163203236"/>
      <w:bookmarkStart w:id="8" w:name="_Toc177046830"/>
      <w:r>
        <w:rPr>
          <w:rFonts w:ascii="Arial" w:hAnsi="Arial" w:cs="Arial"/>
          <w:b/>
          <w:bCs/>
          <w:color w:val="auto"/>
          <w:sz w:val="24"/>
          <w:szCs w:val="24"/>
        </w:rPr>
        <w:t>I. ANTECEDENTES</w:t>
      </w:r>
      <w:bookmarkEnd w:id="3"/>
      <w:bookmarkEnd w:id="4"/>
      <w:bookmarkEnd w:id="5"/>
    </w:p>
    <w:p w14:paraId="17130CD7" w14:textId="77777777" w:rsidR="00BE1E74" w:rsidRDefault="00BE1E74"/>
    <w:p w14:paraId="50E0543E" w14:textId="77777777" w:rsidR="00BE1E74" w:rsidRDefault="00D330BE">
      <w:pPr>
        <w:spacing w:before="240" w:after="0"/>
        <w:ind w:left="567"/>
        <w:rPr>
          <w:rFonts w:ascii="Arial" w:eastAsia="Arial" w:hAnsi="Arial" w:cs="Arial"/>
          <w:b/>
          <w:sz w:val="24"/>
          <w:szCs w:val="24"/>
        </w:rPr>
      </w:pPr>
      <w:bookmarkStart w:id="9" w:name="_Toc163203241"/>
      <w:bookmarkEnd w:id="6"/>
      <w:bookmarkEnd w:id="7"/>
      <w:bookmarkEnd w:id="8"/>
      <w:r>
        <w:rPr>
          <w:rFonts w:ascii="Arial" w:eastAsia="Arial" w:hAnsi="Arial" w:cs="Arial"/>
          <w:b/>
          <w:sz w:val="24"/>
          <w:szCs w:val="24"/>
        </w:rPr>
        <w:t xml:space="preserve">1. Trámite ante el </w:t>
      </w:r>
      <w:r>
        <w:rPr>
          <w:rFonts w:ascii="Arial" w:eastAsia="Arial" w:hAnsi="Arial" w:cs="Arial"/>
          <w:b/>
          <w:i/>
          <w:sz w:val="24"/>
          <w:szCs w:val="24"/>
        </w:rPr>
        <w:t>IEM</w:t>
      </w:r>
    </w:p>
    <w:p w14:paraId="490CBAF2"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bCs/>
          <w:sz w:val="24"/>
          <w:szCs w:val="24"/>
        </w:rPr>
        <w:t xml:space="preserve">1.1. Presentación de la queja, radicación y diligencias de investigación. </w:t>
      </w:r>
      <w:r>
        <w:rPr>
          <w:rFonts w:ascii="Arial" w:eastAsia="Arial" w:hAnsi="Arial" w:cs="Arial"/>
          <w:sz w:val="24"/>
          <w:szCs w:val="24"/>
        </w:rPr>
        <w:t xml:space="preserve">El veinte de agosto, la </w:t>
      </w:r>
      <w:r>
        <w:rPr>
          <w:rFonts w:ascii="Arial" w:eastAsia="Arial" w:hAnsi="Arial" w:cs="Arial"/>
          <w:i/>
          <w:iCs/>
          <w:sz w:val="24"/>
          <w:szCs w:val="24"/>
        </w:rPr>
        <w:t xml:space="preserve">denunciante </w:t>
      </w:r>
      <w:r>
        <w:rPr>
          <w:rFonts w:ascii="Arial" w:eastAsia="Arial" w:hAnsi="Arial" w:cs="Arial"/>
          <w:sz w:val="24"/>
          <w:szCs w:val="24"/>
        </w:rPr>
        <w:t>presentó queja</w:t>
      </w:r>
      <w:r>
        <w:rPr>
          <w:rFonts w:ascii="Arial" w:eastAsia="Arial" w:hAnsi="Arial" w:cs="Arial"/>
          <w:i/>
          <w:iCs/>
          <w:sz w:val="24"/>
          <w:szCs w:val="24"/>
        </w:rPr>
        <w:t xml:space="preserve"> </w:t>
      </w:r>
      <w:r>
        <w:rPr>
          <w:rFonts w:ascii="Arial" w:eastAsia="Arial" w:hAnsi="Arial" w:cs="Arial"/>
          <w:sz w:val="24"/>
          <w:szCs w:val="24"/>
        </w:rPr>
        <w:t xml:space="preserve">en contra de los </w:t>
      </w:r>
      <w:r>
        <w:rPr>
          <w:rFonts w:ascii="Arial" w:eastAsia="Arial" w:hAnsi="Arial" w:cs="Arial"/>
          <w:i/>
          <w:iCs/>
          <w:sz w:val="24"/>
          <w:szCs w:val="24"/>
        </w:rPr>
        <w:t>denunciados</w:t>
      </w:r>
      <w:r>
        <w:rPr>
          <w:rStyle w:val="Refdenotaalpie"/>
          <w:rFonts w:ascii="Arial" w:eastAsia="Arial" w:hAnsi="Arial" w:cs="Arial"/>
          <w:i/>
          <w:iCs/>
          <w:sz w:val="24"/>
          <w:szCs w:val="24"/>
        </w:rPr>
        <w:footnoteReference w:id="3"/>
      </w:r>
      <w:r>
        <w:rPr>
          <w:rFonts w:ascii="Arial" w:eastAsia="Arial" w:hAnsi="Arial" w:cs="Arial"/>
          <w:i/>
          <w:iCs/>
          <w:sz w:val="24"/>
          <w:szCs w:val="24"/>
        </w:rPr>
        <w:t xml:space="preserve">, </w:t>
      </w:r>
      <w:r>
        <w:rPr>
          <w:rFonts w:ascii="Arial" w:eastAsia="Arial" w:hAnsi="Arial" w:cs="Arial"/>
          <w:sz w:val="24"/>
          <w:szCs w:val="24"/>
        </w:rPr>
        <w:t>la cual fue radicada en la misma fecha, registrándose bajo la clave IEM-CA-60/2026; asimismo, se ordenaron diligencias de investigación</w:t>
      </w:r>
      <w:r>
        <w:rPr>
          <w:rStyle w:val="Refdenotaalpie"/>
          <w:rFonts w:ascii="Arial" w:eastAsia="Arial" w:hAnsi="Arial" w:cs="Arial"/>
          <w:sz w:val="24"/>
          <w:szCs w:val="24"/>
        </w:rPr>
        <w:footnoteReference w:id="4"/>
      </w:r>
      <w:r>
        <w:rPr>
          <w:rFonts w:ascii="Arial" w:eastAsia="Arial" w:hAnsi="Arial" w:cs="Arial"/>
          <w:sz w:val="24"/>
          <w:szCs w:val="24"/>
        </w:rPr>
        <w:t>.</w:t>
      </w:r>
    </w:p>
    <w:p w14:paraId="086CA963"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sz w:val="24"/>
          <w:szCs w:val="24"/>
        </w:rPr>
        <w:t xml:space="preserve">1.2. Acta circunstanciada. </w:t>
      </w:r>
      <w:r>
        <w:rPr>
          <w:rFonts w:ascii="Arial" w:eastAsia="Arial" w:hAnsi="Arial" w:cs="Arial"/>
          <w:bCs/>
          <w:sz w:val="24"/>
          <w:szCs w:val="24"/>
        </w:rPr>
        <w:t xml:space="preserve">El veinte </w:t>
      </w:r>
      <w:r>
        <w:rPr>
          <w:rFonts w:ascii="Arial" w:eastAsia="Arial" w:hAnsi="Arial" w:cs="Arial"/>
          <w:sz w:val="24"/>
          <w:szCs w:val="24"/>
        </w:rPr>
        <w:t xml:space="preserve">de </w:t>
      </w:r>
      <w:r>
        <w:rPr>
          <w:rFonts w:ascii="Arial" w:eastAsia="Arial" w:hAnsi="Arial" w:cs="Arial"/>
          <w:bCs/>
          <w:sz w:val="24"/>
          <w:szCs w:val="24"/>
        </w:rPr>
        <w:t>agosto, se realizó el Acta Circunstanciada de Verificación IEM-OFI-545/2026</w:t>
      </w:r>
      <w:r>
        <w:rPr>
          <w:rStyle w:val="Refdenotaalpie"/>
          <w:rFonts w:ascii="Arial" w:eastAsia="Arial" w:hAnsi="Arial" w:cs="Arial"/>
          <w:sz w:val="24"/>
          <w:szCs w:val="24"/>
        </w:rPr>
        <w:footnoteReference w:id="5"/>
      </w:r>
      <w:r>
        <w:rPr>
          <w:rFonts w:ascii="Arial" w:eastAsia="Arial" w:hAnsi="Arial" w:cs="Arial"/>
          <w:sz w:val="24"/>
          <w:szCs w:val="24"/>
        </w:rPr>
        <w:t>.</w:t>
      </w:r>
    </w:p>
    <w:p w14:paraId="4BAAFBC7"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sz w:val="24"/>
          <w:szCs w:val="24"/>
        </w:rPr>
        <w:lastRenderedPageBreak/>
        <w:t xml:space="preserve">1.3. Requerimientos. </w:t>
      </w:r>
      <w:r>
        <w:rPr>
          <w:rFonts w:ascii="Arial" w:eastAsia="Arial" w:hAnsi="Arial" w:cs="Arial"/>
          <w:bCs/>
          <w:sz w:val="24"/>
          <w:szCs w:val="24"/>
        </w:rPr>
        <w:t xml:space="preserve">El veinticinco siguiente, se requirió a los </w:t>
      </w:r>
      <w:r>
        <w:rPr>
          <w:rFonts w:ascii="Arial" w:eastAsia="Arial" w:hAnsi="Arial" w:cs="Arial"/>
          <w:bCs/>
          <w:i/>
          <w:iCs/>
          <w:sz w:val="24"/>
          <w:szCs w:val="24"/>
        </w:rPr>
        <w:t>denunciados</w:t>
      </w:r>
      <w:r>
        <w:rPr>
          <w:rFonts w:ascii="Arial" w:eastAsia="Arial" w:hAnsi="Arial" w:cs="Arial"/>
          <w:bCs/>
          <w:sz w:val="24"/>
          <w:szCs w:val="24"/>
        </w:rPr>
        <w:t xml:space="preserve"> diversa información para las diligencias de investigación</w:t>
      </w:r>
      <w:r>
        <w:rPr>
          <w:rStyle w:val="Refdenotaalpie"/>
          <w:rFonts w:ascii="Arial" w:eastAsia="Arial" w:hAnsi="Arial" w:cs="Arial"/>
          <w:bCs/>
          <w:sz w:val="24"/>
          <w:szCs w:val="24"/>
        </w:rPr>
        <w:footnoteReference w:id="6"/>
      </w:r>
      <w:r>
        <w:rPr>
          <w:rFonts w:ascii="Arial" w:eastAsia="Arial" w:hAnsi="Arial" w:cs="Arial"/>
          <w:bCs/>
          <w:sz w:val="24"/>
          <w:szCs w:val="24"/>
        </w:rPr>
        <w:t>.</w:t>
      </w:r>
    </w:p>
    <w:p w14:paraId="7989DFB3"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bCs/>
          <w:sz w:val="24"/>
          <w:szCs w:val="24"/>
        </w:rPr>
        <w:t xml:space="preserve">1.4. Cumplimiento y nuevas diligencias. </w:t>
      </w:r>
      <w:r>
        <w:rPr>
          <w:rFonts w:ascii="Arial" w:eastAsia="Arial" w:hAnsi="Arial" w:cs="Arial"/>
          <w:sz w:val="24"/>
          <w:szCs w:val="24"/>
        </w:rPr>
        <w:t>A través de proveídos de treinta y uno de agosto</w:t>
      </w:r>
      <w:r>
        <w:rPr>
          <w:rStyle w:val="Refdenotaalpie"/>
          <w:rFonts w:ascii="Arial" w:eastAsia="Arial" w:hAnsi="Arial" w:cs="Arial"/>
          <w:sz w:val="24"/>
          <w:szCs w:val="24"/>
        </w:rPr>
        <w:t xml:space="preserve"> </w:t>
      </w:r>
      <w:r>
        <w:rPr>
          <w:rStyle w:val="Refdenotaalpie"/>
          <w:rFonts w:ascii="Arial" w:eastAsia="Arial" w:hAnsi="Arial" w:cs="Arial"/>
          <w:sz w:val="24"/>
          <w:szCs w:val="24"/>
        </w:rPr>
        <w:footnoteReference w:id="7"/>
      </w:r>
      <w:r>
        <w:rPr>
          <w:rFonts w:ascii="Arial" w:eastAsia="Arial" w:hAnsi="Arial" w:cs="Arial"/>
          <w:sz w:val="24"/>
          <w:szCs w:val="24"/>
        </w:rPr>
        <w:t>, se tuvieron por cumplidos los requerimientos realizados, en la misma data y en acuerdo de veinticinco de agosto</w:t>
      </w:r>
      <w:r>
        <w:rPr>
          <w:rFonts w:ascii="Arial" w:eastAsia="Arial" w:hAnsi="Arial" w:cs="Arial"/>
          <w:i/>
          <w:iCs/>
          <w:sz w:val="24"/>
          <w:szCs w:val="24"/>
        </w:rPr>
        <w:t>,</w:t>
      </w:r>
      <w:r>
        <w:rPr>
          <w:rFonts w:ascii="Arial" w:eastAsia="Arial" w:hAnsi="Arial" w:cs="Arial"/>
          <w:sz w:val="24"/>
          <w:szCs w:val="24"/>
        </w:rPr>
        <w:t xml:space="preserve"> la </w:t>
      </w:r>
      <w:proofErr w:type="gramStart"/>
      <w:r>
        <w:rPr>
          <w:rFonts w:ascii="Arial" w:eastAsia="Arial" w:hAnsi="Arial" w:cs="Arial"/>
          <w:i/>
          <w:iCs/>
          <w:sz w:val="24"/>
          <w:szCs w:val="24"/>
        </w:rPr>
        <w:t>Secretaria Ejecutiva</w:t>
      </w:r>
      <w:proofErr w:type="gramEnd"/>
      <w:r>
        <w:rPr>
          <w:rFonts w:ascii="Arial" w:eastAsia="Arial" w:hAnsi="Arial" w:cs="Arial"/>
          <w:i/>
          <w:iCs/>
          <w:sz w:val="24"/>
          <w:szCs w:val="24"/>
        </w:rPr>
        <w:t xml:space="preserve"> </w:t>
      </w:r>
      <w:r>
        <w:rPr>
          <w:rFonts w:ascii="Arial" w:eastAsia="Arial" w:hAnsi="Arial" w:cs="Arial"/>
          <w:sz w:val="24"/>
          <w:szCs w:val="24"/>
        </w:rPr>
        <w:t>ordenó la realización de nuevas diligencias de investigación y requerimiento de información</w:t>
      </w:r>
      <w:r>
        <w:rPr>
          <w:rStyle w:val="Refdenotaalpie"/>
          <w:rFonts w:ascii="Arial" w:eastAsia="Arial" w:hAnsi="Arial" w:cs="Arial"/>
          <w:sz w:val="24"/>
          <w:szCs w:val="24"/>
        </w:rPr>
        <w:footnoteReference w:id="8"/>
      </w:r>
      <w:r>
        <w:rPr>
          <w:rFonts w:ascii="Arial" w:eastAsia="Arial" w:hAnsi="Arial" w:cs="Arial"/>
          <w:sz w:val="24"/>
          <w:szCs w:val="24"/>
        </w:rPr>
        <w:t>.</w:t>
      </w:r>
    </w:p>
    <w:p w14:paraId="3957D123" w14:textId="77777777" w:rsidR="00BE1E74" w:rsidRDefault="00D330BE">
      <w:pPr>
        <w:spacing w:before="240" w:after="0" w:line="360" w:lineRule="auto"/>
        <w:jc w:val="both"/>
        <w:rPr>
          <w:rFonts w:ascii="Arial" w:eastAsia="Arial" w:hAnsi="Arial" w:cs="Arial"/>
          <w:b/>
          <w:sz w:val="24"/>
          <w:szCs w:val="24"/>
        </w:rPr>
      </w:pPr>
      <w:r>
        <w:rPr>
          <w:rFonts w:ascii="Arial" w:eastAsia="Arial" w:hAnsi="Arial" w:cs="Arial"/>
          <w:b/>
          <w:sz w:val="24"/>
          <w:szCs w:val="24"/>
        </w:rPr>
        <w:t xml:space="preserve">1.5. Acta circunstanciada. </w:t>
      </w:r>
      <w:r>
        <w:rPr>
          <w:rFonts w:ascii="Arial" w:eastAsia="Arial" w:hAnsi="Arial" w:cs="Arial"/>
          <w:bCs/>
          <w:sz w:val="24"/>
          <w:szCs w:val="24"/>
        </w:rPr>
        <w:t xml:space="preserve">El tres </w:t>
      </w:r>
      <w:r>
        <w:rPr>
          <w:rFonts w:ascii="Arial" w:eastAsia="Arial" w:hAnsi="Arial" w:cs="Arial"/>
          <w:sz w:val="24"/>
          <w:szCs w:val="24"/>
        </w:rPr>
        <w:t xml:space="preserve">de </w:t>
      </w:r>
      <w:r>
        <w:rPr>
          <w:rFonts w:ascii="Arial" w:eastAsia="Arial" w:hAnsi="Arial" w:cs="Arial"/>
          <w:bCs/>
          <w:sz w:val="24"/>
          <w:szCs w:val="24"/>
        </w:rPr>
        <w:t>septiembre, se realizó el Acta Circunstanciada de Verificación IEM-OFI-570/2026</w:t>
      </w:r>
      <w:r>
        <w:rPr>
          <w:rStyle w:val="Refdenotaalpie"/>
          <w:rFonts w:ascii="Arial" w:eastAsia="Arial" w:hAnsi="Arial" w:cs="Arial"/>
          <w:sz w:val="24"/>
          <w:szCs w:val="24"/>
        </w:rPr>
        <w:footnoteReference w:id="9"/>
      </w:r>
      <w:r>
        <w:rPr>
          <w:rFonts w:ascii="Arial" w:eastAsia="Arial" w:hAnsi="Arial" w:cs="Arial"/>
          <w:sz w:val="24"/>
          <w:szCs w:val="24"/>
        </w:rPr>
        <w:t>.</w:t>
      </w:r>
      <w:r>
        <w:rPr>
          <w:rFonts w:ascii="Arial" w:eastAsia="Arial" w:hAnsi="Arial" w:cs="Arial"/>
          <w:b/>
          <w:sz w:val="24"/>
          <w:szCs w:val="24"/>
        </w:rPr>
        <w:t xml:space="preserve"> </w:t>
      </w:r>
    </w:p>
    <w:p w14:paraId="78FEEFF9"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sz w:val="24"/>
          <w:szCs w:val="24"/>
        </w:rPr>
        <w:t xml:space="preserve">1.6. Cumplimiento del requerimiento. </w:t>
      </w:r>
      <w:r>
        <w:rPr>
          <w:rFonts w:ascii="Arial" w:eastAsia="Arial" w:hAnsi="Arial" w:cs="Arial"/>
          <w:bCs/>
          <w:sz w:val="24"/>
          <w:szCs w:val="24"/>
        </w:rPr>
        <w:t>El diez siguiente, se tuvo por cumplido el requerimiento</w:t>
      </w:r>
      <w:r>
        <w:rPr>
          <w:rFonts w:ascii="Arial" w:eastAsia="Arial" w:hAnsi="Arial" w:cs="Arial"/>
          <w:sz w:val="24"/>
          <w:szCs w:val="24"/>
          <w:vertAlign w:val="superscript"/>
        </w:rPr>
        <w:t xml:space="preserve"> </w:t>
      </w:r>
      <w:r>
        <w:rPr>
          <w:rFonts w:ascii="Arial" w:eastAsia="Arial" w:hAnsi="Arial" w:cs="Arial"/>
          <w:sz w:val="24"/>
          <w:szCs w:val="24"/>
          <w:vertAlign w:val="superscript"/>
        </w:rPr>
        <w:footnoteReference w:id="10"/>
      </w:r>
      <w:r>
        <w:rPr>
          <w:rFonts w:ascii="Arial" w:eastAsia="Arial" w:hAnsi="Arial" w:cs="Arial"/>
          <w:sz w:val="24"/>
          <w:szCs w:val="24"/>
        </w:rPr>
        <w:t>.</w:t>
      </w:r>
    </w:p>
    <w:p w14:paraId="67490F80"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b/>
          <w:sz w:val="24"/>
          <w:szCs w:val="24"/>
        </w:rPr>
        <w:t xml:space="preserve">1.7. Admisión, precisión de las partes denunciadas y emplazamiento. </w:t>
      </w:r>
      <w:r>
        <w:rPr>
          <w:rFonts w:ascii="Arial" w:eastAsia="Arial" w:hAnsi="Arial" w:cs="Arial"/>
          <w:bCs/>
          <w:sz w:val="24"/>
          <w:szCs w:val="24"/>
        </w:rPr>
        <w:t xml:space="preserve">El nueve del mismo mes, </w:t>
      </w:r>
      <w:r>
        <w:rPr>
          <w:rFonts w:ascii="Arial" w:eastAsia="Arial" w:hAnsi="Arial" w:cs="Arial"/>
          <w:sz w:val="24"/>
          <w:szCs w:val="24"/>
        </w:rPr>
        <w:t xml:space="preserve">la </w:t>
      </w:r>
      <w:proofErr w:type="gramStart"/>
      <w:r>
        <w:rPr>
          <w:rFonts w:ascii="Arial" w:eastAsia="Arial" w:hAnsi="Arial" w:cs="Arial"/>
          <w:i/>
          <w:sz w:val="24"/>
          <w:szCs w:val="24"/>
        </w:rPr>
        <w:t>Secretaria Ejecutiva</w:t>
      </w:r>
      <w:proofErr w:type="gramEnd"/>
      <w:r>
        <w:rPr>
          <w:rFonts w:ascii="Arial" w:eastAsia="Arial" w:hAnsi="Arial" w:cs="Arial"/>
          <w:sz w:val="24"/>
          <w:szCs w:val="24"/>
        </w:rPr>
        <w:t xml:space="preserve"> admitió a trámite el procedimiento, precisó las partes denunciadas y ordenó el emplazamiento para la audiencia de pruebas y alegatos, a celebrarse el diecisiete de septiembre, la cual fue diferida para el veintiuno siguiente</w:t>
      </w:r>
      <w:r>
        <w:rPr>
          <w:rStyle w:val="Refdenotaalpie"/>
          <w:rFonts w:ascii="Arial" w:eastAsia="Arial" w:hAnsi="Arial" w:cs="Arial"/>
          <w:sz w:val="24"/>
          <w:szCs w:val="24"/>
        </w:rPr>
        <w:footnoteReference w:id="11"/>
      </w:r>
      <w:r>
        <w:rPr>
          <w:rFonts w:ascii="Arial" w:eastAsia="Arial" w:hAnsi="Arial" w:cs="Arial"/>
          <w:sz w:val="24"/>
          <w:szCs w:val="24"/>
        </w:rPr>
        <w:t>.</w:t>
      </w:r>
    </w:p>
    <w:p w14:paraId="78E49F00" w14:textId="77777777" w:rsidR="00BE1E74" w:rsidRDefault="00D330BE">
      <w:pPr>
        <w:spacing w:before="240" w:after="0" w:line="360" w:lineRule="auto"/>
        <w:jc w:val="both"/>
        <w:rPr>
          <w:rFonts w:ascii="Arial" w:eastAsia="Arial" w:hAnsi="Arial" w:cs="Arial"/>
          <w:b/>
          <w:sz w:val="24"/>
          <w:szCs w:val="24"/>
        </w:rPr>
      </w:pPr>
      <w:r>
        <w:rPr>
          <w:rFonts w:ascii="Arial" w:eastAsia="Arial" w:hAnsi="Arial" w:cs="Arial"/>
          <w:b/>
          <w:sz w:val="24"/>
          <w:szCs w:val="24"/>
        </w:rPr>
        <w:t xml:space="preserve">1.8. </w:t>
      </w:r>
      <w:r>
        <w:rPr>
          <w:rFonts w:ascii="Arial" w:eastAsia="Arial" w:hAnsi="Arial" w:cs="Arial"/>
          <w:b/>
          <w:bCs/>
          <w:sz w:val="24"/>
          <w:szCs w:val="24"/>
        </w:rPr>
        <w:t xml:space="preserve">Audiencia de pruebas y alegatos. </w:t>
      </w:r>
      <w:r>
        <w:rPr>
          <w:rFonts w:ascii="Arial" w:eastAsia="Arial" w:hAnsi="Arial" w:cs="Arial"/>
          <w:sz w:val="24"/>
          <w:szCs w:val="24"/>
        </w:rPr>
        <w:t>El veintiuno siguiente, se llevó a cabo la audiencia de pruebas y alegatos</w:t>
      </w:r>
      <w:r>
        <w:rPr>
          <w:rFonts w:ascii="Arial" w:eastAsia="Arial" w:hAnsi="Arial" w:cs="Arial"/>
          <w:i/>
          <w:iCs/>
          <w:sz w:val="24"/>
          <w:szCs w:val="24"/>
        </w:rPr>
        <w:t xml:space="preserve">, </w:t>
      </w:r>
      <w:r>
        <w:rPr>
          <w:rFonts w:ascii="Arial" w:eastAsia="Arial" w:hAnsi="Arial" w:cs="Arial"/>
          <w:sz w:val="24"/>
          <w:szCs w:val="24"/>
        </w:rPr>
        <w:t>en la que se recibieron los escritos presentados por las partes</w:t>
      </w:r>
      <w:r>
        <w:rPr>
          <w:rStyle w:val="Refdenotaalpie"/>
          <w:rFonts w:ascii="Arial" w:eastAsia="Arial" w:hAnsi="Arial" w:cs="Arial"/>
          <w:sz w:val="24"/>
          <w:szCs w:val="24"/>
        </w:rPr>
        <w:footnoteReference w:id="12"/>
      </w:r>
      <w:r>
        <w:rPr>
          <w:rFonts w:ascii="Arial" w:eastAsia="Arial" w:hAnsi="Arial" w:cs="Arial"/>
          <w:sz w:val="24"/>
          <w:szCs w:val="24"/>
        </w:rPr>
        <w:t>.</w:t>
      </w:r>
    </w:p>
    <w:p w14:paraId="75B4CCB7" w14:textId="77777777" w:rsidR="00BE1E74" w:rsidRDefault="00D330BE">
      <w:pPr>
        <w:spacing w:before="240" w:after="0"/>
        <w:ind w:left="567"/>
        <w:jc w:val="both"/>
        <w:rPr>
          <w:rFonts w:ascii="Arial" w:eastAsia="Arial" w:hAnsi="Arial" w:cs="Arial"/>
          <w:b/>
          <w:sz w:val="24"/>
          <w:szCs w:val="24"/>
        </w:rPr>
      </w:pPr>
      <w:r>
        <w:rPr>
          <w:rFonts w:ascii="Arial" w:eastAsia="Arial" w:hAnsi="Arial" w:cs="Arial"/>
          <w:b/>
          <w:sz w:val="24"/>
          <w:szCs w:val="24"/>
        </w:rPr>
        <w:t xml:space="preserve">2. Actuaciones del </w:t>
      </w:r>
      <w:r>
        <w:rPr>
          <w:rFonts w:ascii="Arial" w:eastAsia="Arial" w:hAnsi="Arial" w:cs="Arial"/>
          <w:b/>
          <w:i/>
          <w:sz w:val="24"/>
          <w:szCs w:val="24"/>
        </w:rPr>
        <w:t xml:space="preserve">Tribunal Electoral </w:t>
      </w:r>
      <w:r>
        <w:rPr>
          <w:rFonts w:ascii="Arial" w:eastAsia="Arial" w:hAnsi="Arial" w:cs="Arial"/>
          <w:b/>
          <w:sz w:val="24"/>
          <w:szCs w:val="24"/>
        </w:rPr>
        <w:t xml:space="preserve">vinculadas con la debida integración </w:t>
      </w:r>
    </w:p>
    <w:p w14:paraId="341E834A" w14:textId="77777777" w:rsidR="00BE1E74" w:rsidRDefault="00D330BE">
      <w:pPr>
        <w:spacing w:before="240" w:after="0" w:line="360" w:lineRule="auto"/>
        <w:jc w:val="both"/>
        <w:textAlignment w:val="baseline"/>
        <w:rPr>
          <w:rFonts w:ascii="Arial" w:eastAsia="Times New Roman" w:hAnsi="Arial" w:cs="Arial"/>
          <w:sz w:val="24"/>
          <w:szCs w:val="24"/>
        </w:rPr>
      </w:pPr>
      <w:r>
        <w:rPr>
          <w:rFonts w:ascii="Arial" w:eastAsia="Times New Roman" w:hAnsi="Arial" w:cs="Arial"/>
          <w:b/>
          <w:sz w:val="24"/>
          <w:szCs w:val="24"/>
        </w:rPr>
        <w:t>2.1. Recepción, registro y turno a Ponencia. </w:t>
      </w:r>
      <w:r>
        <w:rPr>
          <w:rFonts w:ascii="Arial" w:eastAsia="Times New Roman" w:hAnsi="Arial" w:cs="Arial"/>
          <w:sz w:val="24"/>
          <w:szCs w:val="24"/>
        </w:rPr>
        <w:t xml:space="preserve">El veintiuno de septiembre </w:t>
      </w:r>
      <w:r>
        <w:rPr>
          <w:rFonts w:ascii="Arial" w:eastAsia="Arial" w:hAnsi="Arial" w:cs="Arial"/>
          <w:sz w:val="24"/>
          <w:szCs w:val="24"/>
        </w:rPr>
        <w:t xml:space="preserve">se tuvo por recibido el expediente, se ordenó registrarlo con la clave </w:t>
      </w:r>
      <w:r>
        <w:rPr>
          <w:rFonts w:ascii="Arial" w:eastAsia="Times New Roman" w:hAnsi="Arial" w:cs="Arial"/>
          <w:sz w:val="24"/>
          <w:szCs w:val="24"/>
        </w:rPr>
        <w:t>TEEM-PES-021/2026, y se turnó a la Ponencia de la Magistrada Alma Rosa Bahena Villalobos</w:t>
      </w:r>
      <w:r>
        <w:rPr>
          <w:rStyle w:val="Refdenotaalpie"/>
          <w:rFonts w:ascii="Arial" w:eastAsia="Times New Roman" w:hAnsi="Arial" w:cs="Arial"/>
          <w:sz w:val="24"/>
          <w:szCs w:val="24"/>
        </w:rPr>
        <w:t xml:space="preserve"> </w:t>
      </w:r>
      <w:r>
        <w:rPr>
          <w:rStyle w:val="Refdenotaalpie"/>
          <w:rFonts w:ascii="Arial" w:eastAsia="Times New Roman" w:hAnsi="Arial" w:cs="Arial"/>
          <w:sz w:val="24"/>
          <w:szCs w:val="24"/>
        </w:rPr>
        <w:footnoteReference w:id="13"/>
      </w:r>
      <w:r>
        <w:rPr>
          <w:rFonts w:ascii="Arial" w:eastAsia="Times New Roman" w:hAnsi="Arial" w:cs="Arial"/>
          <w:sz w:val="24"/>
          <w:szCs w:val="24"/>
        </w:rPr>
        <w:t>.</w:t>
      </w:r>
    </w:p>
    <w:p w14:paraId="119F7CA3" w14:textId="77777777" w:rsidR="00BE1E74" w:rsidRDefault="00D330BE">
      <w:pPr>
        <w:spacing w:before="240" w:after="0" w:line="360" w:lineRule="auto"/>
        <w:jc w:val="both"/>
        <w:textAlignment w:val="baseline"/>
        <w:rPr>
          <w:rFonts w:ascii="Arial" w:eastAsia="Times New Roman" w:hAnsi="Arial" w:cs="Arial"/>
          <w:sz w:val="24"/>
          <w:szCs w:val="24"/>
        </w:rPr>
      </w:pPr>
      <w:r>
        <w:rPr>
          <w:rFonts w:ascii="Arial" w:eastAsia="Times New Roman" w:hAnsi="Arial" w:cs="Arial"/>
          <w:b/>
          <w:sz w:val="24"/>
          <w:szCs w:val="24"/>
        </w:rPr>
        <w:lastRenderedPageBreak/>
        <w:t xml:space="preserve">2.2. Radicación y verificación de debida integración. </w:t>
      </w:r>
      <w:r>
        <w:rPr>
          <w:rFonts w:ascii="Arial" w:eastAsia="Times New Roman" w:hAnsi="Arial" w:cs="Arial"/>
          <w:sz w:val="24"/>
          <w:szCs w:val="24"/>
        </w:rPr>
        <w:t xml:space="preserve">El veintidós de septiembre, la </w:t>
      </w:r>
      <w:r>
        <w:rPr>
          <w:rFonts w:ascii="Arial" w:hAnsi="Arial" w:cs="Arial"/>
          <w:sz w:val="24"/>
          <w:szCs w:val="24"/>
        </w:rPr>
        <w:t>Magistrada Instructora radicó el expediente, y el veinticinco de septiembre se instruyó la verificación de su debida integración</w:t>
      </w:r>
      <w:r>
        <w:rPr>
          <w:rStyle w:val="Refdenotaalpie"/>
          <w:rFonts w:ascii="Arial" w:eastAsia="Times New Roman" w:hAnsi="Arial" w:cs="Arial"/>
          <w:sz w:val="24"/>
          <w:szCs w:val="24"/>
        </w:rPr>
        <w:footnoteReference w:id="14"/>
      </w:r>
      <w:r>
        <w:rPr>
          <w:rFonts w:ascii="Arial" w:eastAsia="Times New Roman" w:hAnsi="Arial" w:cs="Arial"/>
          <w:sz w:val="24"/>
          <w:szCs w:val="24"/>
        </w:rPr>
        <w:t>.</w:t>
      </w:r>
    </w:p>
    <w:p w14:paraId="2E7D2905" w14:textId="7605C58D" w:rsidR="00BE1E74" w:rsidRDefault="00D330BE">
      <w:pPr>
        <w:spacing w:before="240" w:after="0" w:line="360" w:lineRule="auto"/>
        <w:jc w:val="both"/>
        <w:textAlignment w:val="baseline"/>
        <w:rPr>
          <w:rFonts w:ascii="Arial" w:eastAsia="Times New Roman" w:hAnsi="Arial" w:cs="Arial"/>
          <w:sz w:val="26"/>
          <w:szCs w:val="26"/>
        </w:rPr>
      </w:pPr>
      <w:r>
        <w:rPr>
          <w:rFonts w:ascii="Arial" w:eastAsia="Times New Roman" w:hAnsi="Arial" w:cs="Arial"/>
          <w:b/>
          <w:bCs/>
          <w:sz w:val="24"/>
          <w:szCs w:val="24"/>
        </w:rPr>
        <w:t xml:space="preserve">2.3. Debida integración del expediente. </w:t>
      </w:r>
      <w:r w:rsidRPr="006E71D0">
        <w:rPr>
          <w:rFonts w:ascii="Arial" w:eastAsia="Times New Roman" w:hAnsi="Arial" w:cs="Arial"/>
          <w:sz w:val="24"/>
          <w:szCs w:val="24"/>
        </w:rPr>
        <w:t xml:space="preserve">El </w:t>
      </w:r>
      <w:r w:rsidR="006E71D0" w:rsidRPr="006E71D0">
        <w:rPr>
          <w:rFonts w:ascii="Arial" w:eastAsia="Times New Roman" w:hAnsi="Arial" w:cs="Arial"/>
          <w:sz w:val="24"/>
          <w:szCs w:val="24"/>
        </w:rPr>
        <w:t>siete</w:t>
      </w:r>
      <w:r w:rsidRPr="006E71D0">
        <w:rPr>
          <w:rFonts w:ascii="Arial" w:eastAsia="Times New Roman" w:hAnsi="Arial" w:cs="Arial"/>
          <w:sz w:val="24"/>
          <w:szCs w:val="24"/>
        </w:rPr>
        <w:t xml:space="preserve"> de octubre, se</w:t>
      </w:r>
      <w:r>
        <w:rPr>
          <w:rFonts w:ascii="Arial" w:eastAsia="Times New Roman" w:hAnsi="Arial" w:cs="Arial"/>
          <w:sz w:val="24"/>
          <w:szCs w:val="24"/>
        </w:rPr>
        <w:t xml:space="preserve"> declaró la debida integración del expediente y, al no existir trámite o diligencia pendiente por desahogar, se ordenó la elaboración del proyecto de resolución, a fin de ponerlo a consideración del Pleno</w:t>
      </w:r>
      <w:r>
        <w:rPr>
          <w:rStyle w:val="Refdenotaalpie"/>
          <w:rFonts w:ascii="Arial" w:eastAsia="Times New Roman" w:hAnsi="Arial" w:cs="Arial"/>
          <w:sz w:val="24"/>
          <w:szCs w:val="24"/>
        </w:rPr>
        <w:footnoteReference w:id="15"/>
      </w:r>
      <w:r>
        <w:rPr>
          <w:rFonts w:ascii="Arial" w:eastAsia="Times New Roman" w:hAnsi="Arial" w:cs="Arial"/>
          <w:sz w:val="24"/>
          <w:szCs w:val="24"/>
        </w:rPr>
        <w:t>.</w:t>
      </w:r>
      <w:r>
        <w:rPr>
          <w:rFonts w:ascii="Arial" w:eastAsia="Times New Roman" w:hAnsi="Arial" w:cs="Arial"/>
          <w:sz w:val="26"/>
          <w:szCs w:val="26"/>
        </w:rPr>
        <w:t xml:space="preserve">   </w:t>
      </w:r>
    </w:p>
    <w:p w14:paraId="129B7A50" w14:textId="77777777" w:rsidR="00BE1E74" w:rsidRDefault="00D330BE">
      <w:pPr>
        <w:pStyle w:val="Ttulo1"/>
        <w:jc w:val="center"/>
        <w:rPr>
          <w:rFonts w:ascii="Arial" w:hAnsi="Arial" w:cs="Arial"/>
          <w:b/>
          <w:bCs/>
          <w:color w:val="auto"/>
          <w:sz w:val="24"/>
          <w:szCs w:val="24"/>
        </w:rPr>
      </w:pPr>
      <w:bookmarkStart w:id="10" w:name="_Toc229494280"/>
      <w:bookmarkStart w:id="11" w:name="_Toc242354038"/>
      <w:r>
        <w:rPr>
          <w:rFonts w:ascii="Arial" w:hAnsi="Arial" w:cs="Arial"/>
          <w:b/>
          <w:bCs/>
          <w:color w:val="auto"/>
          <w:sz w:val="24"/>
          <w:szCs w:val="24"/>
        </w:rPr>
        <w:t>II. COMPETENCIA</w:t>
      </w:r>
      <w:bookmarkEnd w:id="10"/>
      <w:bookmarkEnd w:id="11"/>
    </w:p>
    <w:p w14:paraId="71B00C34" w14:textId="77777777" w:rsidR="00BE1E74" w:rsidRDefault="00D330BE">
      <w:pPr>
        <w:spacing w:before="240" w:after="240" w:line="360" w:lineRule="auto"/>
        <w:jc w:val="both"/>
        <w:rPr>
          <w:rFonts w:ascii="Arial" w:eastAsia="Arial" w:hAnsi="Arial" w:cs="Arial"/>
          <w:i/>
          <w:iCs/>
          <w:sz w:val="24"/>
          <w:szCs w:val="24"/>
        </w:rPr>
      </w:pPr>
      <w:r>
        <w:rPr>
          <w:rFonts w:ascii="Arial" w:eastAsia="Arial" w:hAnsi="Arial" w:cs="Arial"/>
          <w:sz w:val="24"/>
          <w:szCs w:val="24"/>
        </w:rPr>
        <w:t>El Pleno de este</w:t>
      </w:r>
      <w:r>
        <w:rPr>
          <w:rFonts w:ascii="Arial" w:eastAsia="Arial" w:hAnsi="Arial" w:cs="Arial"/>
          <w:i/>
          <w:sz w:val="24"/>
          <w:szCs w:val="24"/>
        </w:rPr>
        <w:t xml:space="preserve"> órgano jurisdiccional</w:t>
      </w:r>
      <w:r>
        <w:rPr>
          <w:rFonts w:ascii="Arial" w:eastAsia="Arial" w:hAnsi="Arial" w:cs="Arial"/>
          <w:sz w:val="24"/>
          <w:szCs w:val="24"/>
        </w:rPr>
        <w:t xml:space="preserve"> es competente para conocer y resolver el presente procedimiento, ya que se denuncian presuntos actos de colocación de propaganda política en inmueble particular, sin autorización.</w:t>
      </w:r>
    </w:p>
    <w:p w14:paraId="09D10920"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 xml:space="preserve">Lo anterior, con fundamento en lo dispuesto en los artículos 98 A de la </w:t>
      </w:r>
      <w:r>
        <w:rPr>
          <w:rFonts w:ascii="Arial" w:eastAsia="Arial" w:hAnsi="Arial" w:cs="Arial"/>
          <w:i/>
          <w:sz w:val="24"/>
          <w:szCs w:val="24"/>
        </w:rPr>
        <w:t>Constitución Local</w:t>
      </w:r>
      <w:r>
        <w:rPr>
          <w:rFonts w:ascii="Arial" w:eastAsia="Arial" w:hAnsi="Arial" w:cs="Arial"/>
          <w:sz w:val="24"/>
          <w:szCs w:val="24"/>
        </w:rPr>
        <w:t xml:space="preserve">; 1, 2, 60, 64, fracción XIII, 66, fracciones II y III, 254, incisos b), 262, 263 y 264 del </w:t>
      </w:r>
      <w:r>
        <w:rPr>
          <w:rFonts w:ascii="Arial" w:eastAsia="Arial" w:hAnsi="Arial" w:cs="Arial"/>
          <w:i/>
          <w:sz w:val="24"/>
          <w:szCs w:val="24"/>
        </w:rPr>
        <w:t>Código Electoral</w:t>
      </w:r>
      <w:r>
        <w:rPr>
          <w:rFonts w:ascii="Arial" w:eastAsia="Arial" w:hAnsi="Arial" w:cs="Arial"/>
          <w:sz w:val="24"/>
          <w:szCs w:val="24"/>
        </w:rPr>
        <w:t xml:space="preserve">; y 91 del Reglamento Interior del </w:t>
      </w:r>
      <w:r>
        <w:rPr>
          <w:rFonts w:ascii="Arial" w:eastAsia="Arial" w:hAnsi="Arial" w:cs="Arial"/>
          <w:i/>
          <w:sz w:val="24"/>
          <w:szCs w:val="24"/>
        </w:rPr>
        <w:t>Tribunal Electoral</w:t>
      </w:r>
      <w:r>
        <w:rPr>
          <w:rFonts w:ascii="Arial" w:eastAsia="Arial" w:hAnsi="Arial" w:cs="Arial"/>
          <w:sz w:val="24"/>
          <w:szCs w:val="24"/>
        </w:rPr>
        <w:t>.</w:t>
      </w:r>
    </w:p>
    <w:p w14:paraId="3357C932" w14:textId="77777777" w:rsidR="00BE1E74" w:rsidRDefault="00D330BE">
      <w:pPr>
        <w:pStyle w:val="Ttulo2"/>
        <w:spacing w:before="100" w:beforeAutospacing="1" w:after="100" w:afterAutospacing="1" w:line="360" w:lineRule="auto"/>
        <w:jc w:val="center"/>
        <w:rPr>
          <w:rFonts w:ascii="Arial" w:hAnsi="Arial" w:cs="Arial"/>
          <w:b/>
          <w:bCs/>
          <w:color w:val="auto"/>
          <w:sz w:val="24"/>
          <w:szCs w:val="24"/>
        </w:rPr>
      </w:pPr>
      <w:bookmarkStart w:id="12" w:name="_Toc177046831"/>
      <w:bookmarkStart w:id="13" w:name="_Toc229494281"/>
      <w:bookmarkStart w:id="14" w:name="_Toc242354039"/>
      <w:bookmarkStart w:id="15" w:name="_Toc147131316"/>
      <w:r>
        <w:rPr>
          <w:rFonts w:ascii="Arial" w:hAnsi="Arial" w:cs="Arial"/>
          <w:b/>
          <w:bCs/>
          <w:color w:val="auto"/>
          <w:sz w:val="24"/>
          <w:szCs w:val="24"/>
        </w:rPr>
        <w:t>III. CAUSALES DE IMPROCEDENCIA</w:t>
      </w:r>
      <w:bookmarkEnd w:id="12"/>
      <w:bookmarkEnd w:id="13"/>
      <w:bookmarkEnd w:id="14"/>
    </w:p>
    <w:p w14:paraId="49CE6253" w14:textId="77777777" w:rsidR="00BE1E74" w:rsidRDefault="00D330BE">
      <w:pPr>
        <w:spacing w:before="240" w:after="0" w:line="360" w:lineRule="auto"/>
        <w:jc w:val="both"/>
        <w:rPr>
          <w:rFonts w:ascii="Arial" w:hAnsi="Arial" w:cs="Arial"/>
          <w:sz w:val="24"/>
          <w:szCs w:val="24"/>
        </w:rPr>
      </w:pPr>
      <w:bookmarkStart w:id="16" w:name="_Toc147131315"/>
      <w:bookmarkStart w:id="17" w:name="_Toc163203238"/>
      <w:bookmarkStart w:id="18" w:name="_Toc172723480"/>
      <w:bookmarkStart w:id="19" w:name="_Toc177046832"/>
      <w:r>
        <w:rPr>
          <w:rFonts w:ascii="Arial" w:hAnsi="Arial" w:cs="Arial"/>
          <w:sz w:val="24"/>
          <w:szCs w:val="24"/>
          <w:lang w:val="es-ES_tradnl"/>
        </w:rPr>
        <w:t>Al tratarse de cuestiones de orden público, se procede al examen de las causales de improcedencia invocadas, ya que, de resultar fundadas, se haría innecesario analizar el fondo de la cuestión planteada</w:t>
      </w:r>
      <w:r>
        <w:rPr>
          <w:rFonts w:ascii="Arial" w:hAnsi="Arial" w:cs="Arial"/>
          <w:sz w:val="24"/>
          <w:szCs w:val="24"/>
          <w:vertAlign w:val="superscript"/>
        </w:rPr>
        <w:footnoteReference w:id="16"/>
      </w:r>
      <w:r>
        <w:rPr>
          <w:rFonts w:ascii="Arial" w:hAnsi="Arial" w:cs="Arial"/>
          <w:sz w:val="24"/>
          <w:szCs w:val="24"/>
        </w:rPr>
        <w:t>.</w:t>
      </w:r>
    </w:p>
    <w:p w14:paraId="0D9ED7DB" w14:textId="77777777" w:rsidR="00BE1E74" w:rsidRDefault="00D330BE">
      <w:pPr>
        <w:pStyle w:val="Prrafodelista"/>
        <w:numPr>
          <w:ilvl w:val="0"/>
          <w:numId w:val="14"/>
        </w:numPr>
        <w:spacing w:before="240" w:after="0" w:line="360" w:lineRule="auto"/>
        <w:jc w:val="both"/>
        <w:rPr>
          <w:rFonts w:ascii="Arial" w:hAnsi="Arial" w:cs="Arial"/>
          <w:sz w:val="24"/>
          <w:szCs w:val="24"/>
        </w:rPr>
      </w:pPr>
      <w:r>
        <w:rPr>
          <w:rFonts w:ascii="Arial" w:hAnsi="Arial" w:cs="Arial"/>
          <w:b/>
          <w:bCs/>
          <w:color w:val="000000" w:themeColor="text1"/>
          <w:sz w:val="24"/>
          <w:szCs w:val="24"/>
        </w:rPr>
        <w:t>Sin materia por cambio de situación jurídica</w:t>
      </w:r>
    </w:p>
    <w:p w14:paraId="21CBADE6" w14:textId="77777777" w:rsidR="00BE1E74" w:rsidRDefault="00D330BE">
      <w:pPr>
        <w:spacing w:before="240" w:after="0" w:line="360" w:lineRule="auto"/>
        <w:jc w:val="both"/>
        <w:rPr>
          <w:rFonts w:ascii="Arial" w:hAnsi="Arial" w:cs="Arial"/>
          <w:sz w:val="24"/>
          <w:szCs w:val="24"/>
        </w:rPr>
      </w:pPr>
      <w:r>
        <w:rPr>
          <w:rFonts w:ascii="Arial" w:eastAsia="Times New Roman" w:hAnsi="Arial" w:cs="Arial"/>
          <w:sz w:val="24"/>
          <w:szCs w:val="24"/>
        </w:rPr>
        <w:t xml:space="preserve">En el caso, los </w:t>
      </w:r>
      <w:r>
        <w:rPr>
          <w:rFonts w:ascii="Arial" w:eastAsia="Times New Roman" w:hAnsi="Arial" w:cs="Arial"/>
          <w:i/>
          <w:iCs/>
          <w:sz w:val="24"/>
          <w:szCs w:val="24"/>
        </w:rPr>
        <w:t>denunciados</w:t>
      </w:r>
      <w:r>
        <w:rPr>
          <w:rFonts w:ascii="Arial" w:eastAsia="Times New Roman" w:hAnsi="Arial" w:cs="Arial"/>
          <w:sz w:val="24"/>
          <w:szCs w:val="24"/>
        </w:rPr>
        <w:t xml:space="preserve">, </w:t>
      </w:r>
      <w:r>
        <w:rPr>
          <w:rFonts w:ascii="Arial" w:hAnsi="Arial" w:cs="Arial"/>
          <w:color w:val="000000" w:themeColor="text1"/>
          <w:sz w:val="24"/>
          <w:szCs w:val="24"/>
        </w:rPr>
        <w:t xml:space="preserve">al comparecer a la audiencia de pruebas y alegatos, hacen valer como causal de improcedencia, el haber quedado </w:t>
      </w:r>
      <w:r>
        <w:rPr>
          <w:rFonts w:ascii="Arial" w:hAnsi="Arial" w:cs="Arial"/>
          <w:b/>
          <w:bCs/>
          <w:color w:val="000000" w:themeColor="text1"/>
          <w:sz w:val="24"/>
          <w:szCs w:val="24"/>
        </w:rPr>
        <w:t>sin materia por cambio de situación jurídica</w:t>
      </w:r>
      <w:r>
        <w:rPr>
          <w:rFonts w:ascii="Arial" w:hAnsi="Arial" w:cs="Arial"/>
          <w:color w:val="000000" w:themeColor="text1"/>
          <w:sz w:val="24"/>
          <w:szCs w:val="24"/>
        </w:rPr>
        <w:t xml:space="preserve">, al considerar que si bien en un primer momento mediante Acta Circunstanciada IEM-OFI-545/2026, el </w:t>
      </w:r>
      <w:r>
        <w:rPr>
          <w:rFonts w:ascii="Arial" w:hAnsi="Arial" w:cs="Arial"/>
          <w:i/>
          <w:iCs/>
          <w:color w:val="000000" w:themeColor="text1"/>
          <w:sz w:val="24"/>
          <w:szCs w:val="24"/>
        </w:rPr>
        <w:t>Instituto</w:t>
      </w:r>
      <w:r>
        <w:rPr>
          <w:rFonts w:ascii="Arial" w:hAnsi="Arial" w:cs="Arial"/>
          <w:color w:val="000000" w:themeColor="text1"/>
          <w:sz w:val="24"/>
          <w:szCs w:val="24"/>
        </w:rPr>
        <w:t xml:space="preserve"> verificó la propaganda denunciada, esta ya </w:t>
      </w:r>
      <w:r>
        <w:rPr>
          <w:rFonts w:ascii="Arial" w:hAnsi="Arial" w:cs="Arial"/>
          <w:color w:val="000000" w:themeColor="text1"/>
          <w:sz w:val="24"/>
          <w:szCs w:val="24"/>
        </w:rPr>
        <w:lastRenderedPageBreak/>
        <w:t>es inexistente, tal y como quedó acreditado en diversa Acta Circunstanciada de Verificación IEM-OFI-5</w:t>
      </w:r>
      <w:r>
        <w:rPr>
          <w:rFonts w:ascii="Arial" w:hAnsi="Arial"/>
          <w:color w:val="000000" w:themeColor="text1"/>
          <w:sz w:val="24"/>
        </w:rPr>
        <w:t>7</w:t>
      </w:r>
      <w:r>
        <w:rPr>
          <w:rFonts w:ascii="Arial" w:hAnsi="Arial" w:cs="Arial"/>
          <w:color w:val="000000" w:themeColor="text1"/>
          <w:sz w:val="24"/>
          <w:szCs w:val="24"/>
        </w:rPr>
        <w:t xml:space="preserve">0/2026 levantada por el </w:t>
      </w:r>
      <w:r>
        <w:rPr>
          <w:rFonts w:ascii="Arial" w:hAnsi="Arial" w:cs="Arial"/>
          <w:i/>
          <w:iCs/>
          <w:color w:val="000000" w:themeColor="text1"/>
          <w:sz w:val="24"/>
          <w:szCs w:val="24"/>
        </w:rPr>
        <w:t xml:space="preserve">IEM </w:t>
      </w:r>
      <w:r>
        <w:rPr>
          <w:rFonts w:ascii="Arial" w:hAnsi="Arial" w:cs="Arial"/>
          <w:color w:val="000000" w:themeColor="text1"/>
          <w:sz w:val="24"/>
          <w:szCs w:val="24"/>
        </w:rPr>
        <w:t>el tres de septiembre, por lo que al haber desaparecido el hecho constitutivo de la denuncia solicitan el sobreseimiento del procedimiento sancionador.</w:t>
      </w:r>
    </w:p>
    <w:p w14:paraId="1DDB1305"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Al respecto, la causal de improcedencia se </w:t>
      </w:r>
      <w:r>
        <w:rPr>
          <w:rFonts w:ascii="Arial" w:eastAsia="Times New Roman" w:hAnsi="Arial" w:cs="Arial"/>
          <w:b/>
          <w:bCs/>
          <w:sz w:val="24"/>
          <w:szCs w:val="24"/>
        </w:rPr>
        <w:t xml:space="preserve">desestima </w:t>
      </w:r>
      <w:r>
        <w:rPr>
          <w:rFonts w:ascii="Arial" w:eastAsia="Times New Roman" w:hAnsi="Arial" w:cs="Arial"/>
          <w:sz w:val="24"/>
          <w:szCs w:val="24"/>
        </w:rPr>
        <w:t xml:space="preserve">porque el hecho de que la propaganda denunciada ya no se encuentre disponible o visible al momento de realizarse una diligencia de verificación posterior, no implica, por sí mismo, que los hechos materia de la denuncia hayan dejado de existir para efectos del procedimiento sancionador. </w:t>
      </w:r>
    </w:p>
    <w:p w14:paraId="78755EB6" w14:textId="32EC66CF"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Por el contrario, la existencia de la propaganda quedó asentada en el Acta Circunstanciada IEM-OFI-545/2026, mientras que en la diversa IEM-OFI-570/2026 únicamente da cuenta de su inexistencia al momento de la segunda verificación. Aspectos que corresponde a este </w:t>
      </w:r>
      <w:r>
        <w:rPr>
          <w:rFonts w:ascii="Arial" w:eastAsia="Times New Roman" w:hAnsi="Arial" w:cs="Arial"/>
          <w:i/>
          <w:iCs/>
          <w:sz w:val="24"/>
          <w:szCs w:val="24"/>
        </w:rPr>
        <w:t>Tribunal Electoral</w:t>
      </w:r>
      <w:r>
        <w:rPr>
          <w:rFonts w:ascii="Arial" w:eastAsia="Times New Roman" w:hAnsi="Arial" w:cs="Arial"/>
          <w:sz w:val="24"/>
          <w:szCs w:val="24"/>
        </w:rPr>
        <w:t xml:space="preserve"> valorar en conjunto con los demás </w:t>
      </w:r>
      <w:r w:rsidR="000B6463">
        <w:rPr>
          <w:rFonts w:ascii="Arial" w:eastAsia="Times New Roman" w:hAnsi="Arial" w:cs="Arial"/>
          <w:sz w:val="24"/>
          <w:szCs w:val="24"/>
        </w:rPr>
        <w:t>medios de convicción</w:t>
      </w:r>
      <w:r>
        <w:rPr>
          <w:rFonts w:ascii="Arial" w:eastAsia="Times New Roman" w:hAnsi="Arial" w:cs="Arial"/>
          <w:sz w:val="24"/>
          <w:szCs w:val="24"/>
        </w:rPr>
        <w:t xml:space="preserve"> que obren en autos, para determinar si se actualizan o no los elementos de la conducta denunciada. </w:t>
      </w:r>
    </w:p>
    <w:p w14:paraId="49BF594A"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Ello, porque la determinación respecto a la existencia o inexistencia de alguna infracción en materia electoral y el análisis de los hechos denunciados corresponde al estudio de la materia de queja; razonar en sentido contrario implicaría prejuzgar sobre el fondo de la controversia. </w:t>
      </w:r>
    </w:p>
    <w:p w14:paraId="4CD13862" w14:textId="77777777" w:rsidR="00BE1E74" w:rsidRDefault="00D330BE">
      <w:pPr>
        <w:spacing w:before="240" w:after="0" w:line="360" w:lineRule="auto"/>
        <w:jc w:val="both"/>
        <w:rPr>
          <w:rFonts w:ascii="Arial" w:hAnsi="Arial" w:cs="Arial"/>
          <w:sz w:val="24"/>
          <w:szCs w:val="24"/>
        </w:rPr>
      </w:pPr>
      <w:r>
        <w:rPr>
          <w:rFonts w:ascii="Arial" w:eastAsia="Times New Roman" w:hAnsi="Arial" w:cs="Arial"/>
          <w:sz w:val="24"/>
          <w:szCs w:val="24"/>
        </w:rPr>
        <w:t>Aunado a que esta no se encuentra en las previstas e</w:t>
      </w:r>
      <w:r>
        <w:rPr>
          <w:rFonts w:ascii="Arial" w:hAnsi="Arial" w:cs="Arial"/>
          <w:color w:val="000000" w:themeColor="text1"/>
          <w:sz w:val="24"/>
          <w:szCs w:val="24"/>
        </w:rPr>
        <w:t xml:space="preserve">n los </w:t>
      </w:r>
      <w:r>
        <w:rPr>
          <w:rFonts w:ascii="Arial" w:hAnsi="Arial" w:cs="Arial"/>
          <w:sz w:val="24"/>
          <w:szCs w:val="24"/>
        </w:rPr>
        <w:t xml:space="preserve">artículos 85, 101, del Reglamento para la Tramitación y Sustanciación de Quejas y Denuncias del </w:t>
      </w:r>
      <w:r>
        <w:rPr>
          <w:rFonts w:ascii="Arial" w:hAnsi="Arial" w:cs="Arial"/>
          <w:i/>
          <w:iCs/>
          <w:sz w:val="24"/>
          <w:szCs w:val="24"/>
        </w:rPr>
        <w:t>IEM</w:t>
      </w:r>
      <w:r>
        <w:rPr>
          <w:rFonts w:ascii="Arial" w:hAnsi="Arial" w:cs="Arial"/>
          <w:sz w:val="24"/>
          <w:szCs w:val="24"/>
        </w:rPr>
        <w:t xml:space="preserve">, 241 Bis, 241 Ter, 257 del </w:t>
      </w:r>
      <w:r>
        <w:rPr>
          <w:rFonts w:ascii="Arial" w:hAnsi="Arial"/>
          <w:i/>
          <w:sz w:val="24"/>
        </w:rPr>
        <w:t>Código Electoral</w:t>
      </w:r>
      <w:r>
        <w:rPr>
          <w:rFonts w:ascii="Arial" w:hAnsi="Arial" w:cs="Arial"/>
          <w:i/>
          <w:iCs/>
          <w:sz w:val="24"/>
          <w:szCs w:val="24"/>
        </w:rPr>
        <w:t xml:space="preserve"> </w:t>
      </w:r>
      <w:r>
        <w:rPr>
          <w:rFonts w:ascii="Arial" w:eastAsia="Times New Roman" w:hAnsi="Arial" w:cs="Arial"/>
          <w:sz w:val="24"/>
          <w:szCs w:val="24"/>
        </w:rPr>
        <w:t>que regulan la materia</w:t>
      </w:r>
      <w:r>
        <w:rPr>
          <w:rFonts w:ascii="Arial" w:hAnsi="Arial" w:cs="Arial"/>
          <w:sz w:val="24"/>
          <w:szCs w:val="24"/>
        </w:rPr>
        <w:t>.</w:t>
      </w:r>
    </w:p>
    <w:p w14:paraId="116CF2E7" w14:textId="77777777" w:rsidR="00BE1E74" w:rsidRDefault="00D330BE">
      <w:pPr>
        <w:pStyle w:val="Prrafodelista"/>
        <w:numPr>
          <w:ilvl w:val="0"/>
          <w:numId w:val="14"/>
        </w:numPr>
        <w:spacing w:before="240" w:after="0" w:line="360" w:lineRule="auto"/>
        <w:jc w:val="both"/>
        <w:rPr>
          <w:rFonts w:ascii="Arial" w:eastAsia="Times New Roman" w:hAnsi="Arial" w:cs="Arial"/>
          <w:b/>
          <w:bCs/>
          <w:sz w:val="24"/>
          <w:szCs w:val="24"/>
        </w:rPr>
      </w:pPr>
      <w:r>
        <w:rPr>
          <w:rFonts w:ascii="Arial" w:eastAsia="Times New Roman" w:hAnsi="Arial" w:cs="Arial"/>
          <w:b/>
          <w:bCs/>
          <w:sz w:val="24"/>
          <w:szCs w:val="24"/>
        </w:rPr>
        <w:t>Falta de pruebas</w:t>
      </w:r>
    </w:p>
    <w:p w14:paraId="1BAF3F98" w14:textId="2BE1B84A"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De igual manera, el </w:t>
      </w:r>
      <w:r>
        <w:rPr>
          <w:rFonts w:ascii="Arial" w:eastAsia="Times New Roman" w:hAnsi="Arial" w:cs="Arial"/>
          <w:i/>
          <w:iCs/>
          <w:sz w:val="24"/>
          <w:szCs w:val="24"/>
        </w:rPr>
        <w:t>partido político denunciado</w:t>
      </w:r>
      <w:r>
        <w:rPr>
          <w:rFonts w:ascii="Arial" w:eastAsia="Times New Roman" w:hAnsi="Arial" w:cs="Arial"/>
          <w:sz w:val="24"/>
          <w:szCs w:val="24"/>
        </w:rPr>
        <w:t xml:space="preserve"> señala que la </w:t>
      </w:r>
      <w:r>
        <w:rPr>
          <w:rFonts w:ascii="Arial" w:eastAsia="Times New Roman" w:hAnsi="Arial" w:cs="Arial"/>
          <w:i/>
          <w:iCs/>
          <w:sz w:val="24"/>
          <w:szCs w:val="24"/>
        </w:rPr>
        <w:t>denunciante</w:t>
      </w:r>
      <w:r>
        <w:rPr>
          <w:rFonts w:ascii="Arial" w:eastAsia="Times New Roman" w:hAnsi="Arial" w:cs="Arial"/>
          <w:sz w:val="24"/>
          <w:szCs w:val="24"/>
        </w:rPr>
        <w:t xml:space="preserve"> </w:t>
      </w:r>
      <w:r>
        <w:rPr>
          <w:rFonts w:ascii="Arial" w:eastAsia="Times New Roman" w:hAnsi="Arial" w:cs="Arial"/>
          <w:b/>
          <w:bCs/>
          <w:sz w:val="24"/>
          <w:szCs w:val="24"/>
        </w:rPr>
        <w:t>no aportó elementos de</w:t>
      </w:r>
      <w:r>
        <w:rPr>
          <w:rFonts w:ascii="Arial" w:eastAsia="Times New Roman" w:hAnsi="Arial" w:cs="Arial"/>
          <w:sz w:val="24"/>
          <w:szCs w:val="24"/>
        </w:rPr>
        <w:t xml:space="preserve"> </w:t>
      </w:r>
      <w:r>
        <w:rPr>
          <w:rFonts w:ascii="Arial" w:eastAsia="Times New Roman" w:hAnsi="Arial" w:cs="Arial"/>
          <w:b/>
          <w:bCs/>
          <w:sz w:val="24"/>
          <w:szCs w:val="24"/>
        </w:rPr>
        <w:t xml:space="preserve">prueba </w:t>
      </w:r>
      <w:r>
        <w:rPr>
          <w:rFonts w:ascii="Arial" w:eastAsia="Times New Roman" w:hAnsi="Arial" w:cs="Arial"/>
          <w:sz w:val="24"/>
          <w:szCs w:val="24"/>
        </w:rPr>
        <w:t xml:space="preserve">que acrediten la participación de los </w:t>
      </w:r>
      <w:r>
        <w:rPr>
          <w:rFonts w:ascii="Arial" w:eastAsia="Times New Roman" w:hAnsi="Arial" w:cs="Arial"/>
          <w:i/>
          <w:iCs/>
          <w:sz w:val="24"/>
          <w:szCs w:val="24"/>
        </w:rPr>
        <w:t>denunciados</w:t>
      </w:r>
      <w:r>
        <w:rPr>
          <w:rFonts w:ascii="Arial" w:eastAsia="Times New Roman" w:hAnsi="Arial" w:cs="Arial"/>
          <w:sz w:val="24"/>
          <w:szCs w:val="24"/>
        </w:rPr>
        <w:t xml:space="preserve"> en los hechos controvertidos. Sobre el particular, debe señalarse que contrario a lo sostenido por el representante de </w:t>
      </w:r>
      <w:r>
        <w:rPr>
          <w:rFonts w:ascii="Arial" w:eastAsia="Times New Roman" w:hAnsi="Arial" w:cs="Arial"/>
          <w:i/>
          <w:iCs/>
          <w:sz w:val="24"/>
          <w:szCs w:val="24"/>
        </w:rPr>
        <w:t xml:space="preserve">MORENA, </w:t>
      </w:r>
      <w:r>
        <w:rPr>
          <w:rFonts w:ascii="Arial" w:eastAsia="Times New Roman" w:hAnsi="Arial" w:cs="Arial"/>
          <w:sz w:val="24"/>
          <w:szCs w:val="24"/>
        </w:rPr>
        <w:t xml:space="preserve">al momento de expresar los hechos que </w:t>
      </w:r>
      <w:r>
        <w:rPr>
          <w:rFonts w:ascii="Arial" w:eastAsia="Times New Roman" w:hAnsi="Arial" w:cs="Arial"/>
          <w:sz w:val="24"/>
          <w:szCs w:val="24"/>
        </w:rPr>
        <w:lastRenderedPageBreak/>
        <w:t xml:space="preserve">en su concepto vulneran la normativa electoral, aportó </w:t>
      </w:r>
      <w:r w:rsidR="000B6463">
        <w:rPr>
          <w:rFonts w:ascii="Arial" w:eastAsia="Times New Roman" w:hAnsi="Arial" w:cs="Arial"/>
          <w:sz w:val="24"/>
          <w:szCs w:val="24"/>
        </w:rPr>
        <w:t>los</w:t>
      </w:r>
      <w:r>
        <w:rPr>
          <w:rFonts w:ascii="Arial" w:eastAsia="Times New Roman" w:hAnsi="Arial" w:cs="Arial"/>
          <w:sz w:val="24"/>
          <w:szCs w:val="24"/>
        </w:rPr>
        <w:t xml:space="preserve"> medio</w:t>
      </w:r>
      <w:r w:rsidR="000B6463">
        <w:rPr>
          <w:rFonts w:ascii="Arial" w:eastAsia="Times New Roman" w:hAnsi="Arial" w:cs="Arial"/>
          <w:sz w:val="24"/>
          <w:szCs w:val="24"/>
        </w:rPr>
        <w:t>s</w:t>
      </w:r>
      <w:r>
        <w:rPr>
          <w:rFonts w:ascii="Arial" w:eastAsia="Times New Roman" w:hAnsi="Arial" w:cs="Arial"/>
          <w:sz w:val="24"/>
          <w:szCs w:val="24"/>
        </w:rPr>
        <w:t xml:space="preserve"> de convicción que consideró idóneo</w:t>
      </w:r>
      <w:r w:rsidR="000B6463">
        <w:rPr>
          <w:rFonts w:ascii="Arial" w:eastAsia="Times New Roman" w:hAnsi="Arial" w:cs="Arial"/>
          <w:sz w:val="24"/>
          <w:szCs w:val="24"/>
        </w:rPr>
        <w:t>s</w:t>
      </w:r>
      <w:r>
        <w:rPr>
          <w:rFonts w:ascii="Arial" w:eastAsia="Times New Roman" w:hAnsi="Arial" w:cs="Arial"/>
          <w:sz w:val="24"/>
          <w:szCs w:val="24"/>
        </w:rPr>
        <w:t xml:space="preserve"> y suficientes para su acreditación. </w:t>
      </w:r>
    </w:p>
    <w:p w14:paraId="2D275C1F"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En el caso, la </w:t>
      </w:r>
      <w:r>
        <w:rPr>
          <w:rFonts w:ascii="Arial" w:eastAsia="Times New Roman" w:hAnsi="Arial" w:cs="Arial"/>
          <w:i/>
          <w:iCs/>
          <w:sz w:val="24"/>
          <w:szCs w:val="24"/>
        </w:rPr>
        <w:t>denunciante</w:t>
      </w:r>
      <w:r>
        <w:rPr>
          <w:rFonts w:ascii="Arial" w:eastAsia="Times New Roman" w:hAnsi="Arial" w:cs="Arial"/>
          <w:sz w:val="24"/>
          <w:szCs w:val="24"/>
        </w:rPr>
        <w:t xml:space="preserve"> proporcionó circunstancias de modo, tiempo y lugar respecto de la propaganda controvertida y aportó elementos gráficos tendentes a demostrar su existencia y contenido —impresión de fotografías—, de los que se desprenden las expresiones: </w:t>
      </w:r>
      <w:r>
        <w:rPr>
          <w:rFonts w:ascii="Arial" w:hAnsi="Arial" w:cs="Arial"/>
          <w:sz w:val="24"/>
          <w:szCs w:val="24"/>
        </w:rPr>
        <w:t xml:space="preserve">“Marco Polo”, “MORELIA”, “morena”, “Pintamos los amigos” y “#YoSoy4T”, </w:t>
      </w:r>
      <w:r>
        <w:rPr>
          <w:rFonts w:ascii="Arial" w:eastAsia="Times New Roman" w:hAnsi="Arial" w:cs="Arial"/>
          <w:sz w:val="24"/>
          <w:szCs w:val="24"/>
        </w:rPr>
        <w:t xml:space="preserve">lo cual, en su oportunidad, fue verificado y que será motivo de valoración y estudio por </w:t>
      </w:r>
      <w:r>
        <w:rPr>
          <w:rFonts w:ascii="Arial" w:eastAsia="Times New Roman" w:hAnsi="Arial" w:cs="Arial"/>
          <w:i/>
          <w:iCs/>
          <w:sz w:val="24"/>
          <w:szCs w:val="24"/>
        </w:rPr>
        <w:t xml:space="preserve">este </w:t>
      </w:r>
      <w:r>
        <w:rPr>
          <w:rFonts w:ascii="Arial" w:hAnsi="Arial"/>
          <w:i/>
          <w:iCs/>
          <w:sz w:val="24"/>
        </w:rPr>
        <w:t>órgano jurisdiccional</w:t>
      </w:r>
      <w:r>
        <w:rPr>
          <w:rFonts w:ascii="Arial" w:eastAsia="Times New Roman" w:hAnsi="Arial" w:cs="Arial"/>
          <w:sz w:val="24"/>
          <w:szCs w:val="24"/>
        </w:rPr>
        <w:t xml:space="preserve"> en el momento procesal oportuno. </w:t>
      </w:r>
    </w:p>
    <w:p w14:paraId="5A05EA0D"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Ahora, sobre la acreditación o no de la participación de los </w:t>
      </w:r>
      <w:r>
        <w:rPr>
          <w:rFonts w:ascii="Arial" w:eastAsia="Times New Roman" w:hAnsi="Arial" w:cs="Arial"/>
          <w:i/>
          <w:sz w:val="24"/>
          <w:szCs w:val="24"/>
        </w:rPr>
        <w:t>denunciados</w:t>
      </w:r>
      <w:r>
        <w:rPr>
          <w:rFonts w:ascii="Arial" w:eastAsia="Times New Roman" w:hAnsi="Arial" w:cs="Arial"/>
          <w:sz w:val="24"/>
          <w:szCs w:val="24"/>
        </w:rPr>
        <w:t>, de igual manera corresponde al estudio de fondo de la materia de queja.</w:t>
      </w:r>
    </w:p>
    <w:p w14:paraId="2FF0D7EE"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En consecuencia, se </w:t>
      </w:r>
      <w:r>
        <w:rPr>
          <w:rFonts w:ascii="Arial" w:eastAsia="Times New Roman" w:hAnsi="Arial" w:cs="Arial"/>
          <w:b/>
          <w:bCs/>
          <w:sz w:val="24"/>
          <w:szCs w:val="24"/>
        </w:rPr>
        <w:t>desestima</w:t>
      </w:r>
      <w:r>
        <w:rPr>
          <w:rFonts w:ascii="Arial" w:eastAsia="Times New Roman" w:hAnsi="Arial" w:cs="Arial"/>
          <w:sz w:val="24"/>
          <w:szCs w:val="24"/>
        </w:rPr>
        <w:t xml:space="preserve"> la causal de improcedencia. </w:t>
      </w:r>
    </w:p>
    <w:p w14:paraId="45988BD2" w14:textId="77777777" w:rsidR="00BE1E74" w:rsidRDefault="00D330BE">
      <w:pPr>
        <w:pStyle w:val="Prrafodelista"/>
        <w:numPr>
          <w:ilvl w:val="0"/>
          <w:numId w:val="16"/>
        </w:numPr>
        <w:spacing w:before="240" w:after="240"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Incongruencia del </w:t>
      </w:r>
      <w:r>
        <w:rPr>
          <w:rFonts w:ascii="Arial" w:eastAsia="Times New Roman" w:hAnsi="Arial" w:cs="Arial"/>
          <w:b/>
          <w:bCs/>
          <w:i/>
          <w:iCs/>
          <w:sz w:val="24"/>
          <w:szCs w:val="24"/>
        </w:rPr>
        <w:t>IEM</w:t>
      </w:r>
    </w:p>
    <w:p w14:paraId="0838C046" w14:textId="77777777" w:rsidR="00BE1E74" w:rsidRDefault="00D330BE">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 xml:space="preserve">De igual manera, el representante de </w:t>
      </w:r>
      <w:r>
        <w:rPr>
          <w:rFonts w:ascii="Arial" w:eastAsia="Times New Roman" w:hAnsi="Arial" w:cs="Arial"/>
          <w:i/>
          <w:sz w:val="24"/>
          <w:szCs w:val="24"/>
        </w:rPr>
        <w:t>MORENA</w:t>
      </w:r>
      <w:r>
        <w:rPr>
          <w:rFonts w:ascii="Arial" w:eastAsia="Times New Roman" w:hAnsi="Arial" w:cs="Arial"/>
          <w:sz w:val="24"/>
          <w:szCs w:val="24"/>
        </w:rPr>
        <w:t xml:space="preserve"> sostiene que con sustento en el artículo 85, fracción IV del Reglamento citado, la queja es improcedente y por tanto debe desecharse al considerar que en el acuerdo de admisión el </w:t>
      </w:r>
      <w:r>
        <w:rPr>
          <w:rFonts w:ascii="Arial" w:eastAsia="Times New Roman" w:hAnsi="Arial" w:cs="Arial"/>
          <w:i/>
          <w:iCs/>
          <w:sz w:val="24"/>
          <w:szCs w:val="24"/>
        </w:rPr>
        <w:t xml:space="preserve">IEM </w:t>
      </w:r>
      <w:r>
        <w:rPr>
          <w:rFonts w:ascii="Arial" w:eastAsia="Times New Roman" w:hAnsi="Arial" w:cs="Arial"/>
          <w:sz w:val="24"/>
          <w:szCs w:val="24"/>
        </w:rPr>
        <w:t xml:space="preserve">incurrió en una incongruencia, al referir en una parte “propaganda electoral” y en otros apartados como “propaganda política”. </w:t>
      </w:r>
    </w:p>
    <w:p w14:paraId="0434EDC3" w14:textId="77777777" w:rsidR="00BE1E74" w:rsidRDefault="00D330BE">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 xml:space="preserve">De igual manera, señala que en una parte del acuerdo la autoridad sustanciadora señaló que los hechos denunciados son sobre: </w:t>
      </w:r>
      <w:r>
        <w:rPr>
          <w:rFonts w:ascii="Arial" w:eastAsia="Times New Roman" w:hAnsi="Arial" w:cs="Arial"/>
          <w:i/>
          <w:iCs/>
          <w:sz w:val="24"/>
          <w:szCs w:val="24"/>
        </w:rPr>
        <w:t>“propaganda política o electoral, uso indebido de los recursos públicos y conculcación a los principios de equidad y neutralidad, cuyos efectos podrían afectar la imparcialidad en la próxima contienda electoral</w:t>
      </w:r>
      <w:r>
        <w:rPr>
          <w:rFonts w:ascii="Arial" w:eastAsia="Times New Roman" w:hAnsi="Arial" w:cs="Arial"/>
          <w:sz w:val="24"/>
          <w:szCs w:val="24"/>
        </w:rPr>
        <w:t xml:space="preserve">”, lo que a su decir constituye una </w:t>
      </w:r>
      <w:r>
        <w:rPr>
          <w:rFonts w:ascii="Arial" w:eastAsia="Times New Roman" w:hAnsi="Arial" w:cs="Arial"/>
          <w:b/>
          <w:bCs/>
          <w:sz w:val="24"/>
          <w:szCs w:val="24"/>
        </w:rPr>
        <w:t>variación a la queja</w:t>
      </w:r>
      <w:r>
        <w:rPr>
          <w:rFonts w:ascii="Arial" w:eastAsia="Times New Roman" w:hAnsi="Arial" w:cs="Arial"/>
          <w:sz w:val="24"/>
          <w:szCs w:val="24"/>
        </w:rPr>
        <w:t>, por lo que debió fundar y motivar de qué forma la conducta imputada constituían una violación a la normativa electoral.</w:t>
      </w:r>
    </w:p>
    <w:p w14:paraId="7D920B62" w14:textId="77777777" w:rsidR="00BE1E74" w:rsidRDefault="00D330BE">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 xml:space="preserve">Al respecto debe señalarse que, si bien se advierte un posible error involuntario por parte del </w:t>
      </w:r>
      <w:r>
        <w:rPr>
          <w:rFonts w:ascii="Arial" w:eastAsia="Times New Roman" w:hAnsi="Arial" w:cs="Arial"/>
          <w:i/>
          <w:iCs/>
          <w:sz w:val="24"/>
          <w:szCs w:val="24"/>
        </w:rPr>
        <w:t>Instituto</w:t>
      </w:r>
      <w:r>
        <w:rPr>
          <w:rFonts w:ascii="Arial" w:eastAsia="Times New Roman" w:hAnsi="Arial" w:cs="Arial"/>
          <w:sz w:val="24"/>
          <w:szCs w:val="24"/>
        </w:rPr>
        <w:t xml:space="preserve"> en la redacción del acuerdo de mérito, también es cierto que, al admitir la queja, dicha autoridad señaló </w:t>
      </w:r>
      <w:r>
        <w:rPr>
          <w:rFonts w:ascii="Arial" w:eastAsia="Times New Roman" w:hAnsi="Arial" w:cs="Arial"/>
          <w:sz w:val="24"/>
          <w:szCs w:val="24"/>
        </w:rPr>
        <w:lastRenderedPageBreak/>
        <w:t xml:space="preserve">que la admisión a trámite era por la </w:t>
      </w:r>
      <w:r>
        <w:rPr>
          <w:rFonts w:ascii="Arial" w:eastAsia="Times New Roman" w:hAnsi="Arial" w:cs="Arial"/>
          <w:b/>
          <w:bCs/>
          <w:sz w:val="24"/>
          <w:szCs w:val="24"/>
        </w:rPr>
        <w:t>presunta responsabilidad en la colocación de propaganda política en un inmueble particular sin autorización</w:t>
      </w:r>
      <w:r>
        <w:rPr>
          <w:rFonts w:ascii="Arial" w:eastAsia="Times New Roman" w:hAnsi="Arial" w:cs="Arial"/>
          <w:sz w:val="24"/>
          <w:szCs w:val="24"/>
        </w:rPr>
        <w:t xml:space="preserve">, tal y como lo hizo valer la </w:t>
      </w:r>
      <w:r>
        <w:rPr>
          <w:rFonts w:ascii="Arial" w:eastAsia="Times New Roman" w:hAnsi="Arial" w:cs="Arial"/>
          <w:i/>
          <w:iCs/>
          <w:sz w:val="24"/>
          <w:szCs w:val="24"/>
        </w:rPr>
        <w:t>denunciante</w:t>
      </w:r>
      <w:r>
        <w:rPr>
          <w:rFonts w:ascii="Arial" w:eastAsia="Times New Roman" w:hAnsi="Arial" w:cs="Arial"/>
          <w:sz w:val="24"/>
          <w:szCs w:val="24"/>
        </w:rPr>
        <w:t>, por lo que de modo alguno varió la queja, como se advierte de las imágenes del acuerdo respectivo, que se insertan a continuación</w:t>
      </w:r>
      <w:r>
        <w:rPr>
          <w:rStyle w:val="Refdenotaalpie"/>
          <w:rFonts w:ascii="Arial" w:eastAsia="Times New Roman" w:hAnsi="Arial" w:cs="Arial"/>
          <w:sz w:val="24"/>
          <w:szCs w:val="24"/>
        </w:rPr>
        <w:footnoteReference w:id="17"/>
      </w:r>
      <w:r>
        <w:rPr>
          <w:rFonts w:ascii="Arial" w:eastAsia="Times New Roman" w:hAnsi="Arial" w:cs="Arial"/>
          <w:sz w:val="24"/>
          <w:szCs w:val="24"/>
        </w:rPr>
        <w:t>;</w:t>
      </w:r>
    </w:p>
    <w:p w14:paraId="66CB9B9F" w14:textId="77777777" w:rsidR="00BE1E74" w:rsidRDefault="00D330BE">
      <w:pPr>
        <w:spacing w:before="240" w:after="240" w:line="360" w:lineRule="auto"/>
        <w:jc w:val="center"/>
        <w:rPr>
          <w:rFonts w:ascii="Arial" w:eastAsia="Times New Roman" w:hAnsi="Arial" w:cs="Arial"/>
          <w:sz w:val="24"/>
          <w:szCs w:val="24"/>
        </w:rPr>
      </w:pPr>
      <w:r>
        <w:rPr>
          <w:rFonts w:ascii="Arial" w:eastAsia="Times New Roman" w:hAnsi="Arial" w:cs="Arial"/>
          <w:noProof/>
          <w:sz w:val="24"/>
          <w:szCs w:val="24"/>
        </w:rPr>
        <w:drawing>
          <wp:inline distT="0" distB="0" distL="0" distR="0" wp14:anchorId="37F7FBD3" wp14:editId="51F79D14">
            <wp:extent cx="2850879" cy="535798"/>
            <wp:effectExtent l="0" t="0" r="6985" b="0"/>
            <wp:docPr id="6982041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1690" cy="549106"/>
                    </a:xfrm>
                    <a:prstGeom prst="rect">
                      <a:avLst/>
                    </a:prstGeom>
                    <a:noFill/>
                    <a:ln>
                      <a:noFill/>
                    </a:ln>
                  </pic:spPr>
                </pic:pic>
              </a:graphicData>
            </a:graphic>
          </wp:inline>
        </w:drawing>
      </w:r>
    </w:p>
    <w:p w14:paraId="2C1E07B1" w14:textId="0326E5C5" w:rsidR="00BE1E74" w:rsidRDefault="00D330BE">
      <w:pPr>
        <w:spacing w:before="240" w:after="240" w:line="360" w:lineRule="auto"/>
        <w:jc w:val="center"/>
        <w:rPr>
          <w:rFonts w:ascii="Arial" w:eastAsia="Times New Roman" w:hAnsi="Arial" w:cs="Arial"/>
          <w:sz w:val="24"/>
          <w:szCs w:val="24"/>
        </w:rPr>
      </w:pPr>
      <w:r>
        <w:rPr>
          <w:rFonts w:ascii="Arial" w:eastAsia="Times New Roman" w:hAnsi="Arial" w:cs="Arial"/>
          <w:noProof/>
          <w:sz w:val="24"/>
          <w:szCs w:val="24"/>
        </w:rPr>
        <w:drawing>
          <wp:inline distT="0" distB="0" distL="0" distR="0" wp14:anchorId="6008F3B6" wp14:editId="587CEF76">
            <wp:extent cx="3030414" cy="2176105"/>
            <wp:effectExtent l="0" t="0" r="0" b="0"/>
            <wp:docPr id="17475203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0771" cy="2183542"/>
                    </a:xfrm>
                    <a:prstGeom prst="rect">
                      <a:avLst/>
                    </a:prstGeom>
                    <a:noFill/>
                    <a:ln>
                      <a:noFill/>
                    </a:ln>
                  </pic:spPr>
                </pic:pic>
              </a:graphicData>
            </a:graphic>
          </wp:inline>
        </w:drawing>
      </w:r>
    </w:p>
    <w:p w14:paraId="1719DE7B" w14:textId="77777777"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En ese sentido, la circunstancia de que en alguna parte del acuerdo de admisión se haya utilizado la expresión “propaganda electoral” y en otra “propaganda política”, así como las referencias realizadas por la autoridad sustanciadora a posibles afectaciones a los principios de equidad, imparcialidad y neutralidad, así como a la posible utilización indebida de recursos públicos, no resulta suficiente para considerar que existió una variación de los hechos denunciados o una modificación de la materia de la queja, pues para determinar si se vulneró el principio de congruencia debe atenderse al </w:t>
      </w:r>
      <w:r>
        <w:rPr>
          <w:rFonts w:ascii="Arial" w:eastAsia="Times New Roman" w:hAnsi="Arial" w:cs="Arial"/>
          <w:b/>
          <w:bCs/>
          <w:sz w:val="24"/>
          <w:szCs w:val="24"/>
        </w:rPr>
        <w:t>contenido integral</w:t>
      </w:r>
      <w:r>
        <w:rPr>
          <w:rFonts w:ascii="Arial" w:eastAsia="Times New Roman" w:hAnsi="Arial" w:cs="Arial"/>
          <w:sz w:val="24"/>
          <w:szCs w:val="24"/>
        </w:rPr>
        <w:t xml:space="preserve"> del acuerdo y, particularmente, a los hechos presuntamente atribuidos a los </w:t>
      </w:r>
      <w:r>
        <w:rPr>
          <w:rFonts w:ascii="Arial" w:eastAsia="Times New Roman" w:hAnsi="Arial" w:cs="Arial"/>
          <w:i/>
          <w:iCs/>
          <w:sz w:val="24"/>
          <w:szCs w:val="24"/>
        </w:rPr>
        <w:t>denunciados</w:t>
      </w:r>
      <w:r>
        <w:rPr>
          <w:rFonts w:ascii="Arial" w:eastAsia="Times New Roman" w:hAnsi="Arial" w:cs="Arial"/>
          <w:sz w:val="24"/>
          <w:szCs w:val="24"/>
        </w:rPr>
        <w:t xml:space="preserve">. </w:t>
      </w:r>
    </w:p>
    <w:p w14:paraId="5678CB9B" w14:textId="2FAB6165" w:rsidR="00BE1E74" w:rsidRDefault="00D330BE">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De esta manera, aun cuando pudiera advertirse una imprecisión terminológica en la redacción del acuerdo, ello no genera, por sí mismo, un estado de indefensión ni modifica sustancialmente la conducta que fue puesta a conocimiento de la autoridad sustanciadora, máxime que la admisión se vinculó expresamente con la presunta colocación de </w:t>
      </w:r>
      <w:r>
        <w:rPr>
          <w:rFonts w:ascii="Arial" w:eastAsia="Times New Roman" w:hAnsi="Arial" w:cs="Arial"/>
          <w:sz w:val="24"/>
          <w:szCs w:val="24"/>
        </w:rPr>
        <w:lastRenderedPageBreak/>
        <w:t>propaganda política en inmueble particular sin autorización, conducta que efectivamente fue materia de la denuncia.</w:t>
      </w:r>
    </w:p>
    <w:p w14:paraId="7327D89D" w14:textId="77777777" w:rsidR="00BE1E74" w:rsidRDefault="00D330BE">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 xml:space="preserve">De igual manera, analizó de forma preliminar los hechos materia de la queja, señaló los preceptos normativos posiblemente vulnerados, motivó lo correspondiente y señaló las diligencias de investigación efectuadas; aspectos que </w:t>
      </w:r>
      <w:r>
        <w:rPr>
          <w:rFonts w:ascii="Arial" w:eastAsia="Times New Roman" w:hAnsi="Arial" w:cs="Arial"/>
          <w:b/>
          <w:bCs/>
          <w:sz w:val="24"/>
          <w:szCs w:val="24"/>
        </w:rPr>
        <w:t>serán materia de estudio</w:t>
      </w:r>
      <w:r>
        <w:rPr>
          <w:rFonts w:ascii="Arial" w:eastAsia="Times New Roman" w:hAnsi="Arial" w:cs="Arial"/>
          <w:sz w:val="24"/>
          <w:szCs w:val="24"/>
        </w:rPr>
        <w:t xml:space="preserve"> por este </w:t>
      </w:r>
      <w:r>
        <w:rPr>
          <w:rFonts w:ascii="Arial" w:eastAsia="Times New Roman" w:hAnsi="Arial" w:cs="Arial"/>
          <w:i/>
          <w:iCs/>
          <w:sz w:val="24"/>
          <w:szCs w:val="24"/>
        </w:rPr>
        <w:t>Tribunal Electoral</w:t>
      </w:r>
      <w:r>
        <w:rPr>
          <w:rFonts w:ascii="Arial" w:eastAsia="Times New Roman" w:hAnsi="Arial" w:cs="Arial"/>
          <w:sz w:val="24"/>
          <w:szCs w:val="24"/>
        </w:rPr>
        <w:t xml:space="preserve"> en el momento procesalmente oportuno.</w:t>
      </w:r>
    </w:p>
    <w:p w14:paraId="5AAE0109" w14:textId="77777777" w:rsidR="00BE1E74" w:rsidRDefault="00D330BE">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 xml:space="preserve">En consecuencia, se </w:t>
      </w:r>
      <w:r>
        <w:rPr>
          <w:rFonts w:ascii="Arial" w:eastAsia="Times New Roman" w:hAnsi="Arial" w:cs="Arial"/>
          <w:b/>
          <w:bCs/>
          <w:sz w:val="24"/>
          <w:szCs w:val="24"/>
        </w:rPr>
        <w:t>desestima</w:t>
      </w:r>
      <w:r>
        <w:rPr>
          <w:rFonts w:ascii="Arial" w:eastAsia="Times New Roman" w:hAnsi="Arial" w:cs="Arial"/>
          <w:sz w:val="24"/>
          <w:szCs w:val="24"/>
        </w:rPr>
        <w:t xml:space="preserve"> la causal de improcedencia.</w:t>
      </w:r>
    </w:p>
    <w:p w14:paraId="606A95CD" w14:textId="77777777" w:rsidR="00BE1E74" w:rsidRDefault="00D330BE">
      <w:pPr>
        <w:pStyle w:val="Ttulo1"/>
        <w:jc w:val="center"/>
        <w:rPr>
          <w:rFonts w:ascii="Arial" w:hAnsi="Arial" w:cs="Arial"/>
          <w:b/>
          <w:bCs/>
          <w:color w:val="auto"/>
          <w:sz w:val="24"/>
          <w:szCs w:val="24"/>
        </w:rPr>
      </w:pPr>
      <w:bookmarkStart w:id="20" w:name="_Toc229494282"/>
      <w:bookmarkStart w:id="21" w:name="_Toc242354040"/>
      <w:r>
        <w:rPr>
          <w:rFonts w:ascii="Arial" w:hAnsi="Arial" w:cs="Arial"/>
          <w:b/>
          <w:bCs/>
          <w:color w:val="auto"/>
          <w:sz w:val="24"/>
          <w:szCs w:val="24"/>
        </w:rPr>
        <w:t>IV. PROCEDENCIA</w:t>
      </w:r>
      <w:bookmarkEnd w:id="16"/>
      <w:bookmarkEnd w:id="17"/>
      <w:bookmarkEnd w:id="18"/>
      <w:bookmarkEnd w:id="19"/>
      <w:bookmarkEnd w:id="20"/>
      <w:bookmarkEnd w:id="21"/>
    </w:p>
    <w:p w14:paraId="7401CA03" w14:textId="77777777" w:rsidR="00BE1E74" w:rsidRDefault="00D330BE">
      <w:pPr>
        <w:pBdr>
          <w:top w:val="nil"/>
          <w:left w:val="nil"/>
          <w:bottom w:val="nil"/>
          <w:right w:val="nil"/>
          <w:between w:val="nil"/>
        </w:pBdr>
        <w:spacing w:before="240" w:after="0" w:line="360" w:lineRule="auto"/>
        <w:jc w:val="both"/>
        <w:rPr>
          <w:rFonts w:ascii="Arial" w:eastAsia="Arial" w:hAnsi="Arial" w:cs="Arial"/>
          <w:color w:val="000000" w:themeColor="text1"/>
          <w:sz w:val="24"/>
          <w:szCs w:val="24"/>
        </w:rPr>
      </w:pPr>
      <w:r>
        <w:rPr>
          <w:rFonts w:ascii="Arial" w:hAnsi="Arial" w:cs="Arial"/>
          <w:color w:val="000000" w:themeColor="text1"/>
          <w:sz w:val="24"/>
          <w:szCs w:val="24"/>
          <w:lang w:val="es-ES_tradnl"/>
        </w:rPr>
        <w:t xml:space="preserve">El asunto resulta procedente, toda vez que cumple con los requisitos previstos en el numeral 257 del </w:t>
      </w:r>
      <w:r>
        <w:rPr>
          <w:rFonts w:ascii="Arial" w:hAnsi="Arial" w:cs="Arial"/>
          <w:i/>
          <w:iCs/>
          <w:color w:val="000000" w:themeColor="text1"/>
          <w:sz w:val="24"/>
          <w:szCs w:val="24"/>
          <w:lang w:val="es-ES_tradnl"/>
        </w:rPr>
        <w:t>Código Electoral</w:t>
      </w:r>
      <w:r>
        <w:rPr>
          <w:rFonts w:ascii="Arial" w:eastAsia="Arial" w:hAnsi="Arial" w:cs="Arial"/>
          <w:color w:val="000000" w:themeColor="text1"/>
          <w:sz w:val="24"/>
          <w:szCs w:val="24"/>
        </w:rPr>
        <w:t xml:space="preserve">, </w:t>
      </w:r>
      <w:r>
        <w:rPr>
          <w:rFonts w:ascii="Arial" w:hAnsi="Arial" w:cs="Arial"/>
          <w:color w:val="000000" w:themeColor="text1"/>
          <w:sz w:val="24"/>
          <w:szCs w:val="24"/>
          <w:lang w:val="es-ES_tradnl"/>
        </w:rPr>
        <w:t>tal y como se hizo constar en el acuerdo de debida integración</w:t>
      </w:r>
      <w:r>
        <w:rPr>
          <w:rStyle w:val="Refdenotaalpie"/>
          <w:rFonts w:ascii="Arial" w:hAnsi="Arial" w:cs="Arial"/>
          <w:sz w:val="26"/>
          <w:szCs w:val="26"/>
          <w:lang w:val="es-ES" w:eastAsia="es-ES"/>
        </w:rPr>
        <w:footnoteReference w:id="18"/>
      </w:r>
      <w:r>
        <w:rPr>
          <w:rFonts w:ascii="Arial" w:hAnsi="Arial" w:cs="Arial"/>
          <w:color w:val="000000" w:themeColor="text1"/>
          <w:sz w:val="24"/>
          <w:szCs w:val="24"/>
          <w:lang w:val="es-ES_tradnl"/>
        </w:rPr>
        <w:t>.</w:t>
      </w:r>
    </w:p>
    <w:p w14:paraId="03AFCE8D" w14:textId="77777777" w:rsidR="00BE1E74" w:rsidRDefault="00D330BE">
      <w:pPr>
        <w:pStyle w:val="Ttulo1"/>
        <w:jc w:val="center"/>
        <w:rPr>
          <w:rFonts w:ascii="Arial" w:hAnsi="Arial" w:cs="Arial"/>
          <w:b/>
          <w:bCs/>
          <w:color w:val="auto"/>
          <w:sz w:val="24"/>
          <w:szCs w:val="24"/>
          <w:lang w:val="es-ES_tradnl"/>
        </w:rPr>
      </w:pPr>
      <w:bookmarkStart w:id="22" w:name="_Toc163203239"/>
      <w:bookmarkStart w:id="23" w:name="_Toc177046833"/>
      <w:bookmarkStart w:id="24" w:name="_Toc229494283"/>
      <w:bookmarkStart w:id="25" w:name="_Toc242354041"/>
      <w:bookmarkEnd w:id="15"/>
      <w:r>
        <w:rPr>
          <w:rFonts w:ascii="Arial" w:hAnsi="Arial" w:cs="Arial"/>
          <w:b/>
          <w:bCs/>
          <w:color w:val="auto"/>
          <w:sz w:val="24"/>
          <w:szCs w:val="24"/>
          <w:lang w:val="es-ES_tradnl"/>
        </w:rPr>
        <w:t xml:space="preserve">V. </w:t>
      </w:r>
      <w:bookmarkEnd w:id="22"/>
      <w:bookmarkEnd w:id="23"/>
      <w:r>
        <w:rPr>
          <w:rFonts w:ascii="Arial" w:hAnsi="Arial" w:cs="Arial"/>
          <w:b/>
          <w:bCs/>
          <w:color w:val="auto"/>
          <w:sz w:val="24"/>
          <w:szCs w:val="24"/>
          <w:lang w:val="es-ES_tradnl"/>
        </w:rPr>
        <w:t>INFRACCIONES Y DEFENSAS PLANTEADAS</w:t>
      </w:r>
      <w:bookmarkEnd w:id="24"/>
      <w:bookmarkEnd w:id="25"/>
    </w:p>
    <w:p w14:paraId="0A93BBA3" w14:textId="77777777" w:rsidR="00BE1E74" w:rsidRDefault="00D330BE">
      <w:pPr>
        <w:pStyle w:val="Ttulo1"/>
        <w:spacing w:after="240" w:line="360" w:lineRule="auto"/>
        <w:rPr>
          <w:rFonts w:ascii="Arial" w:hAnsi="Arial" w:cs="Arial"/>
          <w:b/>
          <w:bCs/>
          <w:color w:val="auto"/>
          <w:sz w:val="24"/>
          <w:szCs w:val="24"/>
          <w:lang w:val="es-ES_tradnl"/>
        </w:rPr>
      </w:pPr>
      <w:bookmarkStart w:id="26" w:name="_Toc229494284"/>
      <w:bookmarkStart w:id="27" w:name="_Toc242354042"/>
      <w:bookmarkStart w:id="28" w:name="_Toc147131317"/>
      <w:r>
        <w:rPr>
          <w:rFonts w:ascii="Arial" w:hAnsi="Arial" w:cs="Arial"/>
          <w:b/>
          <w:bCs/>
          <w:color w:val="auto"/>
          <w:sz w:val="24"/>
          <w:szCs w:val="24"/>
          <w:lang w:val="es-ES_tradnl"/>
        </w:rPr>
        <w:t>5.1. Hechos denunciados</w:t>
      </w:r>
      <w:bookmarkStart w:id="29" w:name="_Hlk189145099"/>
      <w:bookmarkEnd w:id="26"/>
      <w:bookmarkEnd w:id="27"/>
    </w:p>
    <w:p w14:paraId="60920978" w14:textId="77777777" w:rsidR="00BE1E74" w:rsidRDefault="00D330BE">
      <w:pPr>
        <w:spacing w:line="360" w:lineRule="auto"/>
        <w:jc w:val="both"/>
        <w:rPr>
          <w:rFonts w:ascii="Arial" w:hAnsi="Arial" w:cs="Arial"/>
          <w:sz w:val="24"/>
          <w:szCs w:val="24"/>
        </w:rPr>
      </w:pPr>
      <w:r>
        <w:rPr>
          <w:rFonts w:ascii="Arial" w:hAnsi="Arial" w:cs="Arial"/>
          <w:sz w:val="24"/>
          <w:szCs w:val="24"/>
        </w:rPr>
        <w:t xml:space="preserve">La </w:t>
      </w:r>
      <w:r>
        <w:rPr>
          <w:rFonts w:ascii="Arial" w:hAnsi="Arial" w:cs="Arial"/>
          <w:b/>
          <w:bCs/>
          <w:i/>
          <w:iCs/>
          <w:sz w:val="24"/>
          <w:szCs w:val="24"/>
        </w:rPr>
        <w:t>denunciante</w:t>
      </w:r>
      <w:r>
        <w:rPr>
          <w:rFonts w:ascii="Arial" w:hAnsi="Arial" w:cs="Arial"/>
          <w:b/>
          <w:bCs/>
          <w:sz w:val="24"/>
          <w:szCs w:val="24"/>
        </w:rPr>
        <w:t xml:space="preserve"> </w:t>
      </w:r>
      <w:r>
        <w:rPr>
          <w:rFonts w:ascii="Arial" w:hAnsi="Arial" w:cs="Arial"/>
          <w:sz w:val="24"/>
          <w:szCs w:val="24"/>
        </w:rPr>
        <w:t>señala que</w:t>
      </w:r>
      <w:r>
        <w:rPr>
          <w:rStyle w:val="Refdenotaalpie"/>
          <w:rFonts w:ascii="Arial" w:hAnsi="Arial" w:cs="Arial"/>
          <w:iCs/>
          <w:sz w:val="24"/>
          <w:szCs w:val="24"/>
        </w:rPr>
        <w:footnoteReference w:id="19"/>
      </w:r>
      <w:r>
        <w:rPr>
          <w:rFonts w:ascii="Arial" w:hAnsi="Arial" w:cs="Arial"/>
          <w:sz w:val="24"/>
          <w:szCs w:val="24"/>
        </w:rPr>
        <w:t>:</w:t>
      </w:r>
    </w:p>
    <w:p w14:paraId="5D8235B5" w14:textId="77777777" w:rsidR="00BE1E74" w:rsidRDefault="00D330BE">
      <w:pPr>
        <w:pStyle w:val="Prrafodelista"/>
        <w:numPr>
          <w:ilvl w:val="0"/>
          <w:numId w:val="7"/>
        </w:numPr>
        <w:spacing w:line="360" w:lineRule="auto"/>
        <w:jc w:val="both"/>
        <w:rPr>
          <w:rFonts w:ascii="Arial" w:hAnsi="Arial" w:cs="Arial"/>
          <w:sz w:val="24"/>
          <w:szCs w:val="24"/>
        </w:rPr>
      </w:pPr>
      <w:r>
        <w:rPr>
          <w:rFonts w:ascii="Arial" w:hAnsi="Arial" w:cs="Arial"/>
          <w:sz w:val="24"/>
          <w:szCs w:val="24"/>
        </w:rPr>
        <w:t>Comparece en representación de su padre, quien es el propietario del inmueble, en el que se colocó la propaganda denunciada.</w:t>
      </w:r>
    </w:p>
    <w:p w14:paraId="675336EB" w14:textId="77777777" w:rsidR="00BE1E74" w:rsidRDefault="00D330BE">
      <w:pPr>
        <w:pStyle w:val="Prrafodelista"/>
        <w:numPr>
          <w:ilvl w:val="0"/>
          <w:numId w:val="7"/>
        </w:numPr>
        <w:spacing w:line="360" w:lineRule="auto"/>
        <w:jc w:val="both"/>
        <w:rPr>
          <w:rFonts w:ascii="Arial" w:hAnsi="Arial" w:cs="Arial"/>
          <w:sz w:val="24"/>
          <w:szCs w:val="24"/>
        </w:rPr>
      </w:pPr>
      <w:r>
        <w:rPr>
          <w:rFonts w:ascii="Arial" w:hAnsi="Arial" w:cs="Arial"/>
          <w:sz w:val="24"/>
          <w:szCs w:val="24"/>
        </w:rPr>
        <w:t xml:space="preserve">El diecinueve de agosto, aproximadamente a las catorce horas se percató que la fachada del inmueble referido había sido pintada sin autorización con propaganda alusiva a </w:t>
      </w:r>
      <w:r>
        <w:rPr>
          <w:rFonts w:ascii="Arial" w:hAnsi="Arial" w:cs="Arial"/>
          <w:i/>
          <w:sz w:val="24"/>
          <w:szCs w:val="24"/>
        </w:rPr>
        <w:t>MORENA</w:t>
      </w:r>
      <w:r>
        <w:rPr>
          <w:rFonts w:ascii="Arial" w:hAnsi="Arial" w:cs="Arial"/>
          <w:sz w:val="24"/>
          <w:szCs w:val="24"/>
        </w:rPr>
        <w:t xml:space="preserve"> y al ciudadano MARCO POLO, observándose colores, emblemas, nombres y leyendas vinculadas a dicho instituto político.</w:t>
      </w:r>
    </w:p>
    <w:p w14:paraId="7E6ED139" w14:textId="77777777" w:rsidR="00BE1E74" w:rsidRDefault="00D330BE">
      <w:pPr>
        <w:pStyle w:val="Prrafodelista"/>
        <w:numPr>
          <w:ilvl w:val="0"/>
          <w:numId w:val="7"/>
        </w:numPr>
        <w:spacing w:line="360" w:lineRule="auto"/>
        <w:jc w:val="both"/>
        <w:rPr>
          <w:rFonts w:ascii="Arial" w:hAnsi="Arial" w:cs="Arial"/>
          <w:i/>
          <w:iCs/>
          <w:sz w:val="24"/>
          <w:szCs w:val="24"/>
        </w:rPr>
      </w:pPr>
      <w:r>
        <w:rPr>
          <w:rFonts w:ascii="Arial" w:hAnsi="Arial" w:cs="Arial"/>
          <w:sz w:val="24"/>
          <w:szCs w:val="24"/>
        </w:rPr>
        <w:t xml:space="preserve">La propaganda denunciada </w:t>
      </w:r>
      <w:r>
        <w:rPr>
          <w:rFonts w:ascii="Arial" w:hAnsi="Arial"/>
          <w:sz w:val="24"/>
        </w:rPr>
        <w:t>vulnera su derecho de propiedad</w:t>
      </w:r>
      <w:r>
        <w:rPr>
          <w:rFonts w:ascii="Arial" w:hAnsi="Arial" w:cs="Arial"/>
          <w:sz w:val="24"/>
          <w:szCs w:val="24"/>
        </w:rPr>
        <w:t xml:space="preserve"> y constituye una posible infracción a la normativa electoral respecto a la colocación de propaganda política en bienes de propiedad privada sin la autorización correspondiente, de conformidad con el artículo 171 del </w:t>
      </w:r>
      <w:r>
        <w:rPr>
          <w:rFonts w:ascii="Arial" w:hAnsi="Arial" w:cs="Arial"/>
          <w:i/>
          <w:iCs/>
          <w:sz w:val="24"/>
          <w:szCs w:val="24"/>
        </w:rPr>
        <w:t>Código Electoral.</w:t>
      </w:r>
    </w:p>
    <w:p w14:paraId="7C5D8192" w14:textId="77777777" w:rsidR="00BE1E74" w:rsidRDefault="00D330BE">
      <w:pPr>
        <w:pStyle w:val="Ttulo1"/>
        <w:spacing w:after="240" w:line="360" w:lineRule="auto"/>
        <w:rPr>
          <w:rFonts w:ascii="Arial" w:hAnsi="Arial" w:cs="Arial"/>
          <w:b/>
          <w:bCs/>
          <w:color w:val="auto"/>
          <w:sz w:val="24"/>
          <w:szCs w:val="24"/>
        </w:rPr>
      </w:pPr>
      <w:bookmarkStart w:id="30" w:name="_Toc229494285"/>
      <w:bookmarkStart w:id="31" w:name="_Toc242354043"/>
      <w:bookmarkStart w:id="32" w:name="_Toc163203240"/>
      <w:bookmarkEnd w:id="28"/>
      <w:bookmarkEnd w:id="29"/>
      <w:r>
        <w:rPr>
          <w:rFonts w:ascii="Arial" w:hAnsi="Arial" w:cs="Arial"/>
          <w:b/>
          <w:bCs/>
          <w:color w:val="auto"/>
          <w:sz w:val="24"/>
          <w:szCs w:val="24"/>
        </w:rPr>
        <w:lastRenderedPageBreak/>
        <w:t>5.2. Excepciones y defensas</w:t>
      </w:r>
      <w:bookmarkEnd w:id="30"/>
      <w:bookmarkEnd w:id="31"/>
    </w:p>
    <w:p w14:paraId="2A40C6A3" w14:textId="77777777" w:rsidR="00BE1E74" w:rsidRDefault="00D330BE">
      <w:pPr>
        <w:spacing w:line="360" w:lineRule="auto"/>
        <w:jc w:val="both"/>
      </w:pPr>
      <w:r>
        <w:rPr>
          <w:rFonts w:ascii="Arial" w:hAnsi="Arial" w:cs="Arial"/>
          <w:sz w:val="24"/>
          <w:szCs w:val="24"/>
        </w:rPr>
        <w:t xml:space="preserve">El </w:t>
      </w:r>
      <w:r>
        <w:rPr>
          <w:rFonts w:ascii="Arial" w:hAnsi="Arial" w:cs="Arial"/>
          <w:b/>
          <w:bCs/>
          <w:i/>
          <w:iCs/>
          <w:sz w:val="24"/>
          <w:szCs w:val="24"/>
        </w:rPr>
        <w:t xml:space="preserve">denunciado </w:t>
      </w:r>
      <w:r>
        <w:rPr>
          <w:rFonts w:ascii="Arial" w:hAnsi="Arial" w:cs="Arial"/>
          <w:sz w:val="24"/>
          <w:szCs w:val="24"/>
        </w:rPr>
        <w:t>señala que</w:t>
      </w:r>
      <w:r>
        <w:rPr>
          <w:rStyle w:val="Refdenotaalpie"/>
          <w:rFonts w:ascii="Arial" w:hAnsi="Arial" w:cs="Arial"/>
          <w:sz w:val="24"/>
          <w:szCs w:val="24"/>
        </w:rPr>
        <w:footnoteReference w:id="20"/>
      </w:r>
      <w:r>
        <w:rPr>
          <w:rFonts w:ascii="Arial" w:hAnsi="Arial" w:cs="Arial"/>
          <w:sz w:val="24"/>
          <w:szCs w:val="24"/>
        </w:rPr>
        <w:t>:</w:t>
      </w:r>
    </w:p>
    <w:p w14:paraId="121113CA"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Desconoce el hecho denunciado, por no tratarse de hechos propios, ni los presenció.</w:t>
      </w:r>
    </w:p>
    <w:p w14:paraId="3430E52E"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Tuvo conocimiento de la propaganda denunciada a partir del requerimiento de información que le fue realizado por el </w:t>
      </w:r>
      <w:r>
        <w:rPr>
          <w:rFonts w:ascii="Arial" w:hAnsi="Arial" w:cs="Arial"/>
          <w:i/>
          <w:iCs/>
          <w:sz w:val="24"/>
          <w:szCs w:val="24"/>
        </w:rPr>
        <w:t>IEM</w:t>
      </w:r>
      <w:r>
        <w:rPr>
          <w:rFonts w:ascii="Arial" w:hAnsi="Arial" w:cs="Arial"/>
          <w:sz w:val="24"/>
          <w:szCs w:val="24"/>
        </w:rPr>
        <w:t>, el veinte de agosto, mediante oficio IEM-SE-CE-812/2026, el cual tuvo como sustento el Acta Circunstanciada de Verificación IEM-OFI-545/2026, en la que se identificó una barda con las características de la propaganda denunciada.</w:t>
      </w:r>
    </w:p>
    <w:p w14:paraId="52D4E369"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Solicitó a su personal de apoyo trasladarse al citado domicilio, encontrándose con una barda pintada de blanco, es decir, no se localizó la pinta en la barda con las características referidas en el Acta en cita. En consecuencia, solicitó al </w:t>
      </w:r>
      <w:r>
        <w:rPr>
          <w:rFonts w:ascii="Arial" w:hAnsi="Arial" w:cs="Arial"/>
          <w:i/>
          <w:iCs/>
          <w:sz w:val="24"/>
          <w:szCs w:val="24"/>
        </w:rPr>
        <w:t>IEM</w:t>
      </w:r>
      <w:r>
        <w:rPr>
          <w:rFonts w:ascii="Arial" w:hAnsi="Arial" w:cs="Arial"/>
          <w:sz w:val="24"/>
          <w:szCs w:val="24"/>
        </w:rPr>
        <w:t xml:space="preserve"> la verificación correspondiente, lo que se constató en Acta Circunstanciada de Verificación IEM-OFI-570/2026, de tres de septiembre.</w:t>
      </w:r>
    </w:p>
    <w:p w14:paraId="4C251AD8"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No tuvo participación, gestión, intervención u organización en la pinta de la barda materia de la propaganda denunciada, de lo contrario no le hubiera generado preocupación e interés por aportar manifestaciones y probanzas a la </w:t>
      </w:r>
      <w:r>
        <w:rPr>
          <w:rFonts w:ascii="Arial" w:hAnsi="Arial" w:cs="Arial"/>
          <w:i/>
          <w:iCs/>
          <w:sz w:val="24"/>
          <w:szCs w:val="24"/>
        </w:rPr>
        <w:t>Secretaría Ejecutiva.</w:t>
      </w:r>
    </w:p>
    <w:p w14:paraId="4683B94B"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Se encuentra ante una imposibilidad real de pronunciarse sobre el motivo por la utilización de su nombre, logotipo de </w:t>
      </w:r>
      <w:r>
        <w:rPr>
          <w:rFonts w:ascii="Arial" w:hAnsi="Arial" w:cs="Arial"/>
          <w:i/>
          <w:sz w:val="24"/>
          <w:szCs w:val="24"/>
        </w:rPr>
        <w:t>MORENA</w:t>
      </w:r>
      <w:r>
        <w:rPr>
          <w:rFonts w:ascii="Arial" w:hAnsi="Arial" w:cs="Arial"/>
          <w:sz w:val="24"/>
          <w:szCs w:val="24"/>
        </w:rPr>
        <w:t xml:space="preserve">, así como por qué se realizó. </w:t>
      </w:r>
    </w:p>
    <w:p w14:paraId="46685081"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No cuenta con el permiso otorgado por la persona propietaria del inmueble en que se colocó la pinta de la propaganda, al no ser actos propios y al desconocer la existencia de esta.</w:t>
      </w:r>
    </w:p>
    <w:p w14:paraId="2AE55209" w14:textId="77777777" w:rsidR="00BE1E74" w:rsidRDefault="00D330BE">
      <w:pPr>
        <w:spacing w:before="240" w:after="0"/>
        <w:rPr>
          <w:rFonts w:ascii="Arial" w:hAnsi="Arial" w:cs="Arial"/>
          <w:sz w:val="24"/>
          <w:szCs w:val="24"/>
        </w:rPr>
      </w:pPr>
      <w:r>
        <w:rPr>
          <w:rFonts w:ascii="Arial" w:hAnsi="Arial" w:cs="Arial"/>
          <w:b/>
          <w:bCs/>
          <w:i/>
          <w:iCs/>
          <w:sz w:val="24"/>
          <w:szCs w:val="24"/>
        </w:rPr>
        <w:t>MORENA</w:t>
      </w:r>
      <w:r>
        <w:rPr>
          <w:rFonts w:ascii="Arial" w:hAnsi="Arial"/>
          <w:b/>
          <w:i/>
          <w:sz w:val="24"/>
        </w:rPr>
        <w:t xml:space="preserve"> </w:t>
      </w:r>
      <w:r>
        <w:rPr>
          <w:rFonts w:ascii="Arial" w:hAnsi="Arial"/>
          <w:bCs/>
          <w:iCs/>
          <w:sz w:val="24"/>
        </w:rPr>
        <w:t xml:space="preserve">por conducto de su representante ante el </w:t>
      </w:r>
      <w:r>
        <w:rPr>
          <w:rFonts w:ascii="Arial" w:hAnsi="Arial"/>
          <w:bCs/>
          <w:i/>
          <w:sz w:val="24"/>
        </w:rPr>
        <w:t xml:space="preserve">IEM </w:t>
      </w:r>
      <w:r>
        <w:rPr>
          <w:rFonts w:ascii="Arial" w:hAnsi="Arial"/>
          <w:bCs/>
          <w:iCs/>
          <w:sz w:val="24"/>
        </w:rPr>
        <w:t>se</w:t>
      </w:r>
      <w:r>
        <w:rPr>
          <w:rFonts w:ascii="Arial" w:hAnsi="Arial"/>
          <w:sz w:val="24"/>
        </w:rPr>
        <w:t>ñala que</w:t>
      </w:r>
      <w:r>
        <w:rPr>
          <w:rStyle w:val="Refdenotaalpie"/>
          <w:rFonts w:ascii="Arial" w:hAnsi="Arial" w:cs="Arial"/>
          <w:sz w:val="24"/>
          <w:szCs w:val="24"/>
        </w:rPr>
        <w:footnoteReference w:id="21"/>
      </w:r>
      <w:r>
        <w:rPr>
          <w:rFonts w:ascii="Arial" w:hAnsi="Arial" w:cs="Arial"/>
          <w:sz w:val="24"/>
          <w:szCs w:val="24"/>
        </w:rPr>
        <w:t>:</w:t>
      </w:r>
    </w:p>
    <w:p w14:paraId="3A88EFB2"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No tuvo participación en la pinta de la propaganda denunciada.</w:t>
      </w:r>
    </w:p>
    <w:p w14:paraId="326063FF"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lastRenderedPageBreak/>
        <w:t xml:space="preserve">Tuvieron conocimiento de la propaganda denunciada a partir del requerimiento de información que le fue realizado por el </w:t>
      </w:r>
      <w:r>
        <w:rPr>
          <w:rFonts w:ascii="Arial" w:hAnsi="Arial" w:cs="Arial"/>
          <w:i/>
          <w:iCs/>
          <w:sz w:val="24"/>
          <w:szCs w:val="24"/>
        </w:rPr>
        <w:t>IEM</w:t>
      </w:r>
      <w:r>
        <w:rPr>
          <w:rFonts w:ascii="Arial" w:hAnsi="Arial" w:cs="Arial"/>
          <w:sz w:val="24"/>
          <w:szCs w:val="24"/>
        </w:rPr>
        <w:t>, el veinte de a agosto, mediante oficio IEM-SE-CE-812/2026, el cual tuvo como sustento el Acta Circunstanciada de Verificación IEM-OFI-545/2026, en la que se identificó una barda con las características de la propaganda denunciada.</w:t>
      </w:r>
    </w:p>
    <w:p w14:paraId="36E8E96E"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Al hacerse la revisión correspondiente se constató que no se había localizado la supuesta pinta, por lo que solicitó a la autoridad sustanciadora</w:t>
      </w:r>
      <w:r>
        <w:rPr>
          <w:rFonts w:ascii="Arial" w:hAnsi="Arial" w:cs="Arial"/>
          <w:i/>
          <w:iCs/>
          <w:sz w:val="24"/>
          <w:szCs w:val="24"/>
        </w:rPr>
        <w:t xml:space="preserve"> </w:t>
      </w:r>
      <w:r>
        <w:rPr>
          <w:rFonts w:ascii="Arial" w:hAnsi="Arial" w:cs="Arial"/>
          <w:sz w:val="24"/>
          <w:szCs w:val="24"/>
        </w:rPr>
        <w:t>-</w:t>
      </w:r>
      <w:r>
        <w:rPr>
          <w:rFonts w:ascii="Arial" w:hAnsi="Arial" w:cs="Arial"/>
          <w:i/>
          <w:iCs/>
          <w:sz w:val="24"/>
          <w:szCs w:val="24"/>
        </w:rPr>
        <w:t>Instituto</w:t>
      </w:r>
      <w:r>
        <w:rPr>
          <w:rFonts w:ascii="Arial" w:hAnsi="Arial" w:cs="Arial"/>
          <w:sz w:val="24"/>
          <w:szCs w:val="24"/>
        </w:rPr>
        <w:t>-, de nueva cuenta, una diligencia de verificación, lo que efectuó en Acta Circunstanciada de Verificación IEM-OFI-570/2026, de tres de septiembre, advirtiéndose que la misma ya no existía. Reiterando su desconocimiento de los hechos denunciados.</w:t>
      </w:r>
    </w:p>
    <w:p w14:paraId="204FF8DB"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Lo único que está acreditado es que alguien pintó una barda en un inmueble de propiedad privada sin la autorización ni los permisos del propietario; y, asimismo, que dicha pinta ya no existe.</w:t>
      </w:r>
    </w:p>
    <w:p w14:paraId="370A9F82"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No se encuentra acreditada, bajo ninguna prueba o hecho, participación alguna que vincule a los </w:t>
      </w:r>
      <w:r>
        <w:rPr>
          <w:rFonts w:ascii="Arial" w:hAnsi="Arial" w:cs="Arial"/>
          <w:i/>
          <w:iCs/>
          <w:sz w:val="24"/>
          <w:szCs w:val="24"/>
        </w:rPr>
        <w:t>denunciados.</w:t>
      </w:r>
    </w:p>
    <w:p w14:paraId="2D960FAD" w14:textId="77777777" w:rsidR="00BE1E74" w:rsidRDefault="00D330BE">
      <w:pPr>
        <w:pStyle w:val="Prrafodelista"/>
        <w:numPr>
          <w:ilvl w:val="0"/>
          <w:numId w:val="8"/>
        </w:numPr>
        <w:tabs>
          <w:tab w:val="left" w:pos="3600"/>
        </w:tabs>
        <w:spacing w:before="240" w:after="0" w:line="360" w:lineRule="auto"/>
        <w:contextualSpacing w:val="0"/>
        <w:jc w:val="both"/>
        <w:rPr>
          <w:rFonts w:ascii="Arial" w:hAnsi="Arial" w:cs="Arial"/>
          <w:sz w:val="24"/>
          <w:szCs w:val="24"/>
        </w:rPr>
      </w:pPr>
      <w:r>
        <w:rPr>
          <w:rFonts w:ascii="Arial" w:hAnsi="Arial" w:cs="Arial"/>
          <w:sz w:val="24"/>
          <w:szCs w:val="24"/>
        </w:rPr>
        <w:t xml:space="preserve">Bajo los principios de presunción de inocencia y debido proceso, el único indicio levísimo, de que están dos expresiones gramaticales en la barda denunciada, no puede llevar a sostener como una verdad acreditada que </w:t>
      </w:r>
      <w:r>
        <w:rPr>
          <w:rFonts w:ascii="Arial" w:hAnsi="Arial" w:cs="Arial"/>
          <w:i/>
          <w:sz w:val="24"/>
          <w:szCs w:val="24"/>
        </w:rPr>
        <w:t xml:space="preserve">MORENA </w:t>
      </w:r>
      <w:r>
        <w:rPr>
          <w:rFonts w:ascii="Arial" w:hAnsi="Arial" w:cs="Arial"/>
          <w:sz w:val="24"/>
          <w:szCs w:val="24"/>
        </w:rPr>
        <w:t>autorizó o realizó la pinta de la barda en cuestión.</w:t>
      </w:r>
    </w:p>
    <w:p w14:paraId="70E42454"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La autoridad sustanciadora no tomó en cuenta los deslindes expresados; no obstante, reconoce que no se dieron con la formalidad que marca la normativa reglamentaria, pero materialmente implicó un desconocimiento por parte de los </w:t>
      </w:r>
      <w:r>
        <w:rPr>
          <w:rFonts w:ascii="Arial" w:hAnsi="Arial" w:cs="Arial"/>
          <w:i/>
          <w:iCs/>
          <w:sz w:val="24"/>
          <w:szCs w:val="24"/>
        </w:rPr>
        <w:t>denunciados</w:t>
      </w:r>
      <w:r>
        <w:rPr>
          <w:rFonts w:ascii="Arial" w:hAnsi="Arial" w:cs="Arial"/>
          <w:sz w:val="24"/>
          <w:szCs w:val="24"/>
        </w:rPr>
        <w:t xml:space="preserve"> respecto de las conductas atribuidas, es decir, niega la autoría de las conductas reprochadas.</w:t>
      </w:r>
    </w:p>
    <w:p w14:paraId="7B52AB77" w14:textId="77777777" w:rsidR="00BE1E74" w:rsidRDefault="00D330BE">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 xml:space="preserve">La autoridad sustanciadora al hacerle requerimientos no cuestionó si la supuesta pinta y la referencia a la expresión </w:t>
      </w:r>
      <w:r>
        <w:rPr>
          <w:rFonts w:ascii="Arial" w:hAnsi="Arial" w:cs="Arial"/>
          <w:sz w:val="24"/>
          <w:szCs w:val="24"/>
        </w:rPr>
        <w:lastRenderedPageBreak/>
        <w:t xml:space="preserve">"morena" tenía relación con </w:t>
      </w:r>
      <w:r>
        <w:rPr>
          <w:rFonts w:ascii="Arial" w:hAnsi="Arial" w:cs="Arial"/>
          <w:i/>
          <w:iCs/>
          <w:sz w:val="24"/>
          <w:szCs w:val="24"/>
        </w:rPr>
        <w:t>MORENA</w:t>
      </w:r>
      <w:r>
        <w:rPr>
          <w:rFonts w:ascii="Arial" w:hAnsi="Arial" w:cs="Arial"/>
          <w:sz w:val="24"/>
          <w:szCs w:val="24"/>
        </w:rPr>
        <w:t>, sino que directamente lo asumió como tal, y sin más preguntó sobre su supuesta participación en la gestión, organización y pinta de la barda, rompiéndose con ello la imparcialidad que debe prevalecer en toda investigación que en términos reglamentarios debe ser seria, congruente y exhaustiva, entre otros principios.</w:t>
      </w:r>
    </w:p>
    <w:p w14:paraId="2D88E54C" w14:textId="77777777" w:rsidR="00BE1E74" w:rsidRDefault="00D330BE">
      <w:pPr>
        <w:pStyle w:val="Ttulo1"/>
        <w:rPr>
          <w:rFonts w:ascii="Arial" w:hAnsi="Arial" w:cs="Arial"/>
          <w:b/>
          <w:bCs/>
          <w:color w:val="auto"/>
          <w:sz w:val="24"/>
          <w:szCs w:val="24"/>
          <w:lang w:val="es-ES_tradnl"/>
        </w:rPr>
      </w:pPr>
      <w:bookmarkStart w:id="33" w:name="_Toc177046834"/>
      <w:bookmarkStart w:id="34" w:name="_Toc229494286"/>
      <w:bookmarkStart w:id="35" w:name="_Toc242354044"/>
      <w:bookmarkEnd w:id="32"/>
      <w:r>
        <w:rPr>
          <w:rFonts w:ascii="Arial" w:hAnsi="Arial" w:cs="Arial"/>
          <w:b/>
          <w:bCs/>
          <w:color w:val="auto"/>
          <w:sz w:val="24"/>
          <w:szCs w:val="24"/>
          <w:lang w:val="es-ES_tradnl"/>
        </w:rPr>
        <w:t>5.3. Cuestión por resolver</w:t>
      </w:r>
      <w:bookmarkEnd w:id="33"/>
      <w:bookmarkEnd w:id="34"/>
      <w:bookmarkEnd w:id="35"/>
      <w:r>
        <w:rPr>
          <w:rFonts w:ascii="Arial" w:hAnsi="Arial" w:cs="Arial"/>
          <w:b/>
          <w:bCs/>
          <w:color w:val="auto"/>
          <w:sz w:val="24"/>
          <w:szCs w:val="24"/>
          <w:lang w:val="es-ES_tradnl"/>
        </w:rPr>
        <w:t xml:space="preserve"> </w:t>
      </w:r>
    </w:p>
    <w:p w14:paraId="77D17231" w14:textId="77777777" w:rsidR="00BE1E74" w:rsidRDefault="00D330BE">
      <w:pPr>
        <w:spacing w:before="100" w:beforeAutospacing="1" w:after="100" w:afterAutospacing="1" w:line="360" w:lineRule="auto"/>
        <w:jc w:val="both"/>
        <w:rPr>
          <w:rFonts w:ascii="Arial" w:hAnsi="Arial" w:cs="Arial"/>
          <w:color w:val="000000" w:themeColor="text1"/>
          <w:sz w:val="24"/>
          <w:szCs w:val="24"/>
        </w:rPr>
      </w:pPr>
      <w:r>
        <w:rPr>
          <w:rFonts w:ascii="Arial" w:hAnsi="Arial" w:cs="Arial"/>
          <w:color w:val="000000" w:themeColor="text1"/>
          <w:sz w:val="24"/>
          <w:szCs w:val="24"/>
        </w:rPr>
        <w:t>Una vez precisados los hechos denunciados, así como las defensas que se hicieron valer, los puntos a dilucidar son:</w:t>
      </w:r>
    </w:p>
    <w:p w14:paraId="3916BCFC" w14:textId="77777777" w:rsidR="00BE1E74" w:rsidRDefault="00D330BE">
      <w:pPr>
        <w:pStyle w:val="Prrafodelista"/>
        <w:numPr>
          <w:ilvl w:val="0"/>
          <w:numId w:val="5"/>
        </w:numPr>
        <w:spacing w:before="240" w:after="0" w:line="360" w:lineRule="auto"/>
        <w:ind w:left="788" w:hanging="357"/>
        <w:contextualSpacing w:val="0"/>
        <w:jc w:val="both"/>
        <w:rPr>
          <w:rFonts w:ascii="Arial" w:hAnsi="Arial" w:cs="Arial"/>
          <w:color w:val="000000" w:themeColor="text1"/>
          <w:sz w:val="24"/>
          <w:szCs w:val="24"/>
        </w:rPr>
      </w:pPr>
      <w:r>
        <w:rPr>
          <w:rFonts w:ascii="Arial" w:hAnsi="Arial" w:cs="Arial"/>
          <w:color w:val="000000" w:themeColor="text1"/>
          <w:sz w:val="24"/>
          <w:szCs w:val="24"/>
        </w:rPr>
        <w:t>Determinar si se acredita la existencia de los hechos denunciados;</w:t>
      </w:r>
    </w:p>
    <w:p w14:paraId="385CDAB3" w14:textId="77777777" w:rsidR="00BE1E74" w:rsidRDefault="00D330BE">
      <w:pPr>
        <w:pStyle w:val="Prrafodelista"/>
        <w:numPr>
          <w:ilvl w:val="0"/>
          <w:numId w:val="5"/>
        </w:numPr>
        <w:spacing w:before="240" w:after="0" w:line="360" w:lineRule="auto"/>
        <w:ind w:left="788"/>
        <w:contextualSpacing w:val="0"/>
        <w:jc w:val="both"/>
        <w:rPr>
          <w:rFonts w:ascii="Arial" w:hAnsi="Arial" w:cs="Arial"/>
          <w:sz w:val="24"/>
          <w:szCs w:val="24"/>
          <w:lang w:val="es-ES_tradnl" w:eastAsia="en-US"/>
        </w:rPr>
      </w:pPr>
      <w:r>
        <w:rPr>
          <w:rFonts w:ascii="Arial" w:hAnsi="Arial" w:cs="Arial"/>
          <w:color w:val="000000" w:themeColor="text1"/>
          <w:sz w:val="24"/>
          <w:szCs w:val="24"/>
        </w:rPr>
        <w:t>En el supuesto de actualizarse, identificar si a partir de ellos se acredita la infracción a la materia electoral c</w:t>
      </w:r>
      <w:r>
        <w:rPr>
          <w:rFonts w:ascii="Arial" w:eastAsia="Arial" w:hAnsi="Arial" w:cs="Arial"/>
          <w:color w:val="000000"/>
          <w:sz w:val="24"/>
          <w:szCs w:val="24"/>
        </w:rPr>
        <w:t>onsistente en</w:t>
      </w:r>
      <w:r>
        <w:rPr>
          <w:rFonts w:ascii="Arial" w:eastAsia="Arial" w:hAnsi="Arial" w:cs="Arial"/>
          <w:sz w:val="24"/>
          <w:szCs w:val="24"/>
        </w:rPr>
        <w:t xml:space="preserve"> colocación de propaganda política en inmueble particular sin autorización; </w:t>
      </w:r>
      <w:r>
        <w:rPr>
          <w:rFonts w:ascii="Arial" w:hAnsi="Arial" w:cs="Arial"/>
          <w:color w:val="000000" w:themeColor="text1"/>
          <w:sz w:val="24"/>
          <w:szCs w:val="24"/>
        </w:rPr>
        <w:t xml:space="preserve">y </w:t>
      </w:r>
    </w:p>
    <w:p w14:paraId="5D3EE5FC" w14:textId="77777777" w:rsidR="00BE1E74" w:rsidRDefault="00D330BE">
      <w:pPr>
        <w:pStyle w:val="Prrafodelista"/>
        <w:numPr>
          <w:ilvl w:val="0"/>
          <w:numId w:val="5"/>
        </w:numPr>
        <w:spacing w:before="240" w:after="0" w:line="360" w:lineRule="auto"/>
        <w:ind w:left="788" w:hanging="357"/>
        <w:contextualSpacing w:val="0"/>
        <w:jc w:val="both"/>
        <w:rPr>
          <w:rFonts w:ascii="Arial" w:hAnsi="Arial" w:cs="Arial"/>
          <w:sz w:val="24"/>
          <w:szCs w:val="24"/>
        </w:rPr>
      </w:pPr>
      <w:r>
        <w:rPr>
          <w:rFonts w:ascii="Arial" w:hAnsi="Arial" w:cs="Arial"/>
          <w:color w:val="000000" w:themeColor="text1"/>
          <w:sz w:val="24"/>
          <w:szCs w:val="24"/>
        </w:rPr>
        <w:t xml:space="preserve">En su caso, establecer si se acredita la responsabilidad de los </w:t>
      </w:r>
      <w:r>
        <w:rPr>
          <w:rFonts w:ascii="Arial" w:hAnsi="Arial" w:cs="Arial"/>
          <w:i/>
          <w:iCs/>
          <w:color w:val="000000" w:themeColor="text1"/>
          <w:sz w:val="24"/>
          <w:szCs w:val="24"/>
        </w:rPr>
        <w:t xml:space="preserve">denunciados, </w:t>
      </w:r>
      <w:r>
        <w:rPr>
          <w:rFonts w:ascii="Arial" w:hAnsi="Arial" w:cs="Arial"/>
          <w:color w:val="000000" w:themeColor="text1"/>
          <w:sz w:val="24"/>
          <w:szCs w:val="24"/>
        </w:rPr>
        <w:t>en la comisión de la conducta.</w:t>
      </w:r>
    </w:p>
    <w:p w14:paraId="5109D009" w14:textId="77777777" w:rsidR="00BE1E74" w:rsidRDefault="00D330BE">
      <w:pPr>
        <w:pStyle w:val="Ttulo1"/>
        <w:jc w:val="center"/>
        <w:rPr>
          <w:rFonts w:ascii="Arial" w:hAnsi="Arial"/>
          <w:b/>
          <w:color w:val="auto"/>
          <w:sz w:val="24"/>
          <w:lang w:val="es-ES_tradnl"/>
        </w:rPr>
      </w:pPr>
      <w:bookmarkStart w:id="36" w:name="_Toc229494287"/>
      <w:bookmarkStart w:id="37" w:name="_Toc242354045"/>
      <w:r>
        <w:rPr>
          <w:rFonts w:ascii="Arial" w:hAnsi="Arial" w:cs="Arial"/>
          <w:b/>
          <w:bCs/>
          <w:color w:val="auto"/>
          <w:sz w:val="24"/>
          <w:szCs w:val="24"/>
          <w:lang w:val="es-ES_tradnl"/>
        </w:rPr>
        <w:t xml:space="preserve">VI. </w:t>
      </w:r>
      <w:bookmarkStart w:id="38" w:name="_Toc175839053"/>
      <w:bookmarkStart w:id="39" w:name="_Toc177046835"/>
      <w:r>
        <w:rPr>
          <w:rFonts w:ascii="Arial" w:hAnsi="Arial"/>
          <w:b/>
          <w:color w:val="auto"/>
          <w:sz w:val="24"/>
          <w:lang w:val="es-ES_tradnl"/>
        </w:rPr>
        <w:t>Valoración probatoria y hechos acreditados</w:t>
      </w:r>
      <w:bookmarkEnd w:id="36"/>
      <w:bookmarkEnd w:id="37"/>
      <w:bookmarkEnd w:id="38"/>
      <w:bookmarkEnd w:id="39"/>
    </w:p>
    <w:p w14:paraId="007EBACC" w14:textId="77777777" w:rsidR="00BE1E74" w:rsidRDefault="00D330BE">
      <w:pPr>
        <w:pStyle w:val="Ttulo1"/>
        <w:rPr>
          <w:rFonts w:ascii="Arial" w:hAnsi="Arial" w:cs="Arial"/>
          <w:b/>
          <w:bCs/>
          <w:color w:val="auto"/>
          <w:sz w:val="24"/>
          <w:szCs w:val="24"/>
        </w:rPr>
      </w:pPr>
      <w:bookmarkStart w:id="40" w:name="_Toc242354046"/>
      <w:r>
        <w:rPr>
          <w:rFonts w:ascii="Arial" w:hAnsi="Arial"/>
          <w:b/>
          <w:color w:val="auto"/>
          <w:sz w:val="24"/>
        </w:rPr>
        <w:t>6.1. Pruebas aportadas</w:t>
      </w:r>
      <w:bookmarkEnd w:id="40"/>
    </w:p>
    <w:p w14:paraId="18D0C934" w14:textId="77777777" w:rsidR="00BE1E74" w:rsidRDefault="00D330BE">
      <w:pPr>
        <w:spacing w:before="240" w:after="0" w:line="360" w:lineRule="auto"/>
        <w:jc w:val="both"/>
        <w:rPr>
          <w:rFonts w:ascii="Arial" w:hAnsi="Arial"/>
          <w:b/>
          <w:sz w:val="24"/>
        </w:rPr>
      </w:pPr>
      <w:r>
        <w:rPr>
          <w:rFonts w:ascii="Arial" w:hAnsi="Arial"/>
          <w:b/>
          <w:sz w:val="24"/>
        </w:rPr>
        <w:t xml:space="preserve">6.1.1. De la </w:t>
      </w:r>
      <w:r>
        <w:rPr>
          <w:rFonts w:ascii="Arial" w:hAnsi="Arial"/>
          <w:b/>
          <w:i/>
          <w:iCs/>
          <w:sz w:val="24"/>
        </w:rPr>
        <w:t>Denunciante</w:t>
      </w:r>
      <w:r>
        <w:rPr>
          <w:rFonts w:ascii="Arial" w:hAnsi="Arial"/>
          <w:b/>
          <w:sz w:val="24"/>
        </w:rPr>
        <w:t xml:space="preserve">: </w:t>
      </w:r>
    </w:p>
    <w:p w14:paraId="1CC38000" w14:textId="77777777" w:rsidR="00BE1E74" w:rsidRDefault="00D330BE">
      <w:pPr>
        <w:spacing w:before="240" w:after="0" w:line="360" w:lineRule="auto"/>
        <w:jc w:val="both"/>
        <w:rPr>
          <w:rFonts w:ascii="Arial" w:hAnsi="Arial"/>
          <w:sz w:val="24"/>
        </w:rPr>
      </w:pPr>
      <w:r>
        <w:rPr>
          <w:rFonts w:ascii="Arial" w:hAnsi="Arial"/>
          <w:sz w:val="24"/>
        </w:rPr>
        <w:t xml:space="preserve">La </w:t>
      </w:r>
      <w:r>
        <w:rPr>
          <w:rFonts w:ascii="Arial" w:hAnsi="Arial"/>
          <w:i/>
          <w:iCs/>
          <w:sz w:val="24"/>
        </w:rPr>
        <w:t xml:space="preserve">denunciante </w:t>
      </w:r>
      <w:r>
        <w:rPr>
          <w:rFonts w:ascii="Arial" w:hAnsi="Arial"/>
          <w:sz w:val="24"/>
        </w:rPr>
        <w:t>aportó los medios de convicción siguientes:</w:t>
      </w:r>
    </w:p>
    <w:p w14:paraId="13123025" w14:textId="77777777" w:rsidR="00BE1E74" w:rsidRDefault="00D330BE" w:rsidP="00905D1C">
      <w:pPr>
        <w:pStyle w:val="Prrafodelista"/>
        <w:numPr>
          <w:ilvl w:val="0"/>
          <w:numId w:val="15"/>
        </w:numPr>
        <w:spacing w:before="240" w:after="240" w:line="360" w:lineRule="auto"/>
        <w:ind w:left="714" w:hanging="357"/>
        <w:jc w:val="both"/>
      </w:pPr>
      <w:proofErr w:type="gramStart"/>
      <w:r>
        <w:rPr>
          <w:rFonts w:ascii="Arial" w:hAnsi="Arial"/>
          <w:b/>
          <w:sz w:val="24"/>
        </w:rPr>
        <w:t>Documentales técnicas</w:t>
      </w:r>
      <w:proofErr w:type="gramEnd"/>
      <w:r>
        <w:rPr>
          <w:rFonts w:ascii="Arial" w:hAnsi="Arial"/>
          <w:b/>
          <w:sz w:val="24"/>
        </w:rPr>
        <w:t>:</w:t>
      </w:r>
      <w:r>
        <w:rPr>
          <w:rFonts w:ascii="Arial" w:hAnsi="Arial"/>
          <w:bCs/>
          <w:sz w:val="24"/>
        </w:rPr>
        <w:t xml:space="preserve"> consistentes</w:t>
      </w:r>
      <w:r>
        <w:rPr>
          <w:rFonts w:ascii="Arial" w:hAnsi="Arial"/>
          <w:sz w:val="24"/>
        </w:rPr>
        <w:t xml:space="preserve"> en dos impresiones </w:t>
      </w:r>
      <w:r>
        <w:rPr>
          <w:rFonts w:ascii="Arial" w:hAnsi="Arial" w:cs="Arial"/>
          <w:sz w:val="24"/>
          <w:szCs w:val="24"/>
        </w:rPr>
        <w:t>fotográficas</w:t>
      </w:r>
      <w:r>
        <w:rPr>
          <w:rFonts w:ascii="Arial" w:hAnsi="Arial"/>
          <w:sz w:val="24"/>
        </w:rPr>
        <w:t xml:space="preserve"> en las que se aprecia la propaganda denunciada en la propiedad particular señalada en la queja.</w:t>
      </w:r>
    </w:p>
    <w:tbl>
      <w:tblPr>
        <w:tblStyle w:val="Tablaconcuadrcula"/>
        <w:tblW w:w="0" w:type="auto"/>
        <w:tblInd w:w="1271" w:type="dxa"/>
        <w:tblLook w:val="04A0" w:firstRow="1" w:lastRow="0" w:firstColumn="1" w:lastColumn="0" w:noHBand="0" w:noVBand="1"/>
      </w:tblPr>
      <w:tblGrid>
        <w:gridCol w:w="2480"/>
        <w:gridCol w:w="2765"/>
      </w:tblGrid>
      <w:tr w:rsidR="00BE1E74" w14:paraId="40899BFF" w14:textId="77777777">
        <w:tc>
          <w:tcPr>
            <w:tcW w:w="2480" w:type="dxa"/>
          </w:tcPr>
          <w:p w14:paraId="3BCDB6BF" w14:textId="77777777" w:rsidR="00BE1E74" w:rsidRDefault="00D330BE">
            <w:pPr>
              <w:spacing w:before="240" w:line="360" w:lineRule="auto"/>
              <w:jc w:val="center"/>
              <w:rPr>
                <w:rFonts w:ascii="Arial" w:hAnsi="Arial" w:cs="Arial"/>
                <w:sz w:val="24"/>
                <w:szCs w:val="24"/>
              </w:rPr>
            </w:pPr>
            <w:r>
              <w:rPr>
                <w:noProof/>
              </w:rPr>
              <w:drawing>
                <wp:inline distT="0" distB="0" distL="0" distR="0" wp14:anchorId="3D36F1E4" wp14:editId="7FEA9230">
                  <wp:extent cx="1178490" cy="1321869"/>
                  <wp:effectExtent l="0" t="0" r="3175" b="0"/>
                  <wp:docPr id="9692750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4585214" name=""/>
                          <pic:cNvPicPr/>
                        </pic:nvPicPr>
                        <pic:blipFill>
                          <a:blip r:embed="rId14">
                            <a:extLst>
                              <a:ext uri="{28A0092B-C50C-407E-A947-70E740481C1C}">
                                <a14:useLocalDpi xmlns:a14="http://schemas.microsoft.com/office/drawing/2010/main"/>
                              </a:ext>
                            </a:extLst>
                          </a:blip>
                          <a:stretch>
                            <a:fillRect/>
                          </a:stretch>
                        </pic:blipFill>
                        <pic:spPr>
                          <a:xfrm>
                            <a:off x="0" y="0"/>
                            <a:ext cx="1189782" cy="1334535"/>
                          </a:xfrm>
                          <a:prstGeom prst="rect">
                            <a:avLst/>
                          </a:prstGeom>
                        </pic:spPr>
                      </pic:pic>
                    </a:graphicData>
                  </a:graphic>
                </wp:inline>
              </w:drawing>
            </w:r>
          </w:p>
        </w:tc>
        <w:tc>
          <w:tcPr>
            <w:tcW w:w="2765" w:type="dxa"/>
          </w:tcPr>
          <w:p w14:paraId="5DE8A187" w14:textId="77777777" w:rsidR="00BE1E74" w:rsidRDefault="00D330BE">
            <w:pPr>
              <w:spacing w:before="240" w:line="360" w:lineRule="auto"/>
              <w:jc w:val="center"/>
              <w:rPr>
                <w:rFonts w:ascii="Arial" w:hAnsi="Arial" w:cs="Arial"/>
                <w:sz w:val="24"/>
                <w:szCs w:val="24"/>
              </w:rPr>
            </w:pPr>
            <w:r>
              <w:rPr>
                <w:noProof/>
              </w:rPr>
              <w:drawing>
                <wp:inline distT="0" distB="0" distL="0" distR="0" wp14:anchorId="64F73DE3" wp14:editId="7C0E1071">
                  <wp:extent cx="1239252" cy="1334770"/>
                  <wp:effectExtent l="0" t="0" r="0" b="0"/>
                  <wp:docPr id="109577224"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577224" name="Picture 109577224"/>
                          <pic:cNvPicPr/>
                        </pic:nvPicPr>
                        <pic:blipFill>
                          <a:blip r:embed="rId15">
                            <a:extLst>
                              <a:ext uri="{28A0092B-C50C-407E-A947-70E740481C1C}">
                                <a14:useLocalDpi xmlns:a14="http://schemas.microsoft.com/office/drawing/2010/main"/>
                              </a:ext>
                            </a:extLst>
                          </a:blip>
                          <a:stretch>
                            <a:fillRect/>
                          </a:stretch>
                        </pic:blipFill>
                        <pic:spPr>
                          <a:xfrm>
                            <a:off x="0" y="0"/>
                            <a:ext cx="1254728" cy="1351438"/>
                          </a:xfrm>
                          <a:prstGeom prst="rect">
                            <a:avLst/>
                          </a:prstGeom>
                        </pic:spPr>
                      </pic:pic>
                    </a:graphicData>
                  </a:graphic>
                </wp:inline>
              </w:drawing>
            </w:r>
          </w:p>
        </w:tc>
      </w:tr>
    </w:tbl>
    <w:p w14:paraId="7A326B50" w14:textId="77777777" w:rsidR="00BE1E74" w:rsidRDefault="00D330BE">
      <w:pPr>
        <w:pStyle w:val="Prrafodelista"/>
        <w:numPr>
          <w:ilvl w:val="0"/>
          <w:numId w:val="15"/>
        </w:numPr>
        <w:spacing w:before="240" w:after="0" w:line="360" w:lineRule="auto"/>
        <w:jc w:val="both"/>
        <w:rPr>
          <w:rFonts w:ascii="Arial" w:hAnsi="Arial" w:cs="Arial"/>
          <w:sz w:val="24"/>
          <w:szCs w:val="24"/>
        </w:rPr>
      </w:pPr>
      <w:r>
        <w:rPr>
          <w:rFonts w:ascii="Arial" w:hAnsi="Arial" w:cs="Arial"/>
          <w:sz w:val="24"/>
          <w:szCs w:val="24"/>
        </w:rPr>
        <w:lastRenderedPageBreak/>
        <w:t xml:space="preserve">Solicitud de inspección ocular en el domicilio citado con anterioridad. </w:t>
      </w:r>
    </w:p>
    <w:p w14:paraId="7B4BC88E" w14:textId="77777777" w:rsidR="00BE1E74" w:rsidRDefault="00D330BE">
      <w:pPr>
        <w:pStyle w:val="Prrafodelista"/>
        <w:numPr>
          <w:ilvl w:val="0"/>
          <w:numId w:val="15"/>
        </w:numPr>
        <w:spacing w:before="240" w:after="0" w:line="360" w:lineRule="auto"/>
        <w:jc w:val="both"/>
        <w:rPr>
          <w:rFonts w:ascii="Arial" w:hAnsi="Arial" w:cs="Arial"/>
          <w:sz w:val="24"/>
          <w:szCs w:val="24"/>
        </w:rPr>
      </w:pPr>
      <w:r>
        <w:rPr>
          <w:rFonts w:ascii="Arial" w:hAnsi="Arial" w:cs="Arial"/>
          <w:sz w:val="24"/>
          <w:szCs w:val="24"/>
        </w:rPr>
        <w:t xml:space="preserve">Credenciales para votar expedidas por el Instituto Nacional Electoral a nombre y con los datos de la </w:t>
      </w:r>
      <w:r>
        <w:rPr>
          <w:rFonts w:ascii="Arial" w:hAnsi="Arial" w:cs="Arial"/>
          <w:i/>
          <w:iCs/>
          <w:sz w:val="24"/>
          <w:szCs w:val="24"/>
        </w:rPr>
        <w:t xml:space="preserve">denunciante </w:t>
      </w:r>
      <w:r>
        <w:rPr>
          <w:rFonts w:ascii="Arial" w:hAnsi="Arial" w:cs="Arial"/>
          <w:sz w:val="24"/>
          <w:szCs w:val="24"/>
        </w:rPr>
        <w:t>y de su progenitor.</w:t>
      </w:r>
    </w:p>
    <w:p w14:paraId="2559F064" w14:textId="77777777" w:rsidR="00BE1E74" w:rsidRDefault="00D330BE">
      <w:pPr>
        <w:pStyle w:val="Prrafodelista"/>
        <w:numPr>
          <w:ilvl w:val="0"/>
          <w:numId w:val="15"/>
        </w:numPr>
        <w:spacing w:before="240" w:after="0" w:line="360" w:lineRule="auto"/>
        <w:jc w:val="both"/>
        <w:rPr>
          <w:rFonts w:ascii="Arial" w:hAnsi="Arial" w:cs="Arial"/>
          <w:sz w:val="24"/>
          <w:szCs w:val="24"/>
        </w:rPr>
      </w:pPr>
      <w:r>
        <w:rPr>
          <w:rFonts w:ascii="Arial" w:hAnsi="Arial" w:cs="Arial"/>
          <w:sz w:val="24"/>
          <w:szCs w:val="24"/>
        </w:rPr>
        <w:t xml:space="preserve">Acta de nacimiento de la </w:t>
      </w:r>
      <w:r>
        <w:rPr>
          <w:rFonts w:ascii="Arial" w:hAnsi="Arial"/>
          <w:i/>
          <w:iCs/>
          <w:sz w:val="24"/>
        </w:rPr>
        <w:t>denuncia</w:t>
      </w:r>
      <w:r>
        <w:rPr>
          <w:rFonts w:ascii="Arial" w:hAnsi="Arial" w:cs="Arial"/>
          <w:i/>
          <w:iCs/>
          <w:sz w:val="24"/>
          <w:szCs w:val="24"/>
        </w:rPr>
        <w:t>nte</w:t>
      </w:r>
      <w:r>
        <w:rPr>
          <w:rFonts w:ascii="Arial" w:hAnsi="Arial" w:cs="Arial"/>
          <w:sz w:val="24"/>
          <w:szCs w:val="24"/>
        </w:rPr>
        <w:t xml:space="preserve">. </w:t>
      </w:r>
    </w:p>
    <w:p w14:paraId="0667E919" w14:textId="77777777" w:rsidR="00BE1E74" w:rsidRDefault="00D330BE">
      <w:pPr>
        <w:pStyle w:val="Prrafodelista"/>
        <w:numPr>
          <w:ilvl w:val="0"/>
          <w:numId w:val="15"/>
        </w:numPr>
        <w:spacing w:before="240" w:after="0" w:line="360" w:lineRule="auto"/>
        <w:jc w:val="both"/>
        <w:rPr>
          <w:rFonts w:ascii="Arial" w:hAnsi="Arial" w:cs="Arial"/>
          <w:sz w:val="24"/>
          <w:szCs w:val="24"/>
        </w:rPr>
      </w:pPr>
      <w:r>
        <w:rPr>
          <w:rFonts w:ascii="Arial" w:hAnsi="Arial" w:cs="Arial"/>
          <w:sz w:val="24"/>
          <w:szCs w:val="24"/>
        </w:rPr>
        <w:t>Recibo de pago de cuenta predial del inmueble objeto de la investigación, del municipio de Morelia.</w:t>
      </w:r>
    </w:p>
    <w:p w14:paraId="5B662378" w14:textId="77777777" w:rsidR="00BE1E74" w:rsidRDefault="00D330BE">
      <w:pPr>
        <w:spacing w:before="240" w:after="0" w:line="360" w:lineRule="auto"/>
        <w:jc w:val="both"/>
        <w:rPr>
          <w:rFonts w:ascii="Arial" w:hAnsi="Arial"/>
          <w:b/>
          <w:i/>
          <w:sz w:val="24"/>
        </w:rPr>
      </w:pPr>
      <w:r>
        <w:rPr>
          <w:rFonts w:ascii="Arial" w:hAnsi="Arial"/>
          <w:b/>
          <w:sz w:val="24"/>
        </w:rPr>
        <w:t xml:space="preserve">6.1.2. Del </w:t>
      </w:r>
      <w:r>
        <w:rPr>
          <w:rFonts w:ascii="Arial" w:hAnsi="Arial"/>
          <w:b/>
          <w:i/>
          <w:sz w:val="24"/>
        </w:rPr>
        <w:t>denunciado</w:t>
      </w:r>
    </w:p>
    <w:p w14:paraId="786BA60E" w14:textId="77777777" w:rsidR="00BE1E74" w:rsidRDefault="00D330BE" w:rsidP="006E71D0">
      <w:pPr>
        <w:pStyle w:val="Prrafodelista"/>
        <w:numPr>
          <w:ilvl w:val="0"/>
          <w:numId w:val="24"/>
        </w:numPr>
        <w:spacing w:before="240" w:after="240" w:line="360" w:lineRule="auto"/>
        <w:ind w:left="714" w:hanging="357"/>
        <w:jc w:val="both"/>
      </w:pPr>
      <w:r>
        <w:rPr>
          <w:rFonts w:ascii="Arial" w:hAnsi="Arial" w:cs="Arial"/>
          <w:b/>
          <w:bCs/>
          <w:sz w:val="24"/>
          <w:szCs w:val="24"/>
        </w:rPr>
        <w:t>Documentales Técnicas:</w:t>
      </w:r>
      <w:r>
        <w:rPr>
          <w:rFonts w:ascii="Arial" w:hAnsi="Arial" w:cs="Arial"/>
          <w:sz w:val="24"/>
          <w:szCs w:val="24"/>
        </w:rPr>
        <w:t xml:space="preserve"> consistente en dos impresiones fotográficas en las que se aprecia la pared pintada de blanco </w:t>
      </w:r>
      <w:r>
        <w:rPr>
          <w:rFonts w:ascii="Arial" w:hAnsi="Arial"/>
          <w:sz w:val="24"/>
        </w:rPr>
        <w:t>en la propiedad particular señalada.</w:t>
      </w:r>
    </w:p>
    <w:tbl>
      <w:tblPr>
        <w:tblStyle w:val="Tablaconcuadrcula"/>
        <w:tblW w:w="0" w:type="auto"/>
        <w:tblInd w:w="1129" w:type="dxa"/>
        <w:tblLook w:val="06A0" w:firstRow="1" w:lastRow="0" w:firstColumn="1" w:lastColumn="0" w:noHBand="1" w:noVBand="1"/>
      </w:tblPr>
      <w:tblGrid>
        <w:gridCol w:w="2621"/>
        <w:gridCol w:w="2341"/>
      </w:tblGrid>
      <w:tr w:rsidR="00BE1E74" w14:paraId="3DE25684" w14:textId="77777777">
        <w:trPr>
          <w:trHeight w:val="300"/>
        </w:trPr>
        <w:tc>
          <w:tcPr>
            <w:tcW w:w="2621" w:type="dxa"/>
          </w:tcPr>
          <w:p w14:paraId="0CD639A3" w14:textId="77777777" w:rsidR="00BE1E74" w:rsidRDefault="00D330BE">
            <w:pPr>
              <w:jc w:val="center"/>
            </w:pPr>
            <w:r>
              <w:rPr>
                <w:noProof/>
              </w:rPr>
              <w:drawing>
                <wp:inline distT="0" distB="0" distL="0" distR="0" wp14:anchorId="4299BD3B" wp14:editId="1EFD55C7">
                  <wp:extent cx="1324394" cy="1160679"/>
                  <wp:effectExtent l="0" t="0" r="0" b="1905"/>
                  <wp:docPr id="3874346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34697" name="Picture 387434697"/>
                          <pic:cNvPicPr/>
                        </pic:nvPicPr>
                        <pic:blipFill>
                          <a:blip r:embed="rId16">
                            <a:extLst>
                              <a:ext uri="{28A0092B-C50C-407E-A947-70E740481C1C}">
                                <a14:useLocalDpi xmlns:a14="http://schemas.microsoft.com/office/drawing/2010/main"/>
                              </a:ext>
                            </a:extLst>
                          </a:blip>
                          <a:stretch>
                            <a:fillRect/>
                          </a:stretch>
                        </pic:blipFill>
                        <pic:spPr>
                          <a:xfrm>
                            <a:off x="0" y="0"/>
                            <a:ext cx="1344928" cy="1178674"/>
                          </a:xfrm>
                          <a:prstGeom prst="rect">
                            <a:avLst/>
                          </a:prstGeom>
                        </pic:spPr>
                      </pic:pic>
                    </a:graphicData>
                  </a:graphic>
                </wp:inline>
              </w:drawing>
            </w:r>
          </w:p>
        </w:tc>
        <w:tc>
          <w:tcPr>
            <w:tcW w:w="2341" w:type="dxa"/>
          </w:tcPr>
          <w:p w14:paraId="116DD71E" w14:textId="77777777" w:rsidR="00BE1E74" w:rsidRDefault="00D330BE">
            <w:pPr>
              <w:jc w:val="center"/>
            </w:pPr>
            <w:r>
              <w:rPr>
                <w:noProof/>
              </w:rPr>
              <w:drawing>
                <wp:inline distT="0" distB="0" distL="0" distR="0" wp14:anchorId="77D088DC" wp14:editId="161F4A66">
                  <wp:extent cx="1284602" cy="1149818"/>
                  <wp:effectExtent l="0" t="0" r="0" b="0"/>
                  <wp:docPr id="1496596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96823" name="Picture 1496596823"/>
                          <pic:cNvPicPr/>
                        </pic:nvPicPr>
                        <pic:blipFill>
                          <a:blip r:embed="rId17">
                            <a:extLst>
                              <a:ext uri="{28A0092B-C50C-407E-A947-70E740481C1C}">
                                <a14:useLocalDpi xmlns:a14="http://schemas.microsoft.com/office/drawing/2010/main"/>
                              </a:ext>
                            </a:extLst>
                          </a:blip>
                          <a:stretch>
                            <a:fillRect/>
                          </a:stretch>
                        </pic:blipFill>
                        <pic:spPr>
                          <a:xfrm>
                            <a:off x="0" y="0"/>
                            <a:ext cx="1298867" cy="1162586"/>
                          </a:xfrm>
                          <a:prstGeom prst="rect">
                            <a:avLst/>
                          </a:prstGeom>
                        </pic:spPr>
                      </pic:pic>
                    </a:graphicData>
                  </a:graphic>
                </wp:inline>
              </w:drawing>
            </w:r>
          </w:p>
        </w:tc>
      </w:tr>
    </w:tbl>
    <w:p w14:paraId="2F1DDDC5" w14:textId="77777777" w:rsidR="00BE1E74" w:rsidRDefault="00D330BE" w:rsidP="006E71D0">
      <w:pPr>
        <w:pStyle w:val="Prrafodelista"/>
        <w:numPr>
          <w:ilvl w:val="0"/>
          <w:numId w:val="24"/>
        </w:numPr>
        <w:spacing w:before="240" w:after="240" w:line="360" w:lineRule="auto"/>
        <w:ind w:left="714" w:hanging="357"/>
        <w:jc w:val="both"/>
        <w:rPr>
          <w:rFonts w:ascii="Arial" w:hAnsi="Arial" w:cs="Arial"/>
          <w:sz w:val="24"/>
          <w:szCs w:val="24"/>
        </w:rPr>
      </w:pPr>
      <w:r>
        <w:rPr>
          <w:rFonts w:ascii="Arial" w:hAnsi="Arial" w:cs="Arial"/>
          <w:b/>
          <w:sz w:val="24"/>
          <w:szCs w:val="24"/>
        </w:rPr>
        <w:t>Documental Pública:</w:t>
      </w:r>
      <w:r>
        <w:rPr>
          <w:rFonts w:ascii="Arial" w:hAnsi="Arial" w:cs="Arial"/>
          <w:bCs/>
          <w:sz w:val="24"/>
          <w:szCs w:val="24"/>
        </w:rPr>
        <w:t xml:space="preserve"> consistente</w:t>
      </w:r>
      <w:r>
        <w:rPr>
          <w:rFonts w:ascii="Arial" w:hAnsi="Arial" w:cs="Arial"/>
          <w:sz w:val="24"/>
          <w:szCs w:val="24"/>
        </w:rPr>
        <w:t xml:space="preserve"> en el Acta Circunstanciada</w:t>
      </w:r>
      <w:r>
        <w:rPr>
          <w:rFonts w:ascii="Arial" w:hAnsi="Arial"/>
          <w:sz w:val="24"/>
        </w:rPr>
        <w:t xml:space="preserve"> de </w:t>
      </w:r>
      <w:r>
        <w:rPr>
          <w:rFonts w:ascii="Arial" w:hAnsi="Arial" w:cs="Arial"/>
          <w:sz w:val="24"/>
          <w:szCs w:val="24"/>
        </w:rPr>
        <w:t>Verificación IEM- OFI-570/2026.</w:t>
      </w:r>
    </w:p>
    <w:p w14:paraId="27D1A3E9" w14:textId="77777777" w:rsidR="00BE1E74" w:rsidRDefault="00D330BE">
      <w:pPr>
        <w:pStyle w:val="Prrafodelista"/>
        <w:numPr>
          <w:ilvl w:val="0"/>
          <w:numId w:val="24"/>
        </w:numPr>
        <w:spacing w:before="240" w:after="0" w:line="360" w:lineRule="auto"/>
        <w:jc w:val="both"/>
        <w:rPr>
          <w:rFonts w:ascii="Arial" w:hAnsi="Arial" w:cs="Arial"/>
          <w:sz w:val="24"/>
          <w:szCs w:val="24"/>
        </w:rPr>
      </w:pPr>
      <w:proofErr w:type="spellStart"/>
      <w:r>
        <w:rPr>
          <w:rFonts w:ascii="Arial" w:hAnsi="Arial" w:cs="Arial"/>
          <w:b/>
          <w:sz w:val="24"/>
          <w:szCs w:val="24"/>
        </w:rPr>
        <w:t>Presuncional</w:t>
      </w:r>
      <w:proofErr w:type="spellEnd"/>
      <w:r>
        <w:rPr>
          <w:rFonts w:ascii="Arial" w:hAnsi="Arial" w:cs="Arial"/>
          <w:b/>
          <w:sz w:val="24"/>
          <w:szCs w:val="24"/>
        </w:rPr>
        <w:t xml:space="preserve"> legal y humana:</w:t>
      </w:r>
      <w:r>
        <w:rPr>
          <w:rFonts w:ascii="Arial" w:hAnsi="Arial" w:cs="Arial"/>
          <w:sz w:val="24"/>
          <w:szCs w:val="24"/>
        </w:rPr>
        <w:t xml:space="preserve"> consistente en las consecuencias que se deriven de la ley y las que la autoridad jurisdiccional deduzca de hechos conocidos para averiguar la verdad de los desconocidos.</w:t>
      </w:r>
    </w:p>
    <w:p w14:paraId="3089F737" w14:textId="77777777" w:rsidR="00BE1E74" w:rsidRDefault="00D330BE">
      <w:pPr>
        <w:pStyle w:val="Prrafodelista"/>
        <w:numPr>
          <w:ilvl w:val="0"/>
          <w:numId w:val="24"/>
        </w:numPr>
        <w:spacing w:before="240" w:after="0" w:line="360" w:lineRule="auto"/>
        <w:jc w:val="both"/>
        <w:rPr>
          <w:rFonts w:ascii="Arial" w:hAnsi="Arial" w:cs="Arial"/>
          <w:sz w:val="24"/>
          <w:szCs w:val="24"/>
        </w:rPr>
      </w:pPr>
      <w:r>
        <w:rPr>
          <w:rFonts w:ascii="Arial" w:hAnsi="Arial" w:cs="Arial"/>
          <w:b/>
          <w:sz w:val="24"/>
          <w:szCs w:val="24"/>
        </w:rPr>
        <w:t>Instrumental de actuaciones:</w:t>
      </w:r>
      <w:r>
        <w:rPr>
          <w:rFonts w:ascii="Arial" w:hAnsi="Arial" w:cs="Arial"/>
          <w:bCs/>
          <w:sz w:val="24"/>
          <w:szCs w:val="24"/>
        </w:rPr>
        <w:t xml:space="preserve"> co</w:t>
      </w:r>
      <w:r>
        <w:rPr>
          <w:rFonts w:ascii="Arial" w:hAnsi="Arial" w:cs="Arial"/>
          <w:sz w:val="24"/>
          <w:szCs w:val="24"/>
        </w:rPr>
        <w:t xml:space="preserve">nsistente en todo lo actuado en el expediente y que le favorezca. </w:t>
      </w:r>
    </w:p>
    <w:p w14:paraId="37DDBD17" w14:textId="77777777" w:rsidR="00BE1E74" w:rsidRDefault="00D330BE">
      <w:pPr>
        <w:pStyle w:val="Prrafodelista"/>
        <w:numPr>
          <w:ilvl w:val="0"/>
          <w:numId w:val="24"/>
        </w:numPr>
        <w:spacing w:before="240" w:after="0" w:line="360" w:lineRule="auto"/>
        <w:jc w:val="both"/>
        <w:rPr>
          <w:rFonts w:ascii="Arial" w:hAnsi="Arial" w:cs="Arial"/>
          <w:b/>
          <w:bCs/>
          <w:sz w:val="24"/>
          <w:szCs w:val="24"/>
        </w:rPr>
      </w:pPr>
      <w:r>
        <w:rPr>
          <w:rFonts w:ascii="Arial" w:hAnsi="Arial" w:cs="Arial"/>
          <w:sz w:val="24"/>
          <w:szCs w:val="24"/>
        </w:rPr>
        <w:t xml:space="preserve">Escrito de contestación al requerimiento de información, signado por el </w:t>
      </w:r>
      <w:r>
        <w:rPr>
          <w:rFonts w:ascii="Arial" w:hAnsi="Arial" w:cs="Arial"/>
          <w:i/>
          <w:iCs/>
          <w:sz w:val="24"/>
          <w:szCs w:val="24"/>
        </w:rPr>
        <w:t>denunciado.</w:t>
      </w:r>
    </w:p>
    <w:p w14:paraId="50ABF977" w14:textId="77777777" w:rsidR="00BE1E74" w:rsidRDefault="00D330BE">
      <w:pPr>
        <w:pStyle w:val="Prrafodelista"/>
        <w:numPr>
          <w:ilvl w:val="0"/>
          <w:numId w:val="24"/>
        </w:numPr>
        <w:spacing w:before="240" w:after="0" w:line="360" w:lineRule="auto"/>
        <w:jc w:val="both"/>
        <w:rPr>
          <w:rFonts w:ascii="Arial" w:hAnsi="Arial" w:cs="Arial"/>
          <w:sz w:val="24"/>
          <w:szCs w:val="24"/>
        </w:rPr>
      </w:pPr>
      <w:r>
        <w:rPr>
          <w:rFonts w:ascii="Arial" w:hAnsi="Arial" w:cs="Arial"/>
          <w:sz w:val="24"/>
          <w:szCs w:val="24"/>
        </w:rPr>
        <w:t xml:space="preserve">Escrito de </w:t>
      </w:r>
      <w:r>
        <w:rPr>
          <w:rFonts w:ascii="Arial" w:hAnsi="Arial" w:cs="Arial"/>
          <w:bCs/>
          <w:sz w:val="24"/>
          <w:szCs w:val="24"/>
        </w:rPr>
        <w:t xml:space="preserve">alegatos </w:t>
      </w:r>
      <w:r>
        <w:rPr>
          <w:rFonts w:ascii="Arial" w:hAnsi="Arial" w:cs="Arial"/>
          <w:sz w:val="24"/>
          <w:szCs w:val="24"/>
        </w:rPr>
        <w:t>del Procedimiento Especial Sancionador IEM-PES-11/2026.</w:t>
      </w:r>
    </w:p>
    <w:p w14:paraId="708E2976" w14:textId="77777777" w:rsidR="00BE1E74" w:rsidRDefault="00D330BE">
      <w:pPr>
        <w:spacing w:before="240" w:after="0" w:line="360" w:lineRule="auto"/>
        <w:jc w:val="both"/>
        <w:rPr>
          <w:rFonts w:ascii="Arial" w:hAnsi="Arial" w:cs="Arial"/>
          <w:b/>
          <w:i/>
          <w:sz w:val="24"/>
          <w:szCs w:val="24"/>
        </w:rPr>
      </w:pPr>
      <w:r>
        <w:rPr>
          <w:rFonts w:ascii="Arial" w:hAnsi="Arial"/>
          <w:b/>
          <w:sz w:val="24"/>
        </w:rPr>
        <w:t xml:space="preserve">6.1.3. De </w:t>
      </w:r>
      <w:r>
        <w:rPr>
          <w:rFonts w:ascii="Arial" w:hAnsi="Arial" w:cs="Arial"/>
          <w:b/>
          <w:i/>
          <w:sz w:val="24"/>
          <w:szCs w:val="24"/>
        </w:rPr>
        <w:t>MORENA</w:t>
      </w:r>
      <w:r>
        <w:rPr>
          <w:rFonts w:ascii="Arial" w:hAnsi="Arial"/>
          <w:b/>
          <w:i/>
          <w:sz w:val="24"/>
        </w:rPr>
        <w:t xml:space="preserve"> </w:t>
      </w:r>
    </w:p>
    <w:p w14:paraId="18D98EE7" w14:textId="77777777" w:rsidR="00BE1E74" w:rsidRDefault="00D330BE">
      <w:pPr>
        <w:pStyle w:val="Prrafodelista"/>
        <w:numPr>
          <w:ilvl w:val="0"/>
          <w:numId w:val="26"/>
        </w:numPr>
        <w:spacing w:before="240" w:after="0" w:line="360" w:lineRule="auto"/>
        <w:jc w:val="both"/>
        <w:rPr>
          <w:rFonts w:ascii="Arial" w:hAnsi="Arial" w:cs="Arial"/>
          <w:sz w:val="24"/>
          <w:szCs w:val="24"/>
        </w:rPr>
      </w:pPr>
      <w:proofErr w:type="spellStart"/>
      <w:r>
        <w:rPr>
          <w:rFonts w:ascii="Arial" w:hAnsi="Arial" w:cs="Arial"/>
          <w:b/>
          <w:sz w:val="24"/>
          <w:szCs w:val="24"/>
        </w:rPr>
        <w:t>Presuncional</w:t>
      </w:r>
      <w:proofErr w:type="spellEnd"/>
      <w:r>
        <w:rPr>
          <w:rFonts w:ascii="Arial" w:hAnsi="Arial" w:cs="Arial"/>
          <w:b/>
          <w:sz w:val="24"/>
          <w:szCs w:val="24"/>
        </w:rPr>
        <w:t xml:space="preserve"> legal y humana:</w:t>
      </w:r>
      <w:r>
        <w:rPr>
          <w:rFonts w:ascii="Arial" w:hAnsi="Arial" w:cs="Arial"/>
          <w:bCs/>
          <w:sz w:val="24"/>
          <w:szCs w:val="24"/>
        </w:rPr>
        <w:t xml:space="preserve"> consistente</w:t>
      </w:r>
      <w:r>
        <w:rPr>
          <w:rFonts w:ascii="Arial" w:hAnsi="Arial" w:cs="Arial"/>
          <w:sz w:val="24"/>
          <w:szCs w:val="24"/>
        </w:rPr>
        <w:t xml:space="preserve"> en el conjunto de razonamientos, lógicos, jurídicos y humanos que permiten </w:t>
      </w:r>
      <w:r>
        <w:rPr>
          <w:rFonts w:ascii="Arial" w:hAnsi="Arial" w:cs="Arial"/>
          <w:sz w:val="24"/>
          <w:szCs w:val="24"/>
        </w:rPr>
        <w:lastRenderedPageBreak/>
        <w:t>deducir de un hecho debidamente probado y conocido la verdad de otro desconocido.</w:t>
      </w:r>
    </w:p>
    <w:p w14:paraId="6D4BF148" w14:textId="77777777" w:rsidR="00BE1E74" w:rsidRDefault="00D330BE">
      <w:pPr>
        <w:pStyle w:val="Prrafodelista"/>
        <w:numPr>
          <w:ilvl w:val="0"/>
          <w:numId w:val="26"/>
        </w:numPr>
        <w:spacing w:before="240" w:after="0" w:line="360" w:lineRule="auto"/>
        <w:jc w:val="both"/>
        <w:rPr>
          <w:rFonts w:ascii="Arial" w:hAnsi="Arial" w:cs="Arial"/>
          <w:bCs/>
          <w:sz w:val="24"/>
          <w:szCs w:val="24"/>
        </w:rPr>
      </w:pPr>
      <w:r>
        <w:rPr>
          <w:rFonts w:ascii="Arial" w:hAnsi="Arial" w:cs="Arial"/>
          <w:b/>
          <w:sz w:val="24"/>
          <w:szCs w:val="24"/>
        </w:rPr>
        <w:t>Instrumental de actuaciones:</w:t>
      </w:r>
      <w:r>
        <w:rPr>
          <w:rFonts w:ascii="Arial" w:hAnsi="Arial" w:cs="Arial"/>
          <w:bCs/>
          <w:sz w:val="24"/>
          <w:szCs w:val="24"/>
        </w:rPr>
        <w:t xml:space="preserve"> consistente en los autos, constancias, documentos y actuaciones del expediente que le favorezcan.</w:t>
      </w:r>
    </w:p>
    <w:p w14:paraId="15744E4C" w14:textId="77777777" w:rsidR="00BE1E74" w:rsidRDefault="00D330BE">
      <w:pPr>
        <w:pStyle w:val="Prrafodelista"/>
        <w:numPr>
          <w:ilvl w:val="0"/>
          <w:numId w:val="26"/>
        </w:numPr>
        <w:spacing w:before="240" w:after="0" w:line="360" w:lineRule="auto"/>
        <w:jc w:val="both"/>
        <w:rPr>
          <w:rFonts w:ascii="Arial" w:hAnsi="Arial" w:cs="Arial"/>
          <w:bCs/>
          <w:sz w:val="24"/>
          <w:szCs w:val="24"/>
        </w:rPr>
      </w:pPr>
      <w:r>
        <w:rPr>
          <w:rFonts w:ascii="Arial" w:hAnsi="Arial" w:cs="Arial"/>
          <w:bCs/>
          <w:sz w:val="24"/>
          <w:szCs w:val="24"/>
        </w:rPr>
        <w:t xml:space="preserve">Credencial de afiliación de </w:t>
      </w:r>
      <w:r>
        <w:rPr>
          <w:rFonts w:ascii="Arial" w:hAnsi="Arial" w:cs="Arial"/>
          <w:i/>
          <w:sz w:val="24"/>
          <w:szCs w:val="24"/>
        </w:rPr>
        <w:t>MORENA</w:t>
      </w:r>
      <w:r>
        <w:rPr>
          <w:rFonts w:ascii="Arial" w:hAnsi="Arial" w:cs="Arial"/>
          <w:bCs/>
          <w:sz w:val="24"/>
          <w:szCs w:val="24"/>
        </w:rPr>
        <w:t xml:space="preserve">, a nombre y con los datos del denunciado. </w:t>
      </w:r>
    </w:p>
    <w:p w14:paraId="29EC65E5" w14:textId="77777777" w:rsidR="00BE1E74" w:rsidRDefault="00D330BE">
      <w:pPr>
        <w:pStyle w:val="Prrafodelista"/>
        <w:numPr>
          <w:ilvl w:val="0"/>
          <w:numId w:val="26"/>
        </w:numPr>
        <w:spacing w:before="240" w:after="0" w:line="360" w:lineRule="auto"/>
        <w:jc w:val="both"/>
        <w:rPr>
          <w:rFonts w:ascii="Arial" w:hAnsi="Arial" w:cs="Arial"/>
          <w:bCs/>
          <w:sz w:val="24"/>
          <w:szCs w:val="24"/>
        </w:rPr>
      </w:pPr>
      <w:r>
        <w:rPr>
          <w:rFonts w:ascii="Arial" w:hAnsi="Arial" w:cs="Arial"/>
          <w:bCs/>
          <w:sz w:val="24"/>
          <w:szCs w:val="24"/>
        </w:rPr>
        <w:t xml:space="preserve">Escrito de contestación al requerimiento de información, signado por el representante propietario de </w:t>
      </w:r>
      <w:r>
        <w:rPr>
          <w:rFonts w:ascii="Arial" w:hAnsi="Arial" w:cs="Arial"/>
          <w:i/>
          <w:sz w:val="24"/>
          <w:szCs w:val="24"/>
        </w:rPr>
        <w:t>MORENA</w:t>
      </w:r>
      <w:r>
        <w:rPr>
          <w:rFonts w:ascii="Arial" w:hAnsi="Arial" w:cs="Arial"/>
          <w:bCs/>
          <w:sz w:val="24"/>
          <w:szCs w:val="24"/>
        </w:rPr>
        <w:t>.</w:t>
      </w:r>
    </w:p>
    <w:p w14:paraId="6D0DC314" w14:textId="77777777" w:rsidR="00BE1E74" w:rsidRDefault="00D330BE">
      <w:pPr>
        <w:pStyle w:val="Prrafodelista"/>
        <w:numPr>
          <w:ilvl w:val="0"/>
          <w:numId w:val="26"/>
        </w:numPr>
        <w:spacing w:before="240" w:after="0" w:line="360" w:lineRule="auto"/>
        <w:jc w:val="both"/>
        <w:rPr>
          <w:rFonts w:ascii="Arial" w:hAnsi="Arial" w:cs="Arial"/>
          <w:bCs/>
          <w:sz w:val="24"/>
          <w:szCs w:val="24"/>
        </w:rPr>
      </w:pPr>
      <w:r>
        <w:rPr>
          <w:rFonts w:ascii="Arial" w:hAnsi="Arial" w:cs="Arial"/>
          <w:bCs/>
          <w:sz w:val="24"/>
          <w:szCs w:val="24"/>
        </w:rPr>
        <w:t>Escrito de alegatos del Procedimiento Especial Sancionador IEM-PES-11/2026.</w:t>
      </w:r>
    </w:p>
    <w:p w14:paraId="4401BBA5" w14:textId="77777777" w:rsidR="00BE1E74" w:rsidRDefault="00D330BE">
      <w:pPr>
        <w:spacing w:before="240" w:after="0" w:line="360" w:lineRule="auto"/>
        <w:jc w:val="both"/>
        <w:rPr>
          <w:rFonts w:ascii="Arial" w:hAnsi="Arial"/>
          <w:b/>
          <w:i/>
          <w:sz w:val="24"/>
        </w:rPr>
      </w:pPr>
      <w:r>
        <w:rPr>
          <w:rFonts w:ascii="Arial" w:hAnsi="Arial"/>
          <w:b/>
          <w:sz w:val="24"/>
        </w:rPr>
        <w:t xml:space="preserve">6.1.4. Del </w:t>
      </w:r>
      <w:r>
        <w:rPr>
          <w:rFonts w:ascii="Arial" w:hAnsi="Arial"/>
          <w:b/>
          <w:i/>
          <w:iCs/>
          <w:sz w:val="24"/>
        </w:rPr>
        <w:t>IEM</w:t>
      </w:r>
      <w:r>
        <w:rPr>
          <w:rFonts w:ascii="Arial" w:hAnsi="Arial"/>
          <w:b/>
          <w:i/>
          <w:sz w:val="24"/>
        </w:rPr>
        <w:t xml:space="preserve"> </w:t>
      </w:r>
    </w:p>
    <w:p w14:paraId="118879A4" w14:textId="77777777" w:rsidR="00BE1E74" w:rsidRDefault="00D330BE" w:rsidP="00B761B3">
      <w:pPr>
        <w:spacing w:before="240" w:after="240" w:line="360" w:lineRule="auto"/>
        <w:jc w:val="both"/>
        <w:rPr>
          <w:rFonts w:ascii="Arial" w:hAnsi="Arial"/>
          <w:sz w:val="24"/>
          <w:szCs w:val="24"/>
        </w:rPr>
      </w:pPr>
      <w:r>
        <w:rPr>
          <w:rFonts w:ascii="Arial" w:hAnsi="Arial"/>
          <w:sz w:val="24"/>
          <w:szCs w:val="24"/>
        </w:rPr>
        <w:t>La autoridad sustanciadora</w:t>
      </w:r>
      <w:r>
        <w:rPr>
          <w:rFonts w:ascii="Arial" w:hAnsi="Arial"/>
          <w:i/>
          <w:iCs/>
          <w:sz w:val="24"/>
          <w:szCs w:val="24"/>
        </w:rPr>
        <w:t xml:space="preserve"> </w:t>
      </w:r>
      <w:r>
        <w:rPr>
          <w:rFonts w:ascii="Arial" w:hAnsi="Arial"/>
          <w:sz w:val="24"/>
          <w:szCs w:val="24"/>
        </w:rPr>
        <w:t>realizó la investigación correspondiente resultando las siguientes:</w:t>
      </w:r>
    </w:p>
    <w:tbl>
      <w:tblPr>
        <w:tblW w:w="906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756"/>
        <w:gridCol w:w="1948"/>
        <w:gridCol w:w="5360"/>
      </w:tblGrid>
      <w:tr w:rsidR="00BE1E74" w14:paraId="76719ACD" w14:textId="77777777">
        <w:trPr>
          <w:tblCellSpacing w:w="20" w:type="dxa"/>
          <w:jc w:val="center"/>
        </w:trPr>
        <w:tc>
          <w:tcPr>
            <w:tcW w:w="1696"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6C7DD0C4" w14:textId="77777777" w:rsidR="00BE1E74" w:rsidRDefault="00D330BE">
            <w:pPr>
              <w:spacing w:line="240" w:lineRule="auto"/>
              <w:jc w:val="center"/>
              <w:rPr>
                <w:rFonts w:ascii="Arial Narrow" w:hAnsi="Arial Narrow" w:cs="Arial"/>
                <w:b/>
              </w:rPr>
            </w:pPr>
            <w:r>
              <w:rPr>
                <w:rFonts w:ascii="Arial Narrow" w:hAnsi="Arial Narrow" w:cs="Arial"/>
                <w:b/>
              </w:rPr>
              <w:t>ACTA</w:t>
            </w:r>
          </w:p>
        </w:tc>
        <w:tc>
          <w:tcPr>
            <w:tcW w:w="1908"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31BEE8F6" w14:textId="77777777" w:rsidR="00BE1E74" w:rsidRDefault="00D330BE">
            <w:pPr>
              <w:spacing w:line="240" w:lineRule="auto"/>
              <w:jc w:val="center"/>
              <w:rPr>
                <w:rFonts w:ascii="Arial Narrow" w:hAnsi="Arial Narrow" w:cs="Arial"/>
                <w:b/>
              </w:rPr>
            </w:pPr>
            <w:r>
              <w:rPr>
                <w:rFonts w:ascii="Arial Narrow" w:hAnsi="Arial Narrow" w:cs="Arial"/>
                <w:b/>
              </w:rPr>
              <w:t>UBICACIÓN</w:t>
            </w:r>
          </w:p>
        </w:tc>
        <w:tc>
          <w:tcPr>
            <w:tcW w:w="5300"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03FC05A7" w14:textId="77777777" w:rsidR="00BE1E74" w:rsidRDefault="00D330BE">
            <w:pPr>
              <w:spacing w:line="240" w:lineRule="auto"/>
              <w:jc w:val="center"/>
              <w:rPr>
                <w:rFonts w:ascii="Arial Narrow" w:hAnsi="Arial Narrow" w:cs="Arial"/>
                <w:b/>
              </w:rPr>
            </w:pPr>
            <w:r>
              <w:rPr>
                <w:rFonts w:ascii="Arial Narrow" w:hAnsi="Arial Narrow" w:cs="Arial"/>
                <w:b/>
              </w:rPr>
              <w:t>IMAGENES</w:t>
            </w:r>
          </w:p>
        </w:tc>
      </w:tr>
      <w:tr w:rsidR="00BE1E74" w14:paraId="00C6E355" w14:textId="77777777">
        <w:trPr>
          <w:trHeight w:val="4875"/>
          <w:tblCellSpacing w:w="20" w:type="dxa"/>
          <w:jc w:val="center"/>
        </w:trPr>
        <w:tc>
          <w:tcPr>
            <w:tcW w:w="1696" w:type="dxa"/>
            <w:tcBorders>
              <w:bottom w:val="outset" w:sz="6" w:space="0" w:color="auto"/>
            </w:tcBorders>
          </w:tcPr>
          <w:p w14:paraId="7F4CA115" w14:textId="77777777" w:rsidR="00BE1E74" w:rsidRDefault="00D330BE">
            <w:pPr>
              <w:jc w:val="both"/>
              <w:rPr>
                <w:rFonts w:ascii="Arial Narrow" w:hAnsi="Arial Narrow" w:cs="Arial"/>
                <w:sz w:val="20"/>
                <w:szCs w:val="20"/>
              </w:rPr>
            </w:pPr>
            <w:r>
              <w:rPr>
                <w:rFonts w:ascii="Arial Narrow" w:hAnsi="Arial Narrow" w:cs="Arial"/>
                <w:sz w:val="20"/>
                <w:szCs w:val="20"/>
              </w:rPr>
              <w:t>IEM-OFI-545/2026</w:t>
            </w:r>
          </w:p>
          <w:p w14:paraId="39CC9126" w14:textId="77777777" w:rsidR="00BE1E74" w:rsidRDefault="00D330BE">
            <w:pPr>
              <w:jc w:val="both"/>
              <w:rPr>
                <w:rFonts w:ascii="Arial Narrow" w:hAnsi="Arial Narrow" w:cs="Arial"/>
              </w:rPr>
            </w:pPr>
            <w:r>
              <w:rPr>
                <w:rFonts w:ascii="Arial Narrow" w:hAnsi="Arial Narrow" w:cs="Arial"/>
              </w:rPr>
              <w:t>De veinte de agosto de 2026.</w:t>
            </w:r>
          </w:p>
          <w:p w14:paraId="77E935A5" w14:textId="77777777" w:rsidR="00BE1E74" w:rsidRDefault="00D330BE">
            <w:pPr>
              <w:spacing w:line="240" w:lineRule="auto"/>
              <w:jc w:val="both"/>
              <w:rPr>
                <w:rFonts w:ascii="Arial Narrow" w:hAnsi="Arial Narrow" w:cs="Arial"/>
              </w:rPr>
            </w:pPr>
            <w:r>
              <w:rPr>
                <w:rFonts w:ascii="Arial Narrow" w:hAnsi="Arial Narrow" w:cs="Arial"/>
              </w:rPr>
              <w:t>Fojas 021 a 024</w:t>
            </w:r>
          </w:p>
          <w:p w14:paraId="48BBE8C9" w14:textId="77777777" w:rsidR="00BE1E74" w:rsidRDefault="00BE1E74">
            <w:pPr>
              <w:jc w:val="both"/>
              <w:rPr>
                <w:rFonts w:ascii="Arial Narrow" w:hAnsi="Arial Narrow" w:cs="Arial"/>
              </w:rPr>
            </w:pPr>
          </w:p>
          <w:p w14:paraId="6BDE4BF2" w14:textId="77777777" w:rsidR="00BE1E74" w:rsidRDefault="00BE1E74">
            <w:pPr>
              <w:jc w:val="both"/>
              <w:rPr>
                <w:rFonts w:ascii="Arial Narrow" w:hAnsi="Arial Narrow" w:cs="Arial"/>
              </w:rPr>
            </w:pPr>
          </w:p>
        </w:tc>
        <w:tc>
          <w:tcPr>
            <w:tcW w:w="1908" w:type="dxa"/>
            <w:tcBorders>
              <w:bottom w:val="outset" w:sz="6" w:space="0" w:color="auto"/>
            </w:tcBorders>
          </w:tcPr>
          <w:p w14:paraId="4A147674" w14:textId="77777777" w:rsidR="00BE1E74" w:rsidRDefault="00D330BE">
            <w:pPr>
              <w:spacing w:line="240" w:lineRule="auto"/>
              <w:jc w:val="both"/>
              <w:rPr>
                <w:rFonts w:ascii="Arial Narrow" w:hAnsi="Arial Narrow" w:cs="Arial"/>
                <w:sz w:val="20"/>
                <w:szCs w:val="20"/>
              </w:rPr>
            </w:pPr>
            <w:r>
              <w:rPr>
                <w:rFonts w:ascii="Arial Narrow" w:hAnsi="Arial Narrow" w:cs="Arial"/>
                <w:sz w:val="20"/>
                <w:szCs w:val="20"/>
              </w:rPr>
              <w:t>En el domicilio señalado en la queja.</w:t>
            </w:r>
          </w:p>
        </w:tc>
        <w:tc>
          <w:tcPr>
            <w:tcW w:w="5300" w:type="dxa"/>
            <w:tcBorders>
              <w:bottom w:val="outset" w:sz="6" w:space="0" w:color="auto"/>
            </w:tcBorders>
          </w:tcPr>
          <w:p w14:paraId="0E111D94" w14:textId="77777777" w:rsidR="00BE1E74" w:rsidRDefault="00D330BE">
            <w:pPr>
              <w:spacing w:line="240" w:lineRule="auto"/>
              <w:jc w:val="center"/>
              <w:rPr>
                <w:rFonts w:ascii="Arial Narrow" w:hAnsi="Arial Narrow" w:cs="Arial"/>
              </w:rPr>
            </w:pPr>
            <w:r>
              <w:rPr>
                <w:rFonts w:ascii="Arial Narrow" w:hAnsi="Arial Narrow" w:cs="Arial"/>
                <w:noProof/>
              </w:rPr>
              <w:drawing>
                <wp:inline distT="0" distB="0" distL="0" distR="0" wp14:anchorId="4975E2E0" wp14:editId="4A8D9194">
                  <wp:extent cx="1731264" cy="1250950"/>
                  <wp:effectExtent l="0" t="0" r="2540" b="6350"/>
                  <wp:docPr id="20331643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164302" name="Imagen 203316430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50586" cy="1264911"/>
                          </a:xfrm>
                          <a:prstGeom prst="rect">
                            <a:avLst/>
                          </a:prstGeom>
                        </pic:spPr>
                      </pic:pic>
                    </a:graphicData>
                  </a:graphic>
                </wp:inline>
              </w:drawing>
            </w:r>
          </w:p>
          <w:p w14:paraId="41A87DA6" w14:textId="77777777" w:rsidR="00BE1E74" w:rsidRDefault="00BE1E74">
            <w:pPr>
              <w:spacing w:line="240" w:lineRule="auto"/>
              <w:rPr>
                <w:rFonts w:ascii="Arial Narrow" w:hAnsi="Arial Narrow" w:cs="Arial"/>
              </w:rPr>
            </w:pPr>
          </w:p>
          <w:p w14:paraId="77E91CB2" w14:textId="77777777" w:rsidR="00BE1E74" w:rsidRDefault="00D330BE">
            <w:pPr>
              <w:spacing w:line="240" w:lineRule="auto"/>
              <w:jc w:val="center"/>
              <w:rPr>
                <w:rFonts w:ascii="Arial Narrow" w:hAnsi="Arial Narrow" w:cs="Arial"/>
              </w:rPr>
            </w:pPr>
            <w:r>
              <w:rPr>
                <w:rFonts w:ascii="Arial Narrow" w:hAnsi="Arial Narrow" w:cs="Arial"/>
                <w:noProof/>
              </w:rPr>
              <w:drawing>
                <wp:inline distT="0" distB="0" distL="0" distR="0" wp14:anchorId="3416AB51" wp14:editId="64B70004">
                  <wp:extent cx="1717179" cy="1220436"/>
                  <wp:effectExtent l="0" t="0" r="0" b="0"/>
                  <wp:docPr id="13573075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07524" name="Imagen 13573075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3387" cy="1231956"/>
                          </a:xfrm>
                          <a:prstGeom prst="rect">
                            <a:avLst/>
                          </a:prstGeom>
                        </pic:spPr>
                      </pic:pic>
                    </a:graphicData>
                  </a:graphic>
                </wp:inline>
              </w:drawing>
            </w:r>
          </w:p>
          <w:p w14:paraId="44FEDF3C" w14:textId="77777777" w:rsidR="00BE1E74" w:rsidRDefault="00BE1E74">
            <w:pPr>
              <w:spacing w:line="240" w:lineRule="auto"/>
              <w:jc w:val="both"/>
              <w:rPr>
                <w:rFonts w:ascii="Arial Narrow" w:hAnsi="Arial Narrow" w:cs="Arial"/>
              </w:rPr>
            </w:pPr>
          </w:p>
        </w:tc>
      </w:tr>
      <w:tr w:rsidR="00BE1E74" w14:paraId="351DC5CA" w14:textId="77777777">
        <w:trPr>
          <w:trHeight w:val="2306"/>
          <w:tblCellSpacing w:w="20" w:type="dxa"/>
          <w:jc w:val="center"/>
        </w:trPr>
        <w:tc>
          <w:tcPr>
            <w:tcW w:w="8984" w:type="dxa"/>
            <w:gridSpan w:val="3"/>
            <w:tcBorders>
              <w:top w:val="outset" w:sz="6" w:space="0" w:color="auto"/>
            </w:tcBorders>
          </w:tcPr>
          <w:p w14:paraId="690BE1E2" w14:textId="77777777" w:rsidR="00BE1E74" w:rsidRDefault="00BE1E74">
            <w:pPr>
              <w:spacing w:line="240" w:lineRule="auto"/>
              <w:rPr>
                <w:rFonts w:ascii="Arial Narrow" w:hAnsi="Arial Narrow" w:cs="Arial"/>
                <w:noProof/>
              </w:rPr>
            </w:pPr>
          </w:p>
          <w:p w14:paraId="07E5892D" w14:textId="77777777" w:rsidR="00BE1E74" w:rsidRDefault="00D330BE">
            <w:pPr>
              <w:jc w:val="both"/>
              <w:rPr>
                <w:rFonts w:ascii="Arial Narrow" w:hAnsi="Arial Narrow" w:cs="Arial"/>
                <w:b/>
                <w:bCs/>
              </w:rPr>
            </w:pPr>
            <w:r>
              <w:rPr>
                <w:rFonts w:ascii="Arial Narrow" w:hAnsi="Arial Narrow" w:cs="Arial"/>
                <w:b/>
                <w:bCs/>
              </w:rPr>
              <w:t>Descripción asentada en el acta</w:t>
            </w:r>
          </w:p>
          <w:p w14:paraId="0BCC3BC6" w14:textId="77777777" w:rsidR="00BE1E74" w:rsidRDefault="00D330BE">
            <w:pPr>
              <w:jc w:val="both"/>
              <w:rPr>
                <w:rFonts w:ascii="Arial Narrow" w:hAnsi="Arial Narrow" w:cs="Arial"/>
              </w:rPr>
            </w:pPr>
            <w:r>
              <w:rPr>
                <w:rFonts w:ascii="Arial Narrow" w:hAnsi="Arial Narrow" w:cs="Arial"/>
              </w:rPr>
              <w:t>Una barda recubierta con pintura de color blanco, con una pinta de guinda y negro con el texto “</w:t>
            </w:r>
            <w:r>
              <w:rPr>
                <w:rFonts w:ascii="Arial Narrow" w:hAnsi="Arial Narrow" w:cs="Arial"/>
                <w:b/>
                <w:bCs/>
              </w:rPr>
              <w:t>Marco Polo”,</w:t>
            </w:r>
            <w:r>
              <w:rPr>
                <w:rFonts w:ascii="Arial Narrow" w:hAnsi="Arial Narrow" w:cs="Arial"/>
              </w:rPr>
              <w:t xml:space="preserve"> debajo una línea horizontal en color obscuro y al centro un corazón color guinda, debajo la palabra “</w:t>
            </w:r>
            <w:r>
              <w:rPr>
                <w:rFonts w:ascii="Arial Narrow" w:hAnsi="Arial Narrow" w:cs="Arial"/>
                <w:b/>
                <w:bCs/>
              </w:rPr>
              <w:t>Morelia</w:t>
            </w:r>
            <w:r>
              <w:rPr>
                <w:rFonts w:ascii="Arial Narrow" w:hAnsi="Arial Narrow" w:cs="Arial"/>
              </w:rPr>
              <w:t>” y abajo la palabra “</w:t>
            </w:r>
            <w:r>
              <w:rPr>
                <w:rFonts w:ascii="Arial Narrow" w:hAnsi="Arial Narrow" w:cs="Arial"/>
                <w:b/>
                <w:bCs/>
              </w:rPr>
              <w:t>morena</w:t>
            </w:r>
            <w:r>
              <w:rPr>
                <w:rFonts w:ascii="Arial Narrow" w:hAnsi="Arial Narrow" w:cs="Arial"/>
              </w:rPr>
              <w:t xml:space="preserve">”, en la parte inferior derecha la palabra </w:t>
            </w:r>
            <w:r>
              <w:rPr>
                <w:rFonts w:ascii="Arial Narrow" w:hAnsi="Arial Narrow" w:cs="Arial"/>
                <w:b/>
                <w:bCs/>
              </w:rPr>
              <w:t xml:space="preserve">“Yo soy 4T”, </w:t>
            </w:r>
            <w:r>
              <w:rPr>
                <w:rFonts w:ascii="Arial Narrow" w:hAnsi="Arial Narrow" w:cs="Arial"/>
              </w:rPr>
              <w:t>en color guinda, en la parte inferior izquierda la frase “</w:t>
            </w:r>
            <w:r>
              <w:rPr>
                <w:rFonts w:ascii="Arial Narrow" w:hAnsi="Arial Narrow" w:cs="Arial"/>
                <w:b/>
                <w:bCs/>
              </w:rPr>
              <w:t>pintamos</w:t>
            </w:r>
            <w:r>
              <w:rPr>
                <w:rFonts w:ascii="Arial Narrow" w:hAnsi="Arial Narrow" w:cs="Arial"/>
              </w:rPr>
              <w:t xml:space="preserve"> </w:t>
            </w:r>
            <w:r>
              <w:rPr>
                <w:rFonts w:ascii="Arial Narrow" w:hAnsi="Arial Narrow" w:cs="Arial"/>
                <w:b/>
                <w:bCs/>
              </w:rPr>
              <w:t>los</w:t>
            </w:r>
            <w:r>
              <w:rPr>
                <w:rFonts w:ascii="Arial Narrow" w:hAnsi="Arial Narrow" w:cs="Arial"/>
              </w:rPr>
              <w:t xml:space="preserve"> </w:t>
            </w:r>
            <w:r>
              <w:rPr>
                <w:rFonts w:ascii="Arial Narrow" w:hAnsi="Arial Narrow" w:cs="Arial"/>
                <w:b/>
                <w:bCs/>
              </w:rPr>
              <w:t>amigos”.</w:t>
            </w:r>
          </w:p>
        </w:tc>
      </w:tr>
      <w:tr w:rsidR="00BE1E74" w14:paraId="1A485D0C" w14:textId="77777777">
        <w:trPr>
          <w:tblCellSpacing w:w="20" w:type="dxa"/>
          <w:jc w:val="center"/>
        </w:trPr>
        <w:tc>
          <w:tcPr>
            <w:tcW w:w="1696"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0994D31C" w14:textId="77777777" w:rsidR="00BE1E74" w:rsidRDefault="00D330BE">
            <w:pPr>
              <w:spacing w:line="240" w:lineRule="auto"/>
              <w:jc w:val="center"/>
              <w:rPr>
                <w:rFonts w:ascii="Arial Narrow" w:hAnsi="Arial Narrow" w:cs="Arial"/>
                <w:b/>
              </w:rPr>
            </w:pPr>
            <w:r>
              <w:rPr>
                <w:rFonts w:ascii="Arial Narrow" w:hAnsi="Arial Narrow" w:cs="Arial"/>
                <w:b/>
              </w:rPr>
              <w:lastRenderedPageBreak/>
              <w:t>ACTA</w:t>
            </w:r>
          </w:p>
        </w:tc>
        <w:tc>
          <w:tcPr>
            <w:tcW w:w="1908"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2D737C51" w14:textId="77777777" w:rsidR="00BE1E74" w:rsidRDefault="00D330BE">
            <w:pPr>
              <w:spacing w:line="240" w:lineRule="auto"/>
              <w:jc w:val="center"/>
              <w:rPr>
                <w:rFonts w:ascii="Arial Narrow" w:hAnsi="Arial Narrow" w:cs="Arial"/>
                <w:b/>
              </w:rPr>
            </w:pPr>
            <w:r>
              <w:rPr>
                <w:rFonts w:ascii="Arial Narrow" w:hAnsi="Arial Narrow" w:cs="Arial"/>
                <w:b/>
              </w:rPr>
              <w:t>UBICACIÓN</w:t>
            </w:r>
          </w:p>
        </w:tc>
        <w:tc>
          <w:tcPr>
            <w:tcW w:w="5300" w:type="dxa"/>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4274EA2B" w14:textId="77777777" w:rsidR="00BE1E74" w:rsidRDefault="00D330BE">
            <w:pPr>
              <w:spacing w:line="240" w:lineRule="auto"/>
              <w:jc w:val="center"/>
              <w:rPr>
                <w:rFonts w:ascii="Arial Narrow" w:hAnsi="Arial Narrow" w:cs="Arial"/>
                <w:b/>
              </w:rPr>
            </w:pPr>
            <w:r>
              <w:rPr>
                <w:rFonts w:ascii="Arial Narrow" w:hAnsi="Arial Narrow" w:cs="Arial"/>
                <w:b/>
              </w:rPr>
              <w:t>IMAGENES</w:t>
            </w:r>
          </w:p>
        </w:tc>
      </w:tr>
      <w:tr w:rsidR="00BE1E74" w14:paraId="231478D1" w14:textId="77777777">
        <w:trPr>
          <w:trHeight w:val="8967"/>
          <w:tblCellSpacing w:w="20" w:type="dxa"/>
          <w:jc w:val="center"/>
        </w:trPr>
        <w:tc>
          <w:tcPr>
            <w:tcW w:w="1696" w:type="dxa"/>
            <w:tcBorders>
              <w:bottom w:val="outset" w:sz="6" w:space="0" w:color="auto"/>
            </w:tcBorders>
          </w:tcPr>
          <w:p w14:paraId="65265EA3" w14:textId="77777777" w:rsidR="00BE1E74" w:rsidRDefault="00BE1E74">
            <w:pPr>
              <w:spacing w:line="240" w:lineRule="auto"/>
              <w:rPr>
                <w:rFonts w:ascii="Arial Narrow" w:hAnsi="Arial Narrow" w:cs="Arial"/>
              </w:rPr>
            </w:pPr>
          </w:p>
          <w:p w14:paraId="0C0985C9" w14:textId="77777777" w:rsidR="00BE1E74" w:rsidRDefault="00D330BE">
            <w:pPr>
              <w:spacing w:line="240" w:lineRule="auto"/>
              <w:jc w:val="center"/>
              <w:rPr>
                <w:rFonts w:ascii="Arial Narrow" w:hAnsi="Arial Narrow" w:cs="Arial"/>
              </w:rPr>
            </w:pPr>
            <w:r>
              <w:rPr>
                <w:rFonts w:ascii="Arial Narrow" w:hAnsi="Arial Narrow" w:cs="Arial"/>
              </w:rPr>
              <w:t>IEM-OFI-570/2026</w:t>
            </w:r>
          </w:p>
          <w:p w14:paraId="645E1914" w14:textId="77777777" w:rsidR="00BE1E74" w:rsidRDefault="00BE1E74">
            <w:pPr>
              <w:spacing w:line="240" w:lineRule="auto"/>
              <w:jc w:val="center"/>
              <w:rPr>
                <w:rFonts w:ascii="Arial Narrow" w:hAnsi="Arial Narrow" w:cs="Arial"/>
              </w:rPr>
            </w:pPr>
          </w:p>
          <w:p w14:paraId="08F502CA" w14:textId="77777777" w:rsidR="00BE1E74" w:rsidRDefault="00D330BE">
            <w:pPr>
              <w:spacing w:line="240" w:lineRule="auto"/>
              <w:jc w:val="center"/>
              <w:rPr>
                <w:rFonts w:ascii="Arial Narrow" w:hAnsi="Arial Narrow" w:cs="Arial"/>
              </w:rPr>
            </w:pPr>
            <w:r>
              <w:rPr>
                <w:rFonts w:ascii="Arial Narrow" w:hAnsi="Arial Narrow" w:cs="Arial"/>
              </w:rPr>
              <w:t>Fojas 043 a 046</w:t>
            </w:r>
          </w:p>
        </w:tc>
        <w:tc>
          <w:tcPr>
            <w:tcW w:w="1908" w:type="dxa"/>
            <w:tcBorders>
              <w:bottom w:val="outset" w:sz="6" w:space="0" w:color="auto"/>
            </w:tcBorders>
          </w:tcPr>
          <w:p w14:paraId="3A78AFCA" w14:textId="77777777" w:rsidR="00BE1E74" w:rsidRDefault="00BE1E74">
            <w:pPr>
              <w:spacing w:line="240" w:lineRule="auto"/>
              <w:jc w:val="both"/>
              <w:rPr>
                <w:rFonts w:ascii="Arial Narrow" w:hAnsi="Arial Narrow" w:cs="Arial"/>
                <w:sz w:val="20"/>
                <w:szCs w:val="20"/>
              </w:rPr>
            </w:pPr>
          </w:p>
          <w:p w14:paraId="42FC98E5" w14:textId="77777777" w:rsidR="00BE1E74" w:rsidRDefault="00D330BE">
            <w:pPr>
              <w:spacing w:line="240" w:lineRule="auto"/>
              <w:jc w:val="both"/>
              <w:rPr>
                <w:rFonts w:ascii="Arial Narrow" w:hAnsi="Arial Narrow" w:cs="Arial"/>
              </w:rPr>
            </w:pPr>
            <w:r>
              <w:rPr>
                <w:rFonts w:ascii="Arial Narrow" w:hAnsi="Arial Narrow" w:cs="Arial"/>
                <w:sz w:val="20"/>
                <w:szCs w:val="20"/>
              </w:rPr>
              <w:t>En el domicilio señalado en la queja.</w:t>
            </w:r>
          </w:p>
        </w:tc>
        <w:tc>
          <w:tcPr>
            <w:tcW w:w="5300" w:type="dxa"/>
            <w:tcBorders>
              <w:bottom w:val="outset" w:sz="6" w:space="0" w:color="auto"/>
            </w:tcBorders>
          </w:tcPr>
          <w:p w14:paraId="6F827217" w14:textId="77777777" w:rsidR="00BE1E74" w:rsidRDefault="00D330BE">
            <w:pPr>
              <w:spacing w:line="240" w:lineRule="auto"/>
              <w:jc w:val="center"/>
            </w:pPr>
            <w:r>
              <w:rPr>
                <w:noProof/>
              </w:rPr>
              <w:drawing>
                <wp:inline distT="0" distB="0" distL="0" distR="0" wp14:anchorId="5B887F21" wp14:editId="1E82017D">
                  <wp:extent cx="1728788" cy="1023938"/>
                  <wp:effectExtent l="0" t="0" r="5080" b="5080"/>
                  <wp:docPr id="33951639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9893134" name="Imagen 529893134"/>
                          <pic:cNvPicPr/>
                        </pic:nvPicPr>
                        <pic:blipFill>
                          <a:blip r:embed="rId20" cstate="print">
                            <a:extLst>
                              <a:ext uri="{28A0092B-C50C-407E-A947-70E740481C1C}">
                                <a14:useLocalDpi xmlns:a14="http://schemas.microsoft.com/office/drawing/2010/main"/>
                              </a:ext>
                            </a:extLst>
                          </a:blip>
                          <a:stretch>
                            <a:fillRect/>
                          </a:stretch>
                        </pic:blipFill>
                        <pic:spPr>
                          <a:xfrm>
                            <a:off x="0" y="0"/>
                            <a:ext cx="1743321" cy="1032546"/>
                          </a:xfrm>
                          <a:prstGeom prst="rect">
                            <a:avLst/>
                          </a:prstGeom>
                        </pic:spPr>
                      </pic:pic>
                    </a:graphicData>
                  </a:graphic>
                </wp:inline>
              </w:drawing>
            </w:r>
          </w:p>
          <w:p w14:paraId="7A5FC195" w14:textId="77777777" w:rsidR="00BE1E74" w:rsidRDefault="00BE1E74">
            <w:pPr>
              <w:spacing w:line="240" w:lineRule="auto"/>
              <w:rPr>
                <w:noProof/>
              </w:rPr>
            </w:pPr>
          </w:p>
          <w:p w14:paraId="46925A41" w14:textId="77777777" w:rsidR="00BE1E74" w:rsidRDefault="00D330BE">
            <w:pPr>
              <w:spacing w:line="240" w:lineRule="auto"/>
              <w:jc w:val="center"/>
              <w:rPr>
                <w:noProof/>
              </w:rPr>
            </w:pPr>
            <w:r>
              <w:rPr>
                <w:noProof/>
              </w:rPr>
              <w:drawing>
                <wp:inline distT="0" distB="0" distL="0" distR="0" wp14:anchorId="7C7FCC7B" wp14:editId="4DD4941A">
                  <wp:extent cx="1747837" cy="1129386"/>
                  <wp:effectExtent l="0" t="0" r="5080" b="0"/>
                  <wp:docPr id="82403437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87879" name="Imagen 870987879"/>
                          <pic:cNvPicPr/>
                        </pic:nvPicPr>
                        <pic:blipFill>
                          <a:blip r:embed="rId21" cstate="print">
                            <a:extLst>
                              <a:ext uri="{28A0092B-C50C-407E-A947-70E740481C1C}">
                                <a14:useLocalDpi xmlns:a14="http://schemas.microsoft.com/office/drawing/2010/main"/>
                              </a:ext>
                            </a:extLst>
                          </a:blip>
                          <a:stretch>
                            <a:fillRect/>
                          </a:stretch>
                        </pic:blipFill>
                        <pic:spPr>
                          <a:xfrm>
                            <a:off x="0" y="0"/>
                            <a:ext cx="1789597" cy="1156370"/>
                          </a:xfrm>
                          <a:prstGeom prst="rect">
                            <a:avLst/>
                          </a:prstGeom>
                        </pic:spPr>
                      </pic:pic>
                    </a:graphicData>
                  </a:graphic>
                </wp:inline>
              </w:drawing>
            </w:r>
          </w:p>
          <w:p w14:paraId="779D4374" w14:textId="77777777" w:rsidR="00BE1E74" w:rsidRDefault="00BE1E74">
            <w:pPr>
              <w:spacing w:line="240" w:lineRule="auto"/>
              <w:rPr>
                <w:noProof/>
              </w:rPr>
            </w:pPr>
          </w:p>
          <w:p w14:paraId="6731C328" w14:textId="77777777" w:rsidR="00BE1E74" w:rsidRDefault="00D330BE">
            <w:pPr>
              <w:spacing w:line="240" w:lineRule="auto"/>
              <w:jc w:val="center"/>
              <w:rPr>
                <w:rFonts w:ascii="Arial Narrow" w:hAnsi="Arial Narrow" w:cs="Arial"/>
              </w:rPr>
            </w:pPr>
            <w:r>
              <w:rPr>
                <w:noProof/>
              </w:rPr>
              <w:drawing>
                <wp:inline distT="0" distB="0" distL="0" distR="0" wp14:anchorId="6F428860" wp14:editId="6676D065">
                  <wp:extent cx="1752600" cy="1003765"/>
                  <wp:effectExtent l="0" t="0" r="0" b="6350"/>
                  <wp:docPr id="9003597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70021" name="Imagen 1141170021"/>
                          <pic:cNvPicPr/>
                        </pic:nvPicPr>
                        <pic:blipFill>
                          <a:blip r:embed="rId22" cstate="print">
                            <a:extLst>
                              <a:ext uri="{28A0092B-C50C-407E-A947-70E740481C1C}">
                                <a14:useLocalDpi xmlns:a14="http://schemas.microsoft.com/office/drawing/2010/main"/>
                              </a:ext>
                            </a:extLst>
                          </a:blip>
                          <a:stretch>
                            <a:fillRect/>
                          </a:stretch>
                        </pic:blipFill>
                        <pic:spPr>
                          <a:xfrm>
                            <a:off x="0" y="0"/>
                            <a:ext cx="1803344" cy="1032827"/>
                          </a:xfrm>
                          <a:prstGeom prst="rect">
                            <a:avLst/>
                          </a:prstGeom>
                        </pic:spPr>
                      </pic:pic>
                    </a:graphicData>
                  </a:graphic>
                </wp:inline>
              </w:drawing>
            </w:r>
          </w:p>
          <w:p w14:paraId="7B18C5D8" w14:textId="77777777" w:rsidR="00BE1E74" w:rsidRDefault="00BE1E74">
            <w:pPr>
              <w:spacing w:line="240" w:lineRule="auto"/>
              <w:rPr>
                <w:rFonts w:ascii="Arial Narrow" w:hAnsi="Arial Narrow" w:cs="Arial"/>
              </w:rPr>
            </w:pPr>
          </w:p>
          <w:p w14:paraId="006AFA64" w14:textId="77777777" w:rsidR="00BE1E74" w:rsidRDefault="00D330BE">
            <w:pPr>
              <w:spacing w:line="240" w:lineRule="auto"/>
              <w:jc w:val="center"/>
              <w:rPr>
                <w:rFonts w:ascii="Arial Narrow" w:hAnsi="Arial Narrow" w:cs="Arial"/>
              </w:rPr>
            </w:pPr>
            <w:r>
              <w:rPr>
                <w:noProof/>
              </w:rPr>
              <w:drawing>
                <wp:inline distT="0" distB="0" distL="0" distR="0" wp14:anchorId="7725A6E7" wp14:editId="7A80E18D">
                  <wp:extent cx="1762125" cy="1118743"/>
                  <wp:effectExtent l="0" t="0" r="0" b="5715"/>
                  <wp:docPr id="10121856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7084" name="Imagen 99577084"/>
                          <pic:cNvPicPr/>
                        </pic:nvPicPr>
                        <pic:blipFill>
                          <a:blip r:embed="rId23" cstate="print">
                            <a:extLst>
                              <a:ext uri="{28A0092B-C50C-407E-A947-70E740481C1C}">
                                <a14:useLocalDpi xmlns:a14="http://schemas.microsoft.com/office/drawing/2010/main"/>
                              </a:ext>
                            </a:extLst>
                          </a:blip>
                          <a:stretch>
                            <a:fillRect/>
                          </a:stretch>
                        </pic:blipFill>
                        <pic:spPr>
                          <a:xfrm>
                            <a:off x="0" y="0"/>
                            <a:ext cx="1790278" cy="1136617"/>
                          </a:xfrm>
                          <a:prstGeom prst="rect">
                            <a:avLst/>
                          </a:prstGeom>
                        </pic:spPr>
                      </pic:pic>
                    </a:graphicData>
                  </a:graphic>
                </wp:inline>
              </w:drawing>
            </w:r>
          </w:p>
        </w:tc>
      </w:tr>
      <w:tr w:rsidR="00BE1E74" w14:paraId="78E123BF" w14:textId="77777777">
        <w:trPr>
          <w:trHeight w:val="674"/>
          <w:tblCellSpacing w:w="20" w:type="dxa"/>
          <w:jc w:val="center"/>
        </w:trPr>
        <w:tc>
          <w:tcPr>
            <w:tcW w:w="8984" w:type="dxa"/>
            <w:gridSpan w:val="3"/>
            <w:tcBorders>
              <w:top w:val="outset" w:sz="6" w:space="0" w:color="auto"/>
            </w:tcBorders>
          </w:tcPr>
          <w:p w14:paraId="636B9D07" w14:textId="77777777" w:rsidR="00BE1E74" w:rsidRDefault="00BE1E74">
            <w:pPr>
              <w:spacing w:line="240" w:lineRule="auto"/>
              <w:rPr>
                <w:rFonts w:ascii="Arial Narrow" w:hAnsi="Arial Narrow" w:cs="Arial"/>
              </w:rPr>
            </w:pPr>
          </w:p>
          <w:p w14:paraId="3273F63D" w14:textId="77777777" w:rsidR="00BE1E74" w:rsidRDefault="00D330BE">
            <w:pPr>
              <w:spacing w:line="240" w:lineRule="auto"/>
              <w:jc w:val="both"/>
              <w:rPr>
                <w:rFonts w:ascii="Arial" w:hAnsi="Arial" w:cs="Arial"/>
              </w:rPr>
            </w:pPr>
            <w:r>
              <w:rPr>
                <w:rFonts w:ascii="Arial" w:hAnsi="Arial" w:cs="Arial"/>
                <w:b/>
                <w:bCs/>
              </w:rPr>
              <w:t>Descripción asentada en el acta</w:t>
            </w:r>
            <w:r>
              <w:rPr>
                <w:rFonts w:ascii="Arial" w:hAnsi="Arial" w:cs="Arial"/>
              </w:rPr>
              <w:t xml:space="preserve"> </w:t>
            </w:r>
          </w:p>
          <w:p w14:paraId="25BA587B" w14:textId="77777777" w:rsidR="00BE1E74" w:rsidRDefault="00D330BE">
            <w:pPr>
              <w:spacing w:line="240" w:lineRule="auto"/>
              <w:jc w:val="both"/>
              <w:rPr>
                <w:rFonts w:ascii="Arial" w:hAnsi="Arial" w:cs="Arial"/>
                <w:noProof/>
              </w:rPr>
            </w:pPr>
            <w:r>
              <w:rPr>
                <w:rFonts w:ascii="Arial" w:hAnsi="Arial" w:cs="Arial"/>
              </w:rPr>
              <w:t>Propaganda no localizada</w:t>
            </w:r>
          </w:p>
        </w:tc>
      </w:tr>
    </w:tbl>
    <w:p w14:paraId="70255803" w14:textId="77777777" w:rsidR="00BE1E74" w:rsidRDefault="00D330BE">
      <w:pPr>
        <w:pStyle w:val="Ttulo1"/>
        <w:spacing w:before="360"/>
        <w:rPr>
          <w:rFonts w:ascii="Arial" w:hAnsi="Arial" w:cs="Arial"/>
          <w:b/>
          <w:color w:val="auto"/>
          <w:sz w:val="24"/>
          <w:szCs w:val="24"/>
        </w:rPr>
      </w:pPr>
      <w:bookmarkStart w:id="41" w:name="_Toc242354047"/>
      <w:r>
        <w:rPr>
          <w:rFonts w:ascii="Arial" w:hAnsi="Arial" w:cs="Arial"/>
          <w:b/>
          <w:bCs/>
          <w:color w:val="auto"/>
          <w:sz w:val="24"/>
          <w:szCs w:val="24"/>
        </w:rPr>
        <w:t xml:space="preserve">6.2. Valoración probatoria y </w:t>
      </w:r>
      <w:r>
        <w:rPr>
          <w:rFonts w:ascii="Arial" w:hAnsi="Arial" w:cs="Arial"/>
          <w:b/>
          <w:color w:val="auto"/>
          <w:sz w:val="24"/>
          <w:szCs w:val="24"/>
        </w:rPr>
        <w:t>hechos acreditados</w:t>
      </w:r>
      <w:bookmarkEnd w:id="41"/>
    </w:p>
    <w:p w14:paraId="63AE4E38" w14:textId="77777777" w:rsidR="00BE1E74" w:rsidRDefault="00D330BE">
      <w:pPr>
        <w:spacing w:before="240" w:after="0" w:line="360" w:lineRule="auto"/>
        <w:jc w:val="both"/>
        <w:rPr>
          <w:rFonts w:ascii="Arial" w:hAnsi="Arial" w:cs="Arial"/>
          <w:b/>
          <w:sz w:val="24"/>
          <w:szCs w:val="24"/>
        </w:rPr>
      </w:pPr>
      <w:r>
        <w:rPr>
          <w:rFonts w:ascii="Arial" w:hAnsi="Arial"/>
          <w:sz w:val="24"/>
        </w:rPr>
        <w:t xml:space="preserve">Las pruebas que obran en el expediente se valorarán de conformidad con lo dispuesto en el artículo 259 del </w:t>
      </w:r>
      <w:r>
        <w:rPr>
          <w:rFonts w:ascii="Arial" w:hAnsi="Arial"/>
          <w:i/>
          <w:sz w:val="24"/>
        </w:rPr>
        <w:t xml:space="preserve">Código Electoral, </w:t>
      </w:r>
      <w:r>
        <w:rPr>
          <w:rFonts w:ascii="Arial" w:hAnsi="Arial"/>
          <w:sz w:val="24"/>
        </w:rPr>
        <w:t xml:space="preserve">las cuales resultan suficientes para tener </w:t>
      </w:r>
      <w:r>
        <w:rPr>
          <w:rFonts w:ascii="Arial" w:hAnsi="Arial"/>
          <w:b/>
          <w:sz w:val="24"/>
        </w:rPr>
        <w:t>acreditado</w:t>
      </w:r>
      <w:r>
        <w:rPr>
          <w:rFonts w:ascii="Arial" w:hAnsi="Arial"/>
          <w:sz w:val="24"/>
        </w:rPr>
        <w:t xml:space="preserve"> lo siguiente:</w:t>
      </w:r>
    </w:p>
    <w:p w14:paraId="30FBA02C" w14:textId="77777777" w:rsidR="00BE1E74" w:rsidRDefault="00D330BE">
      <w:pPr>
        <w:pStyle w:val="Prrafodelista"/>
        <w:numPr>
          <w:ilvl w:val="0"/>
          <w:numId w:val="19"/>
        </w:numPr>
        <w:spacing w:before="100" w:beforeAutospacing="1" w:after="100" w:afterAutospacing="1" w:line="360" w:lineRule="auto"/>
        <w:jc w:val="both"/>
        <w:rPr>
          <w:rFonts w:ascii="Arial" w:eastAsia="Times New Roman" w:hAnsi="Arial" w:cs="Arial"/>
          <w:color w:val="000000"/>
          <w:sz w:val="24"/>
          <w:szCs w:val="24"/>
        </w:rPr>
      </w:pPr>
      <w:r>
        <w:rPr>
          <w:rFonts w:ascii="Arial" w:eastAsia="Times New Roman" w:hAnsi="Arial" w:cs="Arial"/>
          <w:b/>
          <w:bCs/>
          <w:color w:val="000000"/>
          <w:sz w:val="24"/>
          <w:szCs w:val="24"/>
        </w:rPr>
        <w:t>Existencia de la propaganda:</w:t>
      </w:r>
      <w:r>
        <w:rPr>
          <w:rFonts w:ascii="Arial" w:eastAsia="Times New Roman" w:hAnsi="Arial" w:cs="Arial"/>
          <w:color w:val="000000"/>
          <w:sz w:val="24"/>
          <w:szCs w:val="24"/>
        </w:rPr>
        <w:t xml:space="preserve"> el veinte de agosto, se tuvo probada la existencia, ubicación, contenido y tipo de inmueble donde se encontró la pinta de barda con la propaganda señalada </w:t>
      </w:r>
      <w:r>
        <w:rPr>
          <w:rFonts w:ascii="Arial" w:eastAsia="Times New Roman" w:hAnsi="Arial" w:cs="Arial"/>
          <w:color w:val="000000"/>
          <w:sz w:val="24"/>
          <w:szCs w:val="24"/>
        </w:rPr>
        <w:lastRenderedPageBreak/>
        <w:t>en la queja que dio origen al presente procedimiento sancionador, conforme a lo siguiente:</w:t>
      </w:r>
    </w:p>
    <w:p w14:paraId="403C8C0E" w14:textId="77777777" w:rsidR="00BE1E74" w:rsidRDefault="00D330BE">
      <w:pPr>
        <w:pStyle w:val="Prrafodelista"/>
        <w:numPr>
          <w:ilvl w:val="0"/>
          <w:numId w:val="20"/>
        </w:numPr>
        <w:spacing w:before="100" w:beforeAutospacing="1" w:after="100" w:afterAutospacing="1"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En el inmueble particular señalado en la queja se encontró una pinta en barda, principalmente en colores guinda y negro, sobre una superficie blanca.</w:t>
      </w:r>
    </w:p>
    <w:p w14:paraId="6DD5C748" w14:textId="77777777" w:rsidR="00BE1E74" w:rsidRDefault="00D330BE">
      <w:pPr>
        <w:pStyle w:val="Prrafodelista"/>
        <w:numPr>
          <w:ilvl w:val="0"/>
          <w:numId w:val="20"/>
        </w:numPr>
        <w:spacing w:before="100" w:beforeAutospacing="1" w:after="100" w:afterAutospacing="1"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La </w:t>
      </w:r>
      <w:r>
        <w:rPr>
          <w:rFonts w:ascii="Arial" w:hAnsi="Arial" w:cs="Arial"/>
          <w:sz w:val="24"/>
          <w:szCs w:val="24"/>
        </w:rPr>
        <w:t>pinta materia de la presente controversia contiene las expresiones: “Marco Polo”, “MORELIA” y “morena”, acompañadas de un corazón y de las expresiones “Pintamos los amigos” y “#YoSoy4T”.</w:t>
      </w:r>
    </w:p>
    <w:p w14:paraId="3D4AF8F6" w14:textId="77777777" w:rsidR="00BE1E74" w:rsidRDefault="00D330BE">
      <w:pPr>
        <w:pStyle w:val="Prrafodelista"/>
        <w:numPr>
          <w:ilvl w:val="0"/>
          <w:numId w:val="19"/>
        </w:numPr>
        <w:spacing w:before="100" w:beforeAutospacing="1" w:after="100" w:afterAutospacing="1" w:line="360" w:lineRule="auto"/>
        <w:jc w:val="both"/>
        <w:rPr>
          <w:rFonts w:ascii="Arial" w:eastAsia="Times New Roman" w:hAnsi="Arial" w:cs="Arial"/>
          <w:color w:val="000000"/>
          <w:sz w:val="24"/>
          <w:szCs w:val="24"/>
        </w:rPr>
      </w:pPr>
      <w:r>
        <w:rPr>
          <w:rFonts w:ascii="Arial" w:eastAsia="Times New Roman" w:hAnsi="Arial" w:cs="Arial"/>
          <w:b/>
          <w:bCs/>
          <w:color w:val="000000"/>
          <w:sz w:val="24"/>
          <w:szCs w:val="24"/>
        </w:rPr>
        <w:t>Inexistencia de la propaganda:</w:t>
      </w:r>
      <w:r>
        <w:rPr>
          <w:rFonts w:ascii="Arial" w:eastAsia="Times New Roman" w:hAnsi="Arial" w:cs="Arial"/>
          <w:color w:val="000000"/>
          <w:sz w:val="24"/>
          <w:szCs w:val="24"/>
        </w:rPr>
        <w:t xml:space="preserve"> el tres de septiembre, el </w:t>
      </w:r>
      <w:r>
        <w:rPr>
          <w:rFonts w:ascii="Arial" w:eastAsia="Times New Roman" w:hAnsi="Arial" w:cs="Arial"/>
          <w:i/>
          <w:iCs/>
          <w:color w:val="000000"/>
          <w:sz w:val="24"/>
          <w:szCs w:val="24"/>
        </w:rPr>
        <w:t>IEM</w:t>
      </w:r>
      <w:r>
        <w:rPr>
          <w:rFonts w:ascii="Arial" w:eastAsia="Times New Roman" w:hAnsi="Arial" w:cs="Arial"/>
          <w:color w:val="000000"/>
          <w:sz w:val="24"/>
          <w:szCs w:val="24"/>
        </w:rPr>
        <w:t xml:space="preserve"> verificó la existencia de una barda blanca en el inmueble señalado en la queja y, por tanto, no se localizó la propaganda denunciada; </w:t>
      </w:r>
    </w:p>
    <w:p w14:paraId="003DCD1D" w14:textId="77777777" w:rsidR="00BE1E74" w:rsidRDefault="00D330BE">
      <w:pPr>
        <w:pStyle w:val="Prrafodelista"/>
        <w:numPr>
          <w:ilvl w:val="0"/>
          <w:numId w:val="19"/>
        </w:numPr>
        <w:spacing w:before="100" w:beforeAutospacing="1" w:after="100" w:afterAutospacing="1" w:line="360" w:lineRule="auto"/>
        <w:jc w:val="both"/>
        <w:rPr>
          <w:rFonts w:ascii="Arial" w:eastAsia="Times New Roman" w:hAnsi="Arial" w:cs="Arial"/>
          <w:color w:val="000000"/>
          <w:sz w:val="24"/>
          <w:szCs w:val="24"/>
        </w:rPr>
      </w:pPr>
      <w:r>
        <w:rPr>
          <w:rFonts w:ascii="Arial" w:eastAsia="Times New Roman" w:hAnsi="Arial" w:cs="Arial"/>
          <w:b/>
          <w:bCs/>
          <w:color w:val="000000" w:themeColor="text1"/>
          <w:sz w:val="24"/>
          <w:szCs w:val="24"/>
        </w:rPr>
        <w:t xml:space="preserve">Calidad de los </w:t>
      </w:r>
      <w:r>
        <w:rPr>
          <w:rFonts w:ascii="Arial" w:eastAsia="Times New Roman" w:hAnsi="Arial" w:cs="Arial"/>
          <w:b/>
          <w:bCs/>
          <w:i/>
          <w:iCs/>
          <w:color w:val="000000" w:themeColor="text1"/>
          <w:sz w:val="24"/>
          <w:szCs w:val="24"/>
        </w:rPr>
        <w:t>denunciados</w:t>
      </w:r>
      <w:r>
        <w:rPr>
          <w:rFonts w:ascii="Arial" w:eastAsia="Times New Roman" w:hAnsi="Arial" w:cs="Arial"/>
          <w:b/>
          <w:bCs/>
          <w:color w:val="000000" w:themeColor="text1"/>
          <w:sz w:val="24"/>
          <w:szCs w:val="24"/>
        </w:rPr>
        <w:t>:</w:t>
      </w:r>
      <w:r>
        <w:rPr>
          <w:rFonts w:ascii="Arial" w:eastAsia="Times New Roman" w:hAnsi="Arial" w:cs="Arial"/>
          <w:color w:val="000000" w:themeColor="text1"/>
          <w:sz w:val="24"/>
          <w:szCs w:val="24"/>
        </w:rPr>
        <w:t xml:space="preserve"> el </w:t>
      </w:r>
      <w:r>
        <w:rPr>
          <w:rFonts w:ascii="Arial" w:eastAsia="Times New Roman" w:hAnsi="Arial" w:cs="Arial"/>
          <w:i/>
          <w:iCs/>
          <w:color w:val="000000" w:themeColor="text1"/>
          <w:sz w:val="24"/>
          <w:szCs w:val="24"/>
        </w:rPr>
        <w:t>denunciado</w:t>
      </w:r>
      <w:r>
        <w:rPr>
          <w:rFonts w:ascii="Arial" w:eastAsia="Times New Roman" w:hAnsi="Arial" w:cs="Arial"/>
          <w:color w:val="000000" w:themeColor="text1"/>
          <w:sz w:val="24"/>
          <w:szCs w:val="24"/>
        </w:rPr>
        <w:t xml:space="preserve"> es diputado local por el principio de mayoría relativa, electo para el periodo comprendido 2024-2027; y, en la actualidad se encuentra afiliado a </w:t>
      </w:r>
      <w:r>
        <w:rPr>
          <w:rFonts w:ascii="Arial" w:eastAsia="Times New Roman" w:hAnsi="Arial" w:cs="Arial"/>
          <w:i/>
          <w:iCs/>
          <w:color w:val="000000" w:themeColor="text1"/>
          <w:sz w:val="24"/>
          <w:szCs w:val="24"/>
        </w:rPr>
        <w:t>MORENA</w:t>
      </w:r>
      <w:r>
        <w:rPr>
          <w:rFonts w:ascii="Arial" w:eastAsia="Times New Roman" w:hAnsi="Arial" w:cs="Arial"/>
          <w:color w:val="000000" w:themeColor="text1"/>
          <w:sz w:val="24"/>
          <w:szCs w:val="24"/>
        </w:rPr>
        <w:t>.</w:t>
      </w:r>
    </w:p>
    <w:p w14:paraId="5DF2798C" w14:textId="77777777" w:rsidR="00BE1E74" w:rsidRDefault="00D330BE">
      <w:pPr>
        <w:pStyle w:val="Ttulo1"/>
        <w:rPr>
          <w:rFonts w:ascii="Arial" w:hAnsi="Arial" w:cs="Arial"/>
          <w:b/>
          <w:bCs/>
          <w:color w:val="auto"/>
          <w:sz w:val="24"/>
          <w:szCs w:val="24"/>
          <w:lang w:val="es-ES_tradnl"/>
        </w:rPr>
      </w:pPr>
      <w:bookmarkStart w:id="42" w:name="_Toc192777874"/>
      <w:bookmarkStart w:id="43" w:name="_Toc229494288"/>
      <w:bookmarkStart w:id="44" w:name="_Toc242354048"/>
      <w:r>
        <w:rPr>
          <w:rFonts w:ascii="Arial" w:hAnsi="Arial" w:cs="Arial"/>
          <w:b/>
          <w:bCs/>
          <w:color w:val="auto"/>
          <w:sz w:val="24"/>
          <w:szCs w:val="24"/>
          <w:lang w:val="es-ES_tradnl"/>
        </w:rPr>
        <w:t xml:space="preserve">6.3. </w:t>
      </w:r>
      <w:r>
        <w:rPr>
          <w:rFonts w:ascii="Arial" w:hAnsi="Arial"/>
          <w:b/>
          <w:color w:val="auto"/>
          <w:sz w:val="24"/>
          <w:lang w:val="es-ES_tradnl"/>
        </w:rPr>
        <w:t>Análisis y determinación sobre los hechos denunciados</w:t>
      </w:r>
      <w:bookmarkEnd w:id="42"/>
      <w:bookmarkEnd w:id="43"/>
      <w:bookmarkEnd w:id="44"/>
    </w:p>
    <w:p w14:paraId="3A2DC98D" w14:textId="77777777" w:rsidR="00BE1E74" w:rsidRDefault="00D330BE">
      <w:pPr>
        <w:spacing w:before="240" w:after="0" w:line="360" w:lineRule="auto"/>
        <w:jc w:val="both"/>
        <w:rPr>
          <w:rFonts w:ascii="Arial" w:hAnsi="Arial" w:cs="Arial"/>
          <w:bCs/>
          <w:sz w:val="24"/>
          <w:szCs w:val="24"/>
        </w:rPr>
      </w:pPr>
      <w:bookmarkStart w:id="45" w:name="_Toc177046837"/>
      <w:r>
        <w:rPr>
          <w:rFonts w:ascii="Arial" w:hAnsi="Arial" w:cs="Arial"/>
          <w:bCs/>
          <w:sz w:val="24"/>
          <w:szCs w:val="24"/>
        </w:rPr>
        <w:t>La autoridad instructora emplazó a:</w:t>
      </w:r>
      <w:r>
        <w:rPr>
          <w:rFonts w:ascii="Arial" w:eastAsia="Arial" w:hAnsi="Arial" w:cs="Arial"/>
          <w:sz w:val="24"/>
          <w:szCs w:val="24"/>
        </w:rPr>
        <w:t xml:space="preserve"> </w:t>
      </w:r>
    </w:p>
    <w:p w14:paraId="0999F859" w14:textId="77777777" w:rsidR="00BE1E74" w:rsidRDefault="00D330BE">
      <w:pPr>
        <w:pStyle w:val="Prrafodelista"/>
        <w:numPr>
          <w:ilvl w:val="0"/>
          <w:numId w:val="21"/>
        </w:numPr>
        <w:spacing w:before="240" w:after="0" w:line="360" w:lineRule="auto"/>
        <w:jc w:val="both"/>
        <w:rPr>
          <w:rFonts w:ascii="Arial" w:hAnsi="Arial" w:cs="Arial"/>
          <w:bCs/>
          <w:sz w:val="24"/>
          <w:szCs w:val="24"/>
        </w:rPr>
      </w:pPr>
      <w:r>
        <w:rPr>
          <w:rFonts w:ascii="Arial" w:hAnsi="Arial" w:cs="Arial"/>
          <w:bCs/>
          <w:sz w:val="24"/>
          <w:szCs w:val="24"/>
        </w:rPr>
        <w:t xml:space="preserve">Los </w:t>
      </w:r>
      <w:r>
        <w:rPr>
          <w:rFonts w:ascii="Arial" w:hAnsi="Arial" w:cs="Arial"/>
          <w:bCs/>
          <w:i/>
          <w:iCs/>
          <w:sz w:val="24"/>
          <w:szCs w:val="24"/>
        </w:rPr>
        <w:t>denunciados</w:t>
      </w:r>
      <w:r>
        <w:rPr>
          <w:rFonts w:ascii="Arial" w:hAnsi="Arial" w:cs="Arial"/>
          <w:bCs/>
          <w:sz w:val="24"/>
          <w:szCs w:val="24"/>
        </w:rPr>
        <w:t xml:space="preserve"> por su presunta responsabilidad en la colocación de la propaganda política en el inmueble particular señalado en la queja, consistente en una pinta de barda con las leyendas </w:t>
      </w:r>
      <w:r>
        <w:rPr>
          <w:rFonts w:ascii="Arial" w:hAnsi="Arial" w:cs="Arial"/>
          <w:sz w:val="24"/>
          <w:szCs w:val="24"/>
        </w:rPr>
        <w:t>“Marco Polo”, “MORELIA”, “morena”, “#YoSoy4T” y “Pintamos los amigos”, sin autorización.</w:t>
      </w:r>
    </w:p>
    <w:p w14:paraId="72D924CD" w14:textId="77777777" w:rsidR="00BE1E74" w:rsidRDefault="00D330BE">
      <w:pPr>
        <w:spacing w:before="240" w:after="0" w:line="360" w:lineRule="auto"/>
        <w:jc w:val="both"/>
        <w:rPr>
          <w:rFonts w:ascii="Arial" w:hAnsi="Arial" w:cs="Arial"/>
          <w:bCs/>
          <w:sz w:val="24"/>
          <w:szCs w:val="24"/>
        </w:rPr>
      </w:pPr>
      <w:r>
        <w:rPr>
          <w:rFonts w:ascii="Arial" w:hAnsi="Arial" w:cs="Arial"/>
          <w:bCs/>
          <w:sz w:val="24"/>
          <w:szCs w:val="24"/>
        </w:rPr>
        <w:t>De ahí que, corresponde analizar si los referidos hechos configuran la conducta denunciada, para lo cual, en principio, se precisará el marco normativo aplicable a la conducta y posteriormente se analizará el caso concreto.</w:t>
      </w:r>
    </w:p>
    <w:p w14:paraId="0F65CEB4" w14:textId="77777777" w:rsidR="00BE1E74" w:rsidRDefault="00D330BE">
      <w:pPr>
        <w:pStyle w:val="Ttulo1"/>
        <w:jc w:val="center"/>
        <w:rPr>
          <w:rFonts w:ascii="Arial" w:eastAsia="Arial" w:hAnsi="Arial" w:cs="Arial"/>
          <w:b/>
          <w:bCs/>
          <w:color w:val="auto"/>
          <w:sz w:val="24"/>
          <w:szCs w:val="24"/>
        </w:rPr>
      </w:pPr>
      <w:bookmarkStart w:id="46" w:name="_Toc174378290"/>
      <w:bookmarkStart w:id="47" w:name="_Toc192777876"/>
      <w:bookmarkStart w:id="48" w:name="_Toc242354049"/>
      <w:bookmarkEnd w:id="45"/>
      <w:r>
        <w:rPr>
          <w:rFonts w:ascii="Arial" w:hAnsi="Arial" w:cs="Arial"/>
          <w:b/>
          <w:bCs/>
          <w:color w:val="auto"/>
          <w:sz w:val="24"/>
          <w:szCs w:val="24"/>
        </w:rPr>
        <w:t xml:space="preserve">VII. </w:t>
      </w:r>
      <w:bookmarkEnd w:id="46"/>
      <w:bookmarkEnd w:id="47"/>
      <w:r>
        <w:rPr>
          <w:rFonts w:ascii="Arial" w:eastAsia="Arial" w:hAnsi="Arial" w:cs="Arial"/>
          <w:b/>
          <w:bCs/>
          <w:color w:val="auto"/>
          <w:sz w:val="24"/>
          <w:szCs w:val="24"/>
        </w:rPr>
        <w:t>ESTUDIO DE FONDO</w:t>
      </w:r>
      <w:bookmarkEnd w:id="48"/>
    </w:p>
    <w:p w14:paraId="4FB7772D" w14:textId="77777777" w:rsidR="00BE1E74" w:rsidRDefault="00D330BE">
      <w:pPr>
        <w:pStyle w:val="Ttulo1"/>
        <w:spacing w:line="360" w:lineRule="auto"/>
        <w:rPr>
          <w:rFonts w:ascii="Arial" w:eastAsia="Arial" w:hAnsi="Arial" w:cs="Arial"/>
          <w:b/>
          <w:bCs/>
          <w:color w:val="auto"/>
          <w:sz w:val="24"/>
          <w:szCs w:val="24"/>
        </w:rPr>
      </w:pPr>
      <w:bookmarkStart w:id="49" w:name="_Toc242354050"/>
      <w:r>
        <w:rPr>
          <w:rFonts w:ascii="Arial" w:eastAsia="Arial" w:hAnsi="Arial" w:cs="Arial"/>
          <w:b/>
          <w:bCs/>
          <w:color w:val="auto"/>
          <w:sz w:val="24"/>
          <w:szCs w:val="24"/>
        </w:rPr>
        <w:t>7.1. Marco normativo respecto a la propaganda política-electoral</w:t>
      </w:r>
      <w:bookmarkEnd w:id="49"/>
    </w:p>
    <w:p w14:paraId="4C63E47F" w14:textId="77777777" w:rsidR="00BE1E74" w:rsidRDefault="00D330BE">
      <w:pPr>
        <w:spacing w:before="100" w:beforeAutospacing="1" w:after="100" w:afterAutospacing="1" w:line="360" w:lineRule="auto"/>
        <w:jc w:val="both"/>
        <w:rPr>
          <w:rFonts w:ascii="Arial" w:hAnsi="Arial" w:cs="Arial"/>
          <w:sz w:val="24"/>
          <w:szCs w:val="24"/>
        </w:rPr>
      </w:pPr>
      <w:r>
        <w:rPr>
          <w:rFonts w:ascii="Arial" w:hAnsi="Arial" w:cs="Arial"/>
          <w:color w:val="000000"/>
          <w:sz w:val="24"/>
          <w:szCs w:val="24"/>
        </w:rPr>
        <w:t xml:space="preserve">El artículo 242, párrafo 3, de la </w:t>
      </w:r>
      <w:r>
        <w:rPr>
          <w:rFonts w:ascii="Arial" w:hAnsi="Arial" w:cs="Arial"/>
          <w:i/>
          <w:iCs/>
          <w:color w:val="000000"/>
          <w:sz w:val="24"/>
          <w:szCs w:val="24"/>
        </w:rPr>
        <w:t>LGIPE</w:t>
      </w:r>
      <w:r>
        <w:rPr>
          <w:rFonts w:ascii="Arial" w:hAnsi="Arial" w:cs="Arial"/>
          <w:color w:val="000000"/>
          <w:sz w:val="24"/>
          <w:szCs w:val="24"/>
        </w:rPr>
        <w:t xml:space="preserve"> refiere que la propaganda electoral es el conjunto de escritos, publicaciones, imágenes, </w:t>
      </w:r>
      <w:r>
        <w:rPr>
          <w:rFonts w:ascii="Arial" w:hAnsi="Arial" w:cs="Arial"/>
          <w:color w:val="000000"/>
          <w:sz w:val="24"/>
          <w:szCs w:val="24"/>
        </w:rPr>
        <w:lastRenderedPageBreak/>
        <w:t>grabaciones, proyecciones y expresiones que durante la campaña electoral producen y difunden los partidos políticos, los candidatos registrados y sus simpatizantes, con el objeto de presentar ante la ciudadanía las candidaturas registradas.</w:t>
      </w:r>
    </w:p>
    <w:p w14:paraId="2F41AC3D" w14:textId="77777777" w:rsidR="00BE1E74" w:rsidRDefault="00D330BE">
      <w:pPr>
        <w:spacing w:before="100" w:beforeAutospacing="1" w:after="100" w:afterAutospacing="1" w:line="360" w:lineRule="auto"/>
        <w:jc w:val="both"/>
        <w:rPr>
          <w:rFonts w:ascii="Arial" w:hAnsi="Arial" w:cs="Arial"/>
          <w:sz w:val="24"/>
          <w:szCs w:val="24"/>
        </w:rPr>
      </w:pPr>
      <w:r>
        <w:rPr>
          <w:rFonts w:ascii="Arial" w:hAnsi="Arial" w:cs="Arial"/>
          <w:color w:val="000000" w:themeColor="text1"/>
          <w:sz w:val="24"/>
          <w:szCs w:val="24"/>
        </w:rPr>
        <w:t xml:space="preserve">Asimismo, el artículo 250, párrafo 1, inciso e) de la misma ley determina las </w:t>
      </w:r>
      <w:r>
        <w:rPr>
          <w:rFonts w:ascii="Arial" w:hAnsi="Arial" w:cs="Arial"/>
          <w:b/>
          <w:bCs/>
          <w:color w:val="000000" w:themeColor="text1"/>
          <w:sz w:val="24"/>
          <w:szCs w:val="24"/>
        </w:rPr>
        <w:t>reglas</w:t>
      </w:r>
      <w:r>
        <w:rPr>
          <w:rFonts w:ascii="Arial" w:hAnsi="Arial" w:cs="Arial"/>
          <w:color w:val="000000" w:themeColor="text1"/>
          <w:sz w:val="24"/>
          <w:szCs w:val="24"/>
        </w:rPr>
        <w:t xml:space="preserve"> sobre colocación de propaganda electoral mismas que deberán observar los partidos políticos y candidatos, entre las cuales se encuentra, la prohibición de fijarla o pintarla en edificios públicos, así como de obstaculizar en forma alguna la visibilidad de los señalamientos que permiten a las personas transitar y orientarse dentro de los centros de población.</w:t>
      </w:r>
    </w:p>
    <w:p w14:paraId="05795A4F" w14:textId="77777777" w:rsidR="00BE1E74" w:rsidRDefault="00D330BE">
      <w:pPr>
        <w:spacing w:before="100" w:beforeAutospacing="1" w:after="100" w:afterAutospacing="1" w:line="360" w:lineRule="auto"/>
        <w:jc w:val="both"/>
        <w:rPr>
          <w:rFonts w:ascii="Arial" w:hAnsi="Arial" w:cs="Arial"/>
          <w:sz w:val="26"/>
          <w:szCs w:val="26"/>
        </w:rPr>
      </w:pPr>
      <w:r>
        <w:rPr>
          <w:rFonts w:ascii="Arial" w:hAnsi="Arial" w:cs="Arial"/>
          <w:color w:val="000000"/>
          <w:sz w:val="24"/>
          <w:szCs w:val="24"/>
        </w:rPr>
        <w:t xml:space="preserve">En lo que respecta al Estado, la </w:t>
      </w:r>
      <w:r>
        <w:rPr>
          <w:rFonts w:ascii="Arial" w:hAnsi="Arial" w:cs="Arial"/>
          <w:i/>
          <w:iCs/>
          <w:color w:val="000000"/>
          <w:sz w:val="24"/>
          <w:szCs w:val="24"/>
        </w:rPr>
        <w:t xml:space="preserve">Constitución Local </w:t>
      </w:r>
      <w:r>
        <w:rPr>
          <w:rFonts w:ascii="Arial" w:hAnsi="Arial" w:cs="Arial"/>
          <w:color w:val="000000"/>
          <w:sz w:val="24"/>
          <w:szCs w:val="24"/>
        </w:rPr>
        <w:t>dispone que la ley fijará las reglas para las precampañas y las campañas electorales de los partidos políticos, así como las y los ciudadanos registrados que participen de manera independiente, así como las sanciones para quienes las infrinjan</w:t>
      </w:r>
      <w:r>
        <w:rPr>
          <w:rStyle w:val="Refdenotaalpie"/>
          <w:rFonts w:ascii="Arial" w:hAnsi="Arial" w:cs="Arial"/>
          <w:color w:val="000000"/>
          <w:sz w:val="26"/>
          <w:szCs w:val="26"/>
        </w:rPr>
        <w:footnoteReference w:id="22"/>
      </w:r>
      <w:r>
        <w:rPr>
          <w:rFonts w:ascii="Arial" w:hAnsi="Arial" w:cs="Arial"/>
          <w:color w:val="000000"/>
          <w:sz w:val="26"/>
          <w:szCs w:val="26"/>
        </w:rPr>
        <w:t>.</w:t>
      </w:r>
    </w:p>
    <w:p w14:paraId="1B8A3A61" w14:textId="77777777" w:rsidR="00BE1E74" w:rsidRDefault="00D330BE">
      <w:pPr>
        <w:spacing w:before="100" w:beforeAutospacing="1" w:after="100" w:afterAutospacing="1" w:line="360" w:lineRule="auto"/>
        <w:jc w:val="both"/>
        <w:rPr>
          <w:rFonts w:ascii="Arial" w:hAnsi="Arial" w:cs="Arial"/>
          <w:color w:val="000000"/>
          <w:sz w:val="24"/>
          <w:szCs w:val="24"/>
        </w:rPr>
      </w:pPr>
      <w:r>
        <w:rPr>
          <w:rFonts w:ascii="Arial" w:hAnsi="Arial" w:cs="Arial"/>
          <w:color w:val="000000"/>
          <w:sz w:val="24"/>
          <w:szCs w:val="24"/>
        </w:rPr>
        <w:t xml:space="preserve">Lo que se materializa en el </w:t>
      </w:r>
      <w:r>
        <w:rPr>
          <w:rFonts w:ascii="Arial" w:hAnsi="Arial" w:cs="Arial"/>
          <w:i/>
          <w:iCs/>
          <w:color w:val="000000"/>
          <w:sz w:val="24"/>
          <w:szCs w:val="24"/>
        </w:rPr>
        <w:t>Código Electoral</w:t>
      </w:r>
      <w:r>
        <w:rPr>
          <w:rFonts w:ascii="Arial" w:hAnsi="Arial" w:cs="Arial"/>
          <w:color w:val="000000"/>
          <w:sz w:val="24"/>
          <w:szCs w:val="24"/>
        </w:rPr>
        <w:t xml:space="preserve">, cuyo artículo 169 instituye que los partidos políticos gozarán de libertad para realizar propaganda a favor de sus candidatos, programas y plataformas, la que deberán respetar mutuamente, entendiéndose por </w:t>
      </w:r>
      <w:r>
        <w:rPr>
          <w:rFonts w:ascii="Arial" w:hAnsi="Arial" w:cs="Arial"/>
          <w:b/>
          <w:bCs/>
          <w:color w:val="000000"/>
          <w:sz w:val="24"/>
          <w:szCs w:val="24"/>
        </w:rPr>
        <w:t>propaganda electoral</w:t>
      </w:r>
      <w:r>
        <w:rPr>
          <w:rFonts w:ascii="Arial" w:hAnsi="Arial" w:cs="Arial"/>
          <w:color w:val="000000"/>
          <w:sz w:val="24"/>
          <w:szCs w:val="24"/>
        </w:rPr>
        <w:t>, el conjunto de escritos, publicaciones, imágenes, grabaciones, proyecciones y expresiones que durante la campaña electoral producen y difunden los partidos políticos, las personas candidatas registradas y sus simpatizantes, con el propósito de presentar ante la ciudadanía su oferta política.</w:t>
      </w:r>
    </w:p>
    <w:p w14:paraId="20EE5F20" w14:textId="77777777" w:rsidR="00BE1E74" w:rsidRDefault="00D330BE">
      <w:pPr>
        <w:spacing w:before="100" w:beforeAutospacing="1" w:after="100" w:afterAutospacing="1" w:line="360" w:lineRule="auto"/>
        <w:jc w:val="both"/>
        <w:rPr>
          <w:rFonts w:ascii="Arial" w:hAnsi="Arial" w:cs="Arial"/>
          <w:color w:val="000000"/>
          <w:sz w:val="24"/>
          <w:szCs w:val="24"/>
        </w:rPr>
      </w:pPr>
      <w:r>
        <w:rPr>
          <w:rFonts w:ascii="Arial" w:hAnsi="Arial" w:cs="Arial"/>
          <w:sz w:val="24"/>
          <w:szCs w:val="24"/>
        </w:rPr>
        <w:t xml:space="preserve">En tanto que, la </w:t>
      </w:r>
      <w:r>
        <w:rPr>
          <w:rFonts w:ascii="Arial" w:hAnsi="Arial" w:cs="Arial"/>
          <w:b/>
          <w:bCs/>
          <w:sz w:val="24"/>
          <w:szCs w:val="24"/>
        </w:rPr>
        <w:t>propaganda política</w:t>
      </w:r>
      <w:r>
        <w:rPr>
          <w:rFonts w:ascii="Arial" w:hAnsi="Arial" w:cs="Arial"/>
          <w:sz w:val="24"/>
          <w:szCs w:val="24"/>
        </w:rPr>
        <w:t xml:space="preserve"> puede conceptualizarse como la serie de actividades informativas, de persuasión y de comunicación política, que llevan a cabo los principales partidos políticos, candidatas, candidatos y gobernantes en turno, con el fin de lograr un impacto </w:t>
      </w:r>
      <w:r>
        <w:rPr>
          <w:rFonts w:ascii="Arial" w:hAnsi="Arial" w:cs="Arial"/>
          <w:sz w:val="24"/>
          <w:szCs w:val="24"/>
        </w:rPr>
        <w:lastRenderedPageBreak/>
        <w:t>significativo en la sociedad y así conservar o incrementar su aceptación y respaldo social</w:t>
      </w:r>
      <w:r>
        <w:rPr>
          <w:rStyle w:val="Refdenotaalpie"/>
          <w:rFonts w:ascii="Arial" w:hAnsi="Arial" w:cs="Arial"/>
          <w:sz w:val="24"/>
          <w:szCs w:val="24"/>
        </w:rPr>
        <w:footnoteReference w:id="23"/>
      </w:r>
      <w:r>
        <w:rPr>
          <w:rFonts w:ascii="Arial" w:hAnsi="Arial" w:cs="Arial"/>
          <w:sz w:val="24"/>
          <w:szCs w:val="24"/>
        </w:rPr>
        <w:t>.</w:t>
      </w:r>
    </w:p>
    <w:p w14:paraId="73C417D4" w14:textId="77777777" w:rsidR="00BE1E74" w:rsidRDefault="00D330BE">
      <w:pPr>
        <w:spacing w:before="100" w:beforeAutospacing="1" w:after="100" w:afterAutospacing="1" w:line="360" w:lineRule="auto"/>
        <w:jc w:val="both"/>
        <w:rPr>
          <w:rFonts w:ascii="Arial" w:hAnsi="Arial" w:cs="Arial"/>
          <w:color w:val="000000"/>
          <w:sz w:val="24"/>
          <w:szCs w:val="24"/>
        </w:rPr>
      </w:pPr>
      <w:r>
        <w:rPr>
          <w:rFonts w:ascii="Arial" w:hAnsi="Arial" w:cs="Arial"/>
          <w:color w:val="000000"/>
          <w:sz w:val="24"/>
          <w:szCs w:val="24"/>
        </w:rPr>
        <w:t xml:space="preserve">A su vez, el artículo 171, ubicado dentro del </w:t>
      </w:r>
      <w:r>
        <w:rPr>
          <w:rFonts w:ascii="Arial" w:hAnsi="Arial" w:cs="Arial"/>
          <w:i/>
          <w:iCs/>
          <w:color w:val="000000"/>
        </w:rPr>
        <w:t>CAPÍTULO TERCERO. PROPAGANDA ELECTORAL</w:t>
      </w:r>
      <w:r>
        <w:rPr>
          <w:rFonts w:ascii="Arial" w:hAnsi="Arial" w:cs="Arial"/>
          <w:color w:val="000000"/>
          <w:sz w:val="24"/>
          <w:szCs w:val="24"/>
        </w:rPr>
        <w:t xml:space="preserve"> determina las reglas que deberán seguir los participantes respecto de la colocación de propaganda </w:t>
      </w:r>
      <w:r>
        <w:rPr>
          <w:rFonts w:ascii="Arial" w:hAnsi="Arial" w:cs="Arial"/>
          <w:b/>
          <w:bCs/>
          <w:color w:val="000000"/>
          <w:sz w:val="24"/>
          <w:szCs w:val="24"/>
        </w:rPr>
        <w:t>durante las precampañas y campañas</w:t>
      </w:r>
      <w:r>
        <w:rPr>
          <w:rFonts w:ascii="Arial" w:hAnsi="Arial" w:cs="Arial"/>
          <w:color w:val="000000"/>
          <w:sz w:val="24"/>
          <w:szCs w:val="24"/>
        </w:rPr>
        <w:t xml:space="preserve">, destacando en la fracción II, que podrán colocar y pintar propaganda en inmuebles propiedad de particulares, siempre que medie </w:t>
      </w:r>
      <w:r>
        <w:rPr>
          <w:rFonts w:ascii="Arial" w:hAnsi="Arial" w:cs="Arial"/>
          <w:b/>
          <w:bCs/>
          <w:color w:val="000000"/>
          <w:sz w:val="24"/>
          <w:szCs w:val="24"/>
        </w:rPr>
        <w:t>permiso por escrito</w:t>
      </w:r>
      <w:r>
        <w:rPr>
          <w:rFonts w:ascii="Arial" w:hAnsi="Arial" w:cs="Arial"/>
          <w:color w:val="000000"/>
          <w:sz w:val="24"/>
          <w:szCs w:val="24"/>
        </w:rPr>
        <w:t xml:space="preserve"> y con firma autógrafa del propietario, adjuntando al mismo, copia simple de su identificación oficial.</w:t>
      </w:r>
    </w:p>
    <w:p w14:paraId="44D30B9D"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 xml:space="preserve">En atención a lo previsto por la normativa, el </w:t>
      </w:r>
      <w:r>
        <w:rPr>
          <w:rFonts w:ascii="Arial" w:eastAsia="Arial" w:hAnsi="Arial" w:cs="Arial"/>
          <w:i/>
          <w:iCs/>
          <w:sz w:val="24"/>
          <w:szCs w:val="24"/>
        </w:rPr>
        <w:t>TEPJF</w:t>
      </w:r>
      <w:r>
        <w:rPr>
          <w:rFonts w:ascii="Arial" w:eastAsia="Arial" w:hAnsi="Arial" w:cs="Arial"/>
          <w:sz w:val="24"/>
          <w:szCs w:val="24"/>
        </w:rPr>
        <w:t xml:space="preserve"> ha señalado que</w:t>
      </w:r>
      <w:r>
        <w:rPr>
          <w:rStyle w:val="Refdenotaalpie"/>
          <w:rFonts w:ascii="Arial" w:eastAsia="Arial" w:hAnsi="Arial" w:cs="Arial"/>
          <w:sz w:val="24"/>
          <w:szCs w:val="24"/>
        </w:rPr>
        <w:footnoteReference w:id="24"/>
      </w:r>
      <w:r>
        <w:rPr>
          <w:rFonts w:ascii="Arial" w:eastAsia="Arial" w:hAnsi="Arial" w:cs="Arial"/>
          <w:sz w:val="24"/>
          <w:szCs w:val="24"/>
        </w:rPr>
        <w:t>, efectivamente, el permiso para colocar o fijar propaganda electoral debe ser otorgado por la persona que acredite la propiedad del inmueble referido, sin que resulte suficiente para satisfacer el requisito que dicha autorización sea emitida por persona diferente.</w:t>
      </w:r>
    </w:p>
    <w:p w14:paraId="6F715994"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Por otra parte, dicha superioridad ha determinado</w:t>
      </w:r>
      <w:r>
        <w:rPr>
          <w:rStyle w:val="Refdenotaalpie"/>
        </w:rPr>
        <w:footnoteReference w:id="25"/>
      </w:r>
      <w:r>
        <w:rPr>
          <w:rStyle w:val="Refdenotaalpie"/>
        </w:rPr>
        <w:t xml:space="preserve"> </w:t>
      </w:r>
      <w:r>
        <w:rPr>
          <w:rFonts w:ascii="Arial" w:eastAsia="Arial" w:hAnsi="Arial" w:cs="Arial"/>
          <w:sz w:val="24"/>
          <w:szCs w:val="24"/>
        </w:rPr>
        <w:t xml:space="preserve">que esta exigencia no tutela el </w:t>
      </w:r>
      <w:r>
        <w:rPr>
          <w:rFonts w:ascii="Arial" w:eastAsia="Arial" w:hAnsi="Arial" w:cs="Arial"/>
          <w:b/>
          <w:bCs/>
          <w:sz w:val="24"/>
          <w:szCs w:val="24"/>
        </w:rPr>
        <w:t>derecho de propiedad</w:t>
      </w:r>
      <w:r>
        <w:rPr>
          <w:rFonts w:ascii="Arial" w:eastAsia="Arial" w:hAnsi="Arial" w:cs="Arial"/>
          <w:sz w:val="24"/>
          <w:szCs w:val="24"/>
        </w:rPr>
        <w:t xml:space="preserve"> sobre el inmueble involucrado, puesto que ello corresponde a otras materias, por lo que su efecto se limita única y exclusivamente a la </w:t>
      </w:r>
      <w:r>
        <w:rPr>
          <w:rFonts w:ascii="Arial" w:eastAsia="Arial" w:hAnsi="Arial" w:cs="Arial"/>
          <w:b/>
          <w:bCs/>
          <w:sz w:val="24"/>
          <w:szCs w:val="24"/>
        </w:rPr>
        <w:t>materia electoral</w:t>
      </w:r>
      <w:r>
        <w:rPr>
          <w:rFonts w:ascii="Arial" w:eastAsia="Arial" w:hAnsi="Arial" w:cs="Arial"/>
          <w:sz w:val="24"/>
          <w:szCs w:val="24"/>
        </w:rPr>
        <w:t xml:space="preserve">. </w:t>
      </w:r>
    </w:p>
    <w:p w14:paraId="6A8670E8"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 xml:space="preserve">Por lo tanto, la colocación de propaganda electoral en inmuebles de propiedad privada constituye un derecho de los partidos políticos, coaliciones, candidaturas comunes y candidatos, siempre y cuando se acate lo establecido para tales efectos, según lo dispone la normativa en la materia. </w:t>
      </w:r>
    </w:p>
    <w:p w14:paraId="42A67515"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Ahora, el artículo 55 del Código Civil del Estado de Michoacán de Ocampo</w:t>
      </w:r>
      <w:r>
        <w:rPr>
          <w:rStyle w:val="Refdenotaalpie"/>
        </w:rPr>
        <w:footnoteReference w:id="26"/>
      </w:r>
      <w:r>
        <w:t xml:space="preserve">, </w:t>
      </w:r>
      <w:r>
        <w:rPr>
          <w:rFonts w:ascii="Arial" w:eastAsia="Arial" w:hAnsi="Arial" w:cs="Arial"/>
          <w:sz w:val="24"/>
          <w:szCs w:val="24"/>
        </w:rPr>
        <w:t xml:space="preserve">dispone que son bienes de propiedad de los particulares todas las cosas cuyo dominio les pertenece legalmente, y de las que </w:t>
      </w:r>
      <w:r>
        <w:rPr>
          <w:rFonts w:ascii="Arial" w:eastAsia="Arial" w:hAnsi="Arial" w:cs="Arial"/>
          <w:sz w:val="24"/>
          <w:szCs w:val="24"/>
        </w:rPr>
        <w:lastRenderedPageBreak/>
        <w:t xml:space="preserve">no puede aprovecharse ninguna persona sin consentimiento del dueño o autorización de la ley. </w:t>
      </w:r>
    </w:p>
    <w:p w14:paraId="06E689B0"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 xml:space="preserve">Además, en su artículo 34, fracción III, señala entre otras cosas que, son bienes inmuebles todo lo que esté unido a un inmueble de una manera fija, de modo que no puede separarse sin deterioro del mismo inmueble o del objeto a él adherido. </w:t>
      </w:r>
    </w:p>
    <w:p w14:paraId="553CDD5C" w14:textId="77777777" w:rsidR="00BE1E74" w:rsidRDefault="00D330BE">
      <w:pPr>
        <w:spacing w:before="240" w:after="0" w:line="360" w:lineRule="auto"/>
        <w:jc w:val="both"/>
        <w:rPr>
          <w:rFonts w:ascii="Arial" w:eastAsia="Arial" w:hAnsi="Arial" w:cs="Arial"/>
          <w:sz w:val="24"/>
          <w:szCs w:val="24"/>
        </w:rPr>
      </w:pPr>
      <w:r>
        <w:rPr>
          <w:rFonts w:ascii="Arial" w:eastAsia="Arial" w:hAnsi="Arial" w:cs="Arial"/>
          <w:sz w:val="24"/>
          <w:szCs w:val="24"/>
        </w:rPr>
        <w:t xml:space="preserve">En consecuencia, los partidos, coaliciones y candidaturas no podrán colocar </w:t>
      </w:r>
      <w:r>
        <w:rPr>
          <w:rFonts w:ascii="Arial" w:eastAsia="Arial" w:hAnsi="Arial" w:cs="Arial"/>
          <w:b/>
          <w:bCs/>
          <w:sz w:val="24"/>
          <w:szCs w:val="24"/>
        </w:rPr>
        <w:t>propaganda electoral</w:t>
      </w:r>
      <w:r>
        <w:rPr>
          <w:rFonts w:ascii="Arial" w:eastAsia="Arial" w:hAnsi="Arial" w:cs="Arial"/>
          <w:sz w:val="24"/>
          <w:szCs w:val="24"/>
        </w:rPr>
        <w:t xml:space="preserve"> en inmuebles de </w:t>
      </w:r>
      <w:r>
        <w:rPr>
          <w:rFonts w:ascii="Arial" w:eastAsia="Arial" w:hAnsi="Arial" w:cs="Arial"/>
          <w:b/>
          <w:bCs/>
          <w:sz w:val="24"/>
          <w:szCs w:val="24"/>
        </w:rPr>
        <w:t>propiedad privada</w:t>
      </w:r>
      <w:r>
        <w:rPr>
          <w:rFonts w:ascii="Arial" w:eastAsia="Arial" w:hAnsi="Arial" w:cs="Arial"/>
          <w:sz w:val="24"/>
          <w:szCs w:val="24"/>
        </w:rPr>
        <w:t xml:space="preserve"> sin que exista </w:t>
      </w:r>
      <w:r>
        <w:rPr>
          <w:rFonts w:ascii="Arial" w:eastAsia="Arial" w:hAnsi="Arial" w:cs="Arial"/>
          <w:b/>
          <w:bCs/>
          <w:sz w:val="24"/>
          <w:szCs w:val="24"/>
        </w:rPr>
        <w:t>autorización escrita</w:t>
      </w:r>
      <w:r>
        <w:rPr>
          <w:rFonts w:ascii="Arial" w:eastAsia="Arial" w:hAnsi="Arial" w:cs="Arial"/>
          <w:sz w:val="24"/>
          <w:szCs w:val="24"/>
        </w:rPr>
        <w:t xml:space="preserve"> por la persona legítima propietaria del inmueble respectivo.</w:t>
      </w:r>
    </w:p>
    <w:p w14:paraId="74319EB7" w14:textId="77777777" w:rsidR="00BE1E74" w:rsidRDefault="00D330BE">
      <w:pPr>
        <w:pStyle w:val="Ttulo1"/>
        <w:spacing w:line="360" w:lineRule="auto"/>
        <w:rPr>
          <w:rFonts w:ascii="Arial" w:eastAsia="Arial" w:hAnsi="Arial" w:cs="Arial"/>
          <w:b/>
          <w:bCs/>
          <w:color w:val="auto"/>
          <w:sz w:val="24"/>
          <w:szCs w:val="24"/>
        </w:rPr>
      </w:pPr>
      <w:bookmarkStart w:id="50" w:name="_Toc174378291"/>
      <w:bookmarkStart w:id="51" w:name="_Toc192777877"/>
      <w:bookmarkStart w:id="52" w:name="_Toc239943139"/>
      <w:bookmarkStart w:id="53" w:name="_Toc242354051"/>
      <w:r>
        <w:rPr>
          <w:rFonts w:ascii="Arial" w:eastAsia="Arial" w:hAnsi="Arial" w:cs="Arial"/>
          <w:b/>
          <w:bCs/>
          <w:color w:val="auto"/>
          <w:sz w:val="24"/>
          <w:szCs w:val="24"/>
        </w:rPr>
        <w:t>7.2. Caso concreto</w:t>
      </w:r>
      <w:bookmarkEnd w:id="50"/>
      <w:bookmarkEnd w:id="51"/>
      <w:bookmarkEnd w:id="52"/>
      <w:bookmarkEnd w:id="53"/>
    </w:p>
    <w:p w14:paraId="2EA2CF9D"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A continuación,</w:t>
      </w:r>
      <w:r>
        <w:rPr>
          <w:rFonts w:ascii="Arial" w:hAnsi="Arial" w:cs="Arial"/>
          <w:i/>
          <w:iCs/>
          <w:sz w:val="24"/>
          <w:szCs w:val="24"/>
        </w:rPr>
        <w:t xml:space="preserve"> </w:t>
      </w:r>
      <w:r>
        <w:rPr>
          <w:rFonts w:ascii="Arial" w:hAnsi="Arial" w:cs="Arial"/>
          <w:sz w:val="24"/>
          <w:szCs w:val="24"/>
        </w:rPr>
        <w:t>se procede al análisis del contenido de la pinta de barda denunciada, así como de la infracción que se denuncia.</w:t>
      </w:r>
    </w:p>
    <w:p w14:paraId="37037AB3" w14:textId="77777777" w:rsidR="00BE1E74" w:rsidRDefault="00D330BE">
      <w:pPr>
        <w:pStyle w:val="Prrafodelista"/>
        <w:numPr>
          <w:ilvl w:val="0"/>
          <w:numId w:val="12"/>
        </w:numPr>
        <w:spacing w:before="240" w:after="0" w:line="360" w:lineRule="auto"/>
        <w:jc w:val="both"/>
        <w:textAlignment w:val="baseline"/>
        <w:rPr>
          <w:rFonts w:ascii="Arial" w:hAnsi="Arial" w:cs="Arial"/>
          <w:b/>
          <w:bCs/>
          <w:sz w:val="24"/>
          <w:szCs w:val="24"/>
        </w:rPr>
      </w:pPr>
      <w:r>
        <w:rPr>
          <w:rFonts w:ascii="Arial" w:hAnsi="Arial" w:cs="Arial"/>
          <w:b/>
          <w:bCs/>
          <w:sz w:val="24"/>
          <w:szCs w:val="24"/>
        </w:rPr>
        <w:t>Naturaleza de la propaganda denunciada</w:t>
      </w:r>
    </w:p>
    <w:p w14:paraId="1B86F581"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Previo a determinar si la pinta de la barda denunciada transgrede las reglas relativas a la colocación de propaganda electoral en inmueble de propiedad privada, resulta necesario establecer la naturaleza de la propaganda que se advierte en la misma, esto es, si por sus características puede ser considerada propaganda electoral o en su caso, propaganda política.</w:t>
      </w:r>
    </w:p>
    <w:p w14:paraId="23850C7D"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La Sala Regional Especializada del </w:t>
      </w:r>
      <w:r>
        <w:rPr>
          <w:rFonts w:ascii="Arial" w:hAnsi="Arial" w:cs="Arial"/>
          <w:i/>
          <w:sz w:val="24"/>
          <w:szCs w:val="24"/>
        </w:rPr>
        <w:t>TEPJF</w:t>
      </w:r>
      <w:r>
        <w:rPr>
          <w:rStyle w:val="Refdenotaalpie"/>
          <w:rFonts w:ascii="Arial" w:hAnsi="Arial" w:cs="Arial"/>
          <w:i/>
          <w:iCs/>
          <w:sz w:val="24"/>
          <w:szCs w:val="24"/>
        </w:rPr>
        <w:footnoteReference w:id="27"/>
      </w:r>
      <w:r>
        <w:rPr>
          <w:rFonts w:ascii="Arial" w:hAnsi="Arial" w:cs="Arial"/>
          <w:sz w:val="24"/>
          <w:szCs w:val="24"/>
        </w:rPr>
        <w:t xml:space="preserve"> ha sostenido que para establecer la naturaleza de un mensaje debe realizarse un análisis razonable y objetivo de su contenido, imágenes y contexto, sin atender exclusivamente a la literalidad de sus expresiones.</w:t>
      </w:r>
    </w:p>
    <w:p w14:paraId="423CDAD9"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Bajo esos parámetros, del análisis integral de la pinta materia de la presente controversia, se advierte que su contenido se encuentra integrado por las expresiones </w:t>
      </w:r>
      <w:r>
        <w:rPr>
          <w:rFonts w:ascii="Arial" w:hAnsi="Arial" w:cs="Arial"/>
          <w:b/>
          <w:bCs/>
          <w:sz w:val="24"/>
          <w:szCs w:val="24"/>
        </w:rPr>
        <w:t>“Marco Polo”</w:t>
      </w:r>
      <w:r>
        <w:rPr>
          <w:rFonts w:ascii="Arial" w:hAnsi="Arial" w:cs="Arial"/>
          <w:sz w:val="24"/>
          <w:szCs w:val="24"/>
        </w:rPr>
        <w:t xml:space="preserve">, </w:t>
      </w:r>
      <w:r>
        <w:rPr>
          <w:rFonts w:ascii="Arial" w:hAnsi="Arial" w:cs="Arial"/>
          <w:b/>
          <w:bCs/>
          <w:sz w:val="24"/>
          <w:szCs w:val="24"/>
        </w:rPr>
        <w:t>“MORELIA”</w:t>
      </w:r>
      <w:r>
        <w:rPr>
          <w:rFonts w:ascii="Arial" w:hAnsi="Arial" w:cs="Arial"/>
          <w:sz w:val="24"/>
          <w:szCs w:val="24"/>
        </w:rPr>
        <w:t xml:space="preserve"> y </w:t>
      </w:r>
      <w:r>
        <w:rPr>
          <w:rFonts w:ascii="Arial" w:hAnsi="Arial" w:cs="Arial"/>
          <w:b/>
          <w:bCs/>
          <w:sz w:val="24"/>
          <w:szCs w:val="24"/>
        </w:rPr>
        <w:t>“morena”</w:t>
      </w:r>
      <w:r>
        <w:rPr>
          <w:rFonts w:ascii="Arial" w:hAnsi="Arial" w:cs="Arial"/>
          <w:sz w:val="24"/>
          <w:szCs w:val="24"/>
        </w:rPr>
        <w:t xml:space="preserve">, acompañadas de un corazón y de las expresiones </w:t>
      </w:r>
      <w:r>
        <w:rPr>
          <w:rFonts w:ascii="Arial" w:hAnsi="Arial" w:cs="Arial"/>
          <w:b/>
          <w:bCs/>
          <w:sz w:val="24"/>
          <w:szCs w:val="24"/>
        </w:rPr>
        <w:t xml:space="preserve">“Pintamos los amigos” </w:t>
      </w:r>
      <w:r>
        <w:rPr>
          <w:rFonts w:ascii="Arial" w:hAnsi="Arial" w:cs="Arial"/>
          <w:sz w:val="24"/>
          <w:szCs w:val="24"/>
        </w:rPr>
        <w:t>y</w:t>
      </w:r>
      <w:r>
        <w:rPr>
          <w:rFonts w:ascii="Arial" w:hAnsi="Arial" w:cs="Arial"/>
          <w:b/>
          <w:bCs/>
          <w:sz w:val="24"/>
          <w:szCs w:val="24"/>
        </w:rPr>
        <w:t xml:space="preserve"> “#YoSoy4T”</w:t>
      </w:r>
      <w:r>
        <w:rPr>
          <w:rFonts w:ascii="Arial" w:hAnsi="Arial" w:cs="Arial"/>
          <w:sz w:val="24"/>
          <w:szCs w:val="24"/>
        </w:rPr>
        <w:t xml:space="preserve">. Sin embargo, no se observa </w:t>
      </w:r>
      <w:r>
        <w:rPr>
          <w:rFonts w:ascii="Arial" w:hAnsi="Arial" w:cs="Arial"/>
          <w:sz w:val="24"/>
          <w:szCs w:val="24"/>
        </w:rPr>
        <w:lastRenderedPageBreak/>
        <w:t>la mención de una candidatura registrada, de un cargo de elección popular, de una fecha correspondiente a la jornada electoral o de algún otro elemento que, de manera objetiva y directa, haga un llamado a la ciudadanía para emitir su sufragio a favor de una determinada candidatura o partido político en una contienda electoral concreta.</w:t>
      </w:r>
    </w:p>
    <w:p w14:paraId="33A47C97"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Por el contrario, los elementos gráficos y lingüísticos que integran la pinta se encuentran encaminados, en principio, a la identificación y difusión de una determinada corriente, fuerza o expresión política, al hacer referencia a MORENA, a la ciudad de Morelia y a la denominada cuarta transformación mediante las expresiones </w:t>
      </w:r>
      <w:r>
        <w:rPr>
          <w:rFonts w:ascii="Arial" w:hAnsi="Arial" w:cs="Arial"/>
          <w:b/>
          <w:bCs/>
          <w:sz w:val="24"/>
          <w:szCs w:val="24"/>
        </w:rPr>
        <w:t>“Pintamos los amigos”</w:t>
      </w:r>
      <w:r>
        <w:rPr>
          <w:rFonts w:ascii="Arial" w:hAnsi="Arial" w:cs="Arial"/>
          <w:sz w:val="24"/>
          <w:szCs w:val="24"/>
        </w:rPr>
        <w:t xml:space="preserve"> y </w:t>
      </w:r>
      <w:r>
        <w:rPr>
          <w:rFonts w:ascii="Arial" w:hAnsi="Arial" w:cs="Arial"/>
          <w:b/>
          <w:bCs/>
          <w:sz w:val="24"/>
          <w:szCs w:val="24"/>
        </w:rPr>
        <w:t>“#YoSoy4T”</w:t>
      </w:r>
      <w:r>
        <w:rPr>
          <w:rFonts w:ascii="Arial" w:hAnsi="Arial" w:cs="Arial"/>
          <w:sz w:val="24"/>
          <w:szCs w:val="24"/>
        </w:rPr>
        <w:t>. En ese sentido, el contenido no presenta, por sí mismo, una referencia expresa a una elección determinada ni contiene elementos que permitan advertir de manera objetiva que su finalidad inmediata sea solicitar el voto de la ciudadanía a favor de una candidatura registrada.</w:t>
      </w:r>
    </w:p>
    <w:p w14:paraId="484C8AD1"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Lo anterior adquiere especial relevancia si se considera que, la propaganda política se caracteriza por la divulgación de contenidos de carácter ideológico y por la búsqueda de generar, modificar o reafirmar determinadas opiniones o conductas políticas, mientras que la propaganda electoral se encuentra vinculada con la </w:t>
      </w:r>
      <w:r>
        <w:rPr>
          <w:rFonts w:ascii="Arial" w:hAnsi="Arial" w:cs="Arial"/>
          <w:b/>
          <w:bCs/>
          <w:sz w:val="24"/>
          <w:szCs w:val="24"/>
        </w:rPr>
        <w:t>promoción</w:t>
      </w:r>
      <w:r>
        <w:rPr>
          <w:rFonts w:ascii="Arial" w:hAnsi="Arial" w:cs="Arial"/>
          <w:sz w:val="24"/>
          <w:szCs w:val="24"/>
        </w:rPr>
        <w:t xml:space="preserve"> de candidaturas o partidos ante el electorado con la finalidad de incidir en sus preferencias electorales. </w:t>
      </w:r>
    </w:p>
    <w:p w14:paraId="3B764539"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Así, la mera identificación de una persona, —como en el caso al </w:t>
      </w:r>
      <w:r>
        <w:rPr>
          <w:rFonts w:ascii="Arial" w:hAnsi="Arial" w:cs="Arial"/>
          <w:i/>
          <w:iCs/>
          <w:sz w:val="24"/>
          <w:szCs w:val="24"/>
        </w:rPr>
        <w:t>denunciado</w:t>
      </w:r>
      <w:r>
        <w:rPr>
          <w:rFonts w:ascii="Arial" w:hAnsi="Arial" w:cs="Arial"/>
          <w:sz w:val="24"/>
          <w:szCs w:val="24"/>
        </w:rPr>
        <w:t>— con un partido político o con una determinada corriente política no convierte, por sí sola, cualquier expresión que la contenga, en propaganda electoral, pues es necesario que del mensaje pueda desprenderse objetivamente su finalidad de promoción electoral.</w:t>
      </w:r>
    </w:p>
    <w:p w14:paraId="434A789E"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En consecuencia, este </w:t>
      </w:r>
      <w:r>
        <w:rPr>
          <w:rFonts w:ascii="Arial" w:hAnsi="Arial" w:cs="Arial"/>
          <w:i/>
          <w:iCs/>
          <w:sz w:val="24"/>
          <w:szCs w:val="24"/>
        </w:rPr>
        <w:t>Tribunal Electoral</w:t>
      </w:r>
      <w:r>
        <w:rPr>
          <w:rFonts w:ascii="Arial" w:hAnsi="Arial" w:cs="Arial"/>
          <w:sz w:val="24"/>
          <w:szCs w:val="24"/>
        </w:rPr>
        <w:t xml:space="preserve"> estima que, atendiendo al contenido objetivo de la pinta acreditada, esta presenta características propias de </w:t>
      </w:r>
      <w:r>
        <w:rPr>
          <w:rFonts w:ascii="Arial" w:hAnsi="Arial" w:cs="Arial"/>
          <w:b/>
          <w:bCs/>
          <w:sz w:val="24"/>
          <w:szCs w:val="24"/>
        </w:rPr>
        <w:t>propaganda política</w:t>
      </w:r>
      <w:r>
        <w:rPr>
          <w:rFonts w:ascii="Arial" w:hAnsi="Arial" w:cs="Arial"/>
          <w:sz w:val="24"/>
          <w:szCs w:val="24"/>
        </w:rPr>
        <w:t xml:space="preserve"> y no de propaganda electoral.</w:t>
      </w:r>
    </w:p>
    <w:p w14:paraId="1B02283B" w14:textId="77777777" w:rsidR="00BE1E74" w:rsidRDefault="00D330BE">
      <w:pPr>
        <w:pStyle w:val="Prrafodelista"/>
        <w:numPr>
          <w:ilvl w:val="0"/>
          <w:numId w:val="12"/>
        </w:numPr>
        <w:spacing w:before="240" w:after="0" w:line="360" w:lineRule="auto"/>
        <w:jc w:val="both"/>
        <w:textAlignment w:val="baseline"/>
        <w:rPr>
          <w:rFonts w:ascii="Arial" w:hAnsi="Arial" w:cs="Arial"/>
          <w:b/>
          <w:bCs/>
          <w:sz w:val="24"/>
          <w:szCs w:val="24"/>
        </w:rPr>
      </w:pPr>
      <w:r>
        <w:rPr>
          <w:rFonts w:ascii="Arial" w:eastAsia="Arial" w:hAnsi="Arial" w:cs="Arial"/>
          <w:b/>
          <w:bCs/>
          <w:sz w:val="24"/>
          <w:szCs w:val="24"/>
        </w:rPr>
        <w:t>Análisis respecto a la colocación de propaganda</w:t>
      </w:r>
    </w:p>
    <w:p w14:paraId="3CCE2950"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lastRenderedPageBreak/>
        <w:t xml:space="preserve">Una vez determinada la naturaleza política de la propaganda denunciada, corresponde analizar si la pinta realizada en el inmueble de propiedad particular actualiza la infracción prevista en el artículo 171, fracción II, del </w:t>
      </w:r>
      <w:r>
        <w:rPr>
          <w:rFonts w:ascii="Arial" w:hAnsi="Arial" w:cs="Arial"/>
          <w:i/>
          <w:iCs/>
          <w:sz w:val="24"/>
          <w:szCs w:val="24"/>
        </w:rPr>
        <w:t>Código Electoral.</w:t>
      </w:r>
      <w:r>
        <w:rPr>
          <w:rFonts w:ascii="Arial" w:hAnsi="Arial" w:cs="Arial"/>
          <w:sz w:val="24"/>
          <w:szCs w:val="24"/>
        </w:rPr>
        <w:t xml:space="preserve"> </w:t>
      </w:r>
    </w:p>
    <w:p w14:paraId="4C13BFA6"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Al respecto, dicho precepto establece que los partidos políticos, coaliciones, candidaturas comunes y candidatos, en la colocación de propaganda durante las precampañas de sus aspirantes y las campañas electorales, deberán observar determinadas </w:t>
      </w:r>
      <w:r>
        <w:rPr>
          <w:rFonts w:ascii="Arial" w:hAnsi="Arial" w:cs="Arial"/>
          <w:b/>
          <w:bCs/>
          <w:sz w:val="24"/>
          <w:szCs w:val="24"/>
        </w:rPr>
        <w:t>reglas</w:t>
      </w:r>
      <w:r>
        <w:rPr>
          <w:rFonts w:ascii="Arial" w:hAnsi="Arial" w:cs="Arial"/>
          <w:sz w:val="24"/>
          <w:szCs w:val="24"/>
        </w:rPr>
        <w:t>, entre ellas, que podrán colocar y pintar propaganda en inmuebles propiedad de particulares, siempre que medie permiso por escrito y con firma autógrafa del propietario, acompañado de copia simple de su identificación oficial.</w:t>
      </w:r>
    </w:p>
    <w:p w14:paraId="2CAC1820"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De la disposición normativa referida se desprenden, al menos, dos </w:t>
      </w:r>
      <w:r>
        <w:rPr>
          <w:rFonts w:ascii="Arial" w:hAnsi="Arial" w:cs="Arial"/>
          <w:b/>
          <w:bCs/>
          <w:sz w:val="24"/>
          <w:szCs w:val="24"/>
        </w:rPr>
        <w:t>elementos</w:t>
      </w:r>
      <w:r>
        <w:rPr>
          <w:rFonts w:ascii="Arial" w:hAnsi="Arial" w:cs="Arial"/>
          <w:sz w:val="24"/>
          <w:szCs w:val="24"/>
        </w:rPr>
        <w:t xml:space="preserve"> </w:t>
      </w:r>
      <w:r>
        <w:rPr>
          <w:rFonts w:ascii="Arial" w:hAnsi="Arial" w:cs="Arial"/>
          <w:b/>
          <w:bCs/>
          <w:sz w:val="24"/>
          <w:szCs w:val="24"/>
        </w:rPr>
        <w:t>para su actualización</w:t>
      </w:r>
      <w:r>
        <w:rPr>
          <w:rFonts w:ascii="Arial" w:hAnsi="Arial" w:cs="Arial"/>
          <w:sz w:val="24"/>
          <w:szCs w:val="24"/>
        </w:rPr>
        <w:t xml:space="preserve">: </w:t>
      </w:r>
    </w:p>
    <w:p w14:paraId="61264EC7"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b/>
          <w:bCs/>
          <w:sz w:val="24"/>
          <w:szCs w:val="24"/>
        </w:rPr>
        <w:t>a)</w:t>
      </w:r>
      <w:r>
        <w:rPr>
          <w:rFonts w:ascii="Arial" w:hAnsi="Arial" w:cs="Arial"/>
          <w:sz w:val="24"/>
          <w:szCs w:val="24"/>
        </w:rPr>
        <w:t xml:space="preserve"> Que se trate de propaganda cuya colocación se encuentre comprendida en el ámbito temporal de las </w:t>
      </w:r>
      <w:r>
        <w:rPr>
          <w:rFonts w:ascii="Arial" w:hAnsi="Arial" w:cs="Arial"/>
          <w:b/>
          <w:bCs/>
          <w:sz w:val="24"/>
          <w:szCs w:val="24"/>
        </w:rPr>
        <w:t>precampañas o campañas</w:t>
      </w:r>
      <w:r>
        <w:rPr>
          <w:rFonts w:ascii="Arial" w:hAnsi="Arial" w:cs="Arial"/>
          <w:sz w:val="24"/>
          <w:szCs w:val="24"/>
        </w:rPr>
        <w:t xml:space="preserve"> electorales (propaganda electoral); y </w:t>
      </w:r>
    </w:p>
    <w:p w14:paraId="15A90941" w14:textId="77777777" w:rsidR="00BE1E74" w:rsidRDefault="00D330BE">
      <w:pPr>
        <w:spacing w:after="0" w:line="360" w:lineRule="auto"/>
        <w:jc w:val="both"/>
        <w:textAlignment w:val="baseline"/>
        <w:rPr>
          <w:rFonts w:ascii="Arial" w:hAnsi="Arial" w:cs="Arial"/>
          <w:sz w:val="24"/>
          <w:szCs w:val="24"/>
        </w:rPr>
      </w:pPr>
      <w:r>
        <w:rPr>
          <w:rFonts w:ascii="Arial" w:hAnsi="Arial" w:cs="Arial"/>
          <w:b/>
          <w:bCs/>
          <w:sz w:val="24"/>
          <w:szCs w:val="24"/>
        </w:rPr>
        <w:t>b)</w:t>
      </w:r>
      <w:r>
        <w:rPr>
          <w:rFonts w:ascii="Arial" w:hAnsi="Arial" w:cs="Arial"/>
          <w:sz w:val="24"/>
          <w:szCs w:val="24"/>
        </w:rPr>
        <w:t xml:space="preserve"> Que ésta haya sido colocada o pintada en un inmueble </w:t>
      </w:r>
      <w:r>
        <w:rPr>
          <w:rFonts w:ascii="Arial" w:hAnsi="Arial" w:cs="Arial"/>
          <w:b/>
          <w:bCs/>
          <w:sz w:val="24"/>
          <w:szCs w:val="24"/>
        </w:rPr>
        <w:t>propiedad de un particular</w:t>
      </w:r>
      <w:r>
        <w:rPr>
          <w:rFonts w:ascii="Arial" w:hAnsi="Arial" w:cs="Arial"/>
          <w:sz w:val="24"/>
          <w:szCs w:val="24"/>
        </w:rPr>
        <w:t xml:space="preserve"> </w:t>
      </w:r>
      <w:r>
        <w:rPr>
          <w:rFonts w:ascii="Arial" w:hAnsi="Arial" w:cs="Arial"/>
          <w:b/>
          <w:bCs/>
          <w:sz w:val="24"/>
          <w:szCs w:val="24"/>
        </w:rPr>
        <w:t>sin contar con el permiso</w:t>
      </w:r>
      <w:r>
        <w:rPr>
          <w:rFonts w:ascii="Arial" w:hAnsi="Arial" w:cs="Arial"/>
          <w:sz w:val="24"/>
          <w:szCs w:val="24"/>
        </w:rPr>
        <w:t xml:space="preserve"> escrito exigido por la norma. </w:t>
      </w:r>
    </w:p>
    <w:p w14:paraId="10D4B7BE"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Por tanto, la sola acreditación de que una determinada pinta se encuentra en una propiedad privada —como en el caso acontece— no resulta suficiente para actualizar, por sí misma, la infracción, pues es necesario que la conducta se ubique dentro del supuesto normativo previsto por el artículo 171, es decir, que se trate de propaganda electoral comprendida dentro de un proceso electoral.</w:t>
      </w:r>
    </w:p>
    <w:p w14:paraId="4B999F2F"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En el caso, además de que la propaganda analizada presenta características propias de </w:t>
      </w:r>
      <w:r>
        <w:rPr>
          <w:rFonts w:ascii="Arial" w:hAnsi="Arial" w:cs="Arial"/>
          <w:b/>
          <w:bCs/>
          <w:sz w:val="24"/>
          <w:szCs w:val="24"/>
        </w:rPr>
        <w:t>propaganda política</w:t>
      </w:r>
      <w:r>
        <w:rPr>
          <w:rFonts w:ascii="Arial" w:hAnsi="Arial" w:cs="Arial"/>
          <w:sz w:val="24"/>
          <w:szCs w:val="24"/>
        </w:rPr>
        <w:t xml:space="preserve"> y no electoral, como quedó previamente analizado, resulta relevante su </w:t>
      </w:r>
      <w:r>
        <w:rPr>
          <w:rFonts w:ascii="Arial" w:hAnsi="Arial" w:cs="Arial"/>
          <w:b/>
          <w:bCs/>
          <w:sz w:val="24"/>
          <w:szCs w:val="24"/>
        </w:rPr>
        <w:t>dimensión temporal</w:t>
      </w:r>
      <w:r>
        <w:rPr>
          <w:rFonts w:ascii="Arial" w:hAnsi="Arial" w:cs="Arial"/>
          <w:sz w:val="24"/>
          <w:szCs w:val="24"/>
        </w:rPr>
        <w:t xml:space="preserve">. La propaganda fue identificada mediante el Acta Circunstanciada de Verificación IEM-OFI-545/2026, el veinte de agosto, fecha anterior al inicio formal del Proceso Electoral Ordinario </w:t>
      </w:r>
      <w:r>
        <w:rPr>
          <w:rFonts w:ascii="Arial" w:hAnsi="Arial" w:cs="Arial"/>
          <w:sz w:val="24"/>
          <w:szCs w:val="24"/>
        </w:rPr>
        <w:lastRenderedPageBreak/>
        <w:t xml:space="preserve">Local 2026-2027, cuya declaratoria de inicio tuvo lugar el once de septiembre. </w:t>
      </w:r>
    </w:p>
    <w:p w14:paraId="5F7C9987" w14:textId="77777777" w:rsidR="00BE1E74" w:rsidRDefault="00D330BE">
      <w:pPr>
        <w:spacing w:before="240" w:after="240" w:line="360" w:lineRule="auto"/>
        <w:jc w:val="both"/>
        <w:textAlignment w:val="baseline"/>
        <w:rPr>
          <w:rFonts w:ascii="Arial" w:hAnsi="Arial" w:cs="Arial"/>
          <w:sz w:val="24"/>
          <w:szCs w:val="24"/>
        </w:rPr>
      </w:pPr>
      <w:r>
        <w:rPr>
          <w:rFonts w:ascii="Arial" w:hAnsi="Arial" w:cs="Arial"/>
          <w:sz w:val="24"/>
          <w:szCs w:val="24"/>
        </w:rPr>
        <w:t>Asimismo, conforme al calendario electoral aprobado para dicho proceso, las precampañas y campañas para Gubernatura, Diputaciones y Ayuntamientos se desarrollarán hasta el año dos mil veintisiete, en las fechas que se precisan a continuación:</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053"/>
        <w:gridCol w:w="1725"/>
        <w:gridCol w:w="1725"/>
      </w:tblGrid>
      <w:tr w:rsidR="00BE1E74" w14:paraId="264703E4" w14:textId="77777777">
        <w:trPr>
          <w:jc w:val="center"/>
        </w:trPr>
        <w:tc>
          <w:tcPr>
            <w:tcW w:w="4053" w:type="dxa"/>
            <w:shd w:val="clear" w:color="auto" w:fill="E2EFD9" w:themeFill="accent6" w:themeFillTint="33"/>
            <w:vAlign w:val="center"/>
          </w:tcPr>
          <w:p w14:paraId="4A1AA683" w14:textId="77777777" w:rsidR="00BE1E74" w:rsidRDefault="00D330BE">
            <w:pPr>
              <w:spacing w:line="360" w:lineRule="auto"/>
              <w:jc w:val="center"/>
              <w:rPr>
                <w:rFonts w:ascii="Arial" w:hAnsi="Arial" w:cs="Arial"/>
              </w:rPr>
            </w:pPr>
            <w:r>
              <w:rPr>
                <w:rFonts w:ascii="Arial" w:hAnsi="Arial" w:cs="Arial"/>
                <w:b/>
              </w:rPr>
              <w:t>Actividad</w:t>
            </w:r>
          </w:p>
        </w:tc>
        <w:tc>
          <w:tcPr>
            <w:tcW w:w="1725" w:type="dxa"/>
            <w:shd w:val="clear" w:color="auto" w:fill="E2EFD9" w:themeFill="accent6" w:themeFillTint="33"/>
            <w:vAlign w:val="center"/>
          </w:tcPr>
          <w:p w14:paraId="7B72BA97" w14:textId="77777777" w:rsidR="00BE1E74" w:rsidRDefault="00D330BE">
            <w:pPr>
              <w:spacing w:line="360" w:lineRule="auto"/>
              <w:jc w:val="center"/>
              <w:rPr>
                <w:rFonts w:ascii="Arial" w:hAnsi="Arial" w:cs="Arial"/>
              </w:rPr>
            </w:pPr>
            <w:r>
              <w:rPr>
                <w:rFonts w:ascii="Arial" w:hAnsi="Arial" w:cs="Arial"/>
                <w:b/>
              </w:rPr>
              <w:t>Fecha de inicio</w:t>
            </w:r>
          </w:p>
        </w:tc>
        <w:tc>
          <w:tcPr>
            <w:tcW w:w="1725" w:type="dxa"/>
            <w:shd w:val="clear" w:color="auto" w:fill="E2EFD9" w:themeFill="accent6" w:themeFillTint="33"/>
            <w:vAlign w:val="center"/>
          </w:tcPr>
          <w:p w14:paraId="7B6D2C3C" w14:textId="77777777" w:rsidR="00BE1E74" w:rsidRDefault="00D330BE">
            <w:pPr>
              <w:spacing w:line="360" w:lineRule="auto"/>
              <w:jc w:val="center"/>
              <w:rPr>
                <w:rFonts w:ascii="Arial" w:hAnsi="Arial" w:cs="Arial"/>
              </w:rPr>
            </w:pPr>
            <w:r>
              <w:rPr>
                <w:rFonts w:ascii="Arial" w:hAnsi="Arial" w:cs="Arial"/>
                <w:b/>
              </w:rPr>
              <w:t>Fecha de término</w:t>
            </w:r>
          </w:p>
        </w:tc>
      </w:tr>
      <w:tr w:rsidR="00BE1E74" w14:paraId="1D17C59C" w14:textId="77777777">
        <w:trPr>
          <w:jc w:val="center"/>
        </w:trPr>
        <w:tc>
          <w:tcPr>
            <w:tcW w:w="4053" w:type="dxa"/>
            <w:vAlign w:val="center"/>
          </w:tcPr>
          <w:p w14:paraId="0D6D12AE" w14:textId="77777777" w:rsidR="00BE1E74" w:rsidRDefault="00D330BE">
            <w:pPr>
              <w:spacing w:after="0" w:line="360" w:lineRule="auto"/>
              <w:jc w:val="both"/>
              <w:rPr>
                <w:rFonts w:ascii="Arial" w:hAnsi="Arial" w:cs="Arial"/>
              </w:rPr>
            </w:pPr>
            <w:r>
              <w:rPr>
                <w:rFonts w:ascii="Arial" w:hAnsi="Arial" w:cs="Arial"/>
              </w:rPr>
              <w:t>Precampaña para Gubernatura.</w:t>
            </w:r>
          </w:p>
        </w:tc>
        <w:tc>
          <w:tcPr>
            <w:tcW w:w="1725" w:type="dxa"/>
            <w:vAlign w:val="center"/>
          </w:tcPr>
          <w:p w14:paraId="2C725050" w14:textId="77777777" w:rsidR="00BE1E74" w:rsidRDefault="00D330BE">
            <w:pPr>
              <w:spacing w:after="0" w:line="360" w:lineRule="auto"/>
              <w:jc w:val="center"/>
              <w:rPr>
                <w:rFonts w:ascii="Arial" w:hAnsi="Arial" w:cs="Arial"/>
              </w:rPr>
            </w:pPr>
            <w:r>
              <w:rPr>
                <w:rFonts w:ascii="Arial" w:hAnsi="Arial" w:cs="Arial"/>
              </w:rPr>
              <w:t>04/01/2027</w:t>
            </w:r>
          </w:p>
        </w:tc>
        <w:tc>
          <w:tcPr>
            <w:tcW w:w="1725" w:type="dxa"/>
            <w:vAlign w:val="center"/>
          </w:tcPr>
          <w:p w14:paraId="387FE242" w14:textId="77777777" w:rsidR="00BE1E74" w:rsidRDefault="00D330BE">
            <w:pPr>
              <w:spacing w:after="0" w:line="360" w:lineRule="auto"/>
              <w:jc w:val="center"/>
              <w:rPr>
                <w:rFonts w:ascii="Arial" w:hAnsi="Arial" w:cs="Arial"/>
              </w:rPr>
            </w:pPr>
            <w:r>
              <w:rPr>
                <w:rFonts w:ascii="Arial" w:hAnsi="Arial" w:cs="Arial"/>
              </w:rPr>
              <w:t>12/02/2027</w:t>
            </w:r>
          </w:p>
        </w:tc>
      </w:tr>
      <w:tr w:rsidR="00BE1E74" w14:paraId="289428AA" w14:textId="77777777">
        <w:trPr>
          <w:jc w:val="center"/>
        </w:trPr>
        <w:tc>
          <w:tcPr>
            <w:tcW w:w="4053" w:type="dxa"/>
            <w:vAlign w:val="center"/>
          </w:tcPr>
          <w:p w14:paraId="3404BE06" w14:textId="77777777" w:rsidR="00BE1E74" w:rsidRDefault="00D330BE">
            <w:pPr>
              <w:spacing w:after="0" w:line="360" w:lineRule="auto"/>
              <w:jc w:val="both"/>
              <w:rPr>
                <w:rFonts w:ascii="Arial" w:hAnsi="Arial" w:cs="Arial"/>
              </w:rPr>
            </w:pPr>
            <w:r>
              <w:rPr>
                <w:rFonts w:ascii="Arial" w:hAnsi="Arial" w:cs="Arial"/>
              </w:rPr>
              <w:t>Precampaña para Diputaciones.</w:t>
            </w:r>
          </w:p>
        </w:tc>
        <w:tc>
          <w:tcPr>
            <w:tcW w:w="1725" w:type="dxa"/>
            <w:vAlign w:val="center"/>
          </w:tcPr>
          <w:p w14:paraId="34FAC98B" w14:textId="77777777" w:rsidR="00BE1E74" w:rsidRDefault="00D330BE">
            <w:pPr>
              <w:spacing w:after="0" w:line="360" w:lineRule="auto"/>
              <w:jc w:val="center"/>
              <w:rPr>
                <w:rFonts w:ascii="Arial" w:hAnsi="Arial" w:cs="Arial"/>
              </w:rPr>
            </w:pPr>
            <w:r>
              <w:rPr>
                <w:rFonts w:ascii="Arial" w:hAnsi="Arial" w:cs="Arial"/>
              </w:rPr>
              <w:t>14/01/2027</w:t>
            </w:r>
          </w:p>
        </w:tc>
        <w:tc>
          <w:tcPr>
            <w:tcW w:w="1725" w:type="dxa"/>
            <w:vAlign w:val="center"/>
          </w:tcPr>
          <w:p w14:paraId="1412996A" w14:textId="77777777" w:rsidR="00BE1E74" w:rsidRDefault="00D330BE">
            <w:pPr>
              <w:spacing w:after="0" w:line="360" w:lineRule="auto"/>
              <w:jc w:val="center"/>
              <w:rPr>
                <w:rFonts w:ascii="Arial" w:hAnsi="Arial" w:cs="Arial"/>
              </w:rPr>
            </w:pPr>
            <w:r>
              <w:rPr>
                <w:rFonts w:ascii="Arial" w:hAnsi="Arial" w:cs="Arial"/>
              </w:rPr>
              <w:t>12/02/2027</w:t>
            </w:r>
          </w:p>
        </w:tc>
      </w:tr>
      <w:tr w:rsidR="00BE1E74" w14:paraId="0E9CB5FF" w14:textId="77777777">
        <w:trPr>
          <w:jc w:val="center"/>
        </w:trPr>
        <w:tc>
          <w:tcPr>
            <w:tcW w:w="4053" w:type="dxa"/>
            <w:vAlign w:val="center"/>
          </w:tcPr>
          <w:p w14:paraId="56E8BB3A" w14:textId="77777777" w:rsidR="00BE1E74" w:rsidRDefault="00D330BE">
            <w:pPr>
              <w:spacing w:after="0" w:line="360" w:lineRule="auto"/>
              <w:jc w:val="both"/>
              <w:rPr>
                <w:rFonts w:ascii="Arial" w:hAnsi="Arial" w:cs="Arial"/>
              </w:rPr>
            </w:pPr>
            <w:r>
              <w:rPr>
                <w:rFonts w:ascii="Arial" w:hAnsi="Arial" w:cs="Arial"/>
              </w:rPr>
              <w:t>Precampaña para Ayuntamientos.</w:t>
            </w:r>
          </w:p>
        </w:tc>
        <w:tc>
          <w:tcPr>
            <w:tcW w:w="1725" w:type="dxa"/>
            <w:vAlign w:val="center"/>
          </w:tcPr>
          <w:p w14:paraId="39638620" w14:textId="77777777" w:rsidR="00BE1E74" w:rsidRDefault="00D330BE">
            <w:pPr>
              <w:spacing w:after="0" w:line="360" w:lineRule="auto"/>
              <w:jc w:val="center"/>
              <w:rPr>
                <w:rFonts w:ascii="Arial" w:hAnsi="Arial" w:cs="Arial"/>
              </w:rPr>
            </w:pPr>
            <w:r>
              <w:rPr>
                <w:rFonts w:ascii="Arial" w:hAnsi="Arial" w:cs="Arial"/>
              </w:rPr>
              <w:t>14/01/2027</w:t>
            </w:r>
          </w:p>
        </w:tc>
        <w:tc>
          <w:tcPr>
            <w:tcW w:w="1725" w:type="dxa"/>
            <w:vAlign w:val="center"/>
          </w:tcPr>
          <w:p w14:paraId="3A1D3C3D" w14:textId="77777777" w:rsidR="00BE1E74" w:rsidRDefault="00D330BE">
            <w:pPr>
              <w:spacing w:after="0" w:line="360" w:lineRule="auto"/>
              <w:jc w:val="center"/>
              <w:rPr>
                <w:rFonts w:ascii="Arial" w:hAnsi="Arial" w:cs="Arial"/>
              </w:rPr>
            </w:pPr>
            <w:r>
              <w:rPr>
                <w:rFonts w:ascii="Arial" w:hAnsi="Arial" w:cs="Arial"/>
              </w:rPr>
              <w:t>12/02/2027</w:t>
            </w:r>
          </w:p>
        </w:tc>
      </w:tr>
      <w:tr w:rsidR="00BE1E74" w14:paraId="79DA992C" w14:textId="77777777">
        <w:trPr>
          <w:jc w:val="center"/>
        </w:trPr>
        <w:tc>
          <w:tcPr>
            <w:tcW w:w="4053" w:type="dxa"/>
            <w:vAlign w:val="center"/>
          </w:tcPr>
          <w:p w14:paraId="2CFEB634" w14:textId="77777777" w:rsidR="00BE1E74" w:rsidRDefault="00D330BE">
            <w:pPr>
              <w:spacing w:after="0" w:line="360" w:lineRule="auto"/>
              <w:jc w:val="both"/>
              <w:rPr>
                <w:rFonts w:ascii="Arial" w:hAnsi="Arial" w:cs="Arial"/>
              </w:rPr>
            </w:pPr>
            <w:r>
              <w:rPr>
                <w:rFonts w:ascii="Arial" w:hAnsi="Arial" w:cs="Arial"/>
              </w:rPr>
              <w:t>Campaña para Gubernatura.</w:t>
            </w:r>
          </w:p>
        </w:tc>
        <w:tc>
          <w:tcPr>
            <w:tcW w:w="1725" w:type="dxa"/>
            <w:vAlign w:val="center"/>
          </w:tcPr>
          <w:p w14:paraId="42A0B611" w14:textId="77777777" w:rsidR="00BE1E74" w:rsidRDefault="00D330BE">
            <w:pPr>
              <w:spacing w:after="0" w:line="360" w:lineRule="auto"/>
              <w:jc w:val="center"/>
              <w:rPr>
                <w:rFonts w:ascii="Arial" w:hAnsi="Arial" w:cs="Arial"/>
              </w:rPr>
            </w:pPr>
            <w:r>
              <w:rPr>
                <w:rFonts w:ascii="Arial" w:hAnsi="Arial" w:cs="Arial"/>
              </w:rPr>
              <w:t>04/04/2027</w:t>
            </w:r>
          </w:p>
        </w:tc>
        <w:tc>
          <w:tcPr>
            <w:tcW w:w="1725" w:type="dxa"/>
            <w:vAlign w:val="center"/>
          </w:tcPr>
          <w:p w14:paraId="2A758777" w14:textId="77777777" w:rsidR="00BE1E74" w:rsidRDefault="00D330BE">
            <w:pPr>
              <w:spacing w:after="0" w:line="360" w:lineRule="auto"/>
              <w:jc w:val="center"/>
              <w:rPr>
                <w:rFonts w:ascii="Arial" w:hAnsi="Arial" w:cs="Arial"/>
              </w:rPr>
            </w:pPr>
            <w:r>
              <w:rPr>
                <w:rFonts w:ascii="Arial" w:hAnsi="Arial" w:cs="Arial"/>
              </w:rPr>
              <w:t>02/06/2027</w:t>
            </w:r>
          </w:p>
        </w:tc>
      </w:tr>
      <w:tr w:rsidR="00BE1E74" w14:paraId="28788C4C" w14:textId="77777777">
        <w:trPr>
          <w:jc w:val="center"/>
        </w:trPr>
        <w:tc>
          <w:tcPr>
            <w:tcW w:w="4053" w:type="dxa"/>
            <w:vAlign w:val="center"/>
          </w:tcPr>
          <w:p w14:paraId="52332EFC" w14:textId="77777777" w:rsidR="00BE1E74" w:rsidRDefault="00D330BE">
            <w:pPr>
              <w:spacing w:after="0" w:line="360" w:lineRule="auto"/>
              <w:jc w:val="both"/>
              <w:rPr>
                <w:rFonts w:ascii="Arial" w:hAnsi="Arial" w:cs="Arial"/>
              </w:rPr>
            </w:pPr>
            <w:r>
              <w:rPr>
                <w:rFonts w:ascii="Arial" w:hAnsi="Arial" w:cs="Arial"/>
              </w:rPr>
              <w:t>Campaña para Diputaciones.</w:t>
            </w:r>
          </w:p>
        </w:tc>
        <w:tc>
          <w:tcPr>
            <w:tcW w:w="1725" w:type="dxa"/>
            <w:vAlign w:val="center"/>
          </w:tcPr>
          <w:p w14:paraId="109E5915" w14:textId="77777777" w:rsidR="00BE1E74" w:rsidRDefault="00D330BE">
            <w:pPr>
              <w:spacing w:after="0" w:line="360" w:lineRule="auto"/>
              <w:jc w:val="center"/>
              <w:rPr>
                <w:rFonts w:ascii="Arial" w:hAnsi="Arial" w:cs="Arial"/>
              </w:rPr>
            </w:pPr>
            <w:r>
              <w:rPr>
                <w:rFonts w:ascii="Arial" w:hAnsi="Arial" w:cs="Arial"/>
              </w:rPr>
              <w:t>19/04/2027</w:t>
            </w:r>
          </w:p>
        </w:tc>
        <w:tc>
          <w:tcPr>
            <w:tcW w:w="1725" w:type="dxa"/>
            <w:vAlign w:val="center"/>
          </w:tcPr>
          <w:p w14:paraId="25CC44CF" w14:textId="77777777" w:rsidR="00BE1E74" w:rsidRDefault="00D330BE">
            <w:pPr>
              <w:spacing w:after="0" w:line="360" w:lineRule="auto"/>
              <w:jc w:val="center"/>
              <w:rPr>
                <w:rFonts w:ascii="Arial" w:hAnsi="Arial" w:cs="Arial"/>
              </w:rPr>
            </w:pPr>
            <w:r>
              <w:rPr>
                <w:rFonts w:ascii="Arial" w:hAnsi="Arial" w:cs="Arial"/>
              </w:rPr>
              <w:t>02/06/2027</w:t>
            </w:r>
          </w:p>
        </w:tc>
      </w:tr>
      <w:tr w:rsidR="00BE1E74" w14:paraId="2FA1A8A7" w14:textId="77777777">
        <w:trPr>
          <w:jc w:val="center"/>
        </w:trPr>
        <w:tc>
          <w:tcPr>
            <w:tcW w:w="4053" w:type="dxa"/>
            <w:vAlign w:val="center"/>
          </w:tcPr>
          <w:p w14:paraId="33AB03F2" w14:textId="77777777" w:rsidR="00BE1E74" w:rsidRDefault="00D330BE">
            <w:pPr>
              <w:spacing w:after="0" w:line="360" w:lineRule="auto"/>
              <w:jc w:val="both"/>
              <w:rPr>
                <w:rFonts w:ascii="Arial" w:hAnsi="Arial" w:cs="Arial"/>
              </w:rPr>
            </w:pPr>
            <w:r>
              <w:rPr>
                <w:rFonts w:ascii="Arial" w:hAnsi="Arial" w:cs="Arial"/>
              </w:rPr>
              <w:t>Campaña para Ayuntamientos.</w:t>
            </w:r>
          </w:p>
        </w:tc>
        <w:tc>
          <w:tcPr>
            <w:tcW w:w="1725" w:type="dxa"/>
            <w:vAlign w:val="center"/>
          </w:tcPr>
          <w:p w14:paraId="42C32791" w14:textId="77777777" w:rsidR="00BE1E74" w:rsidRDefault="00D330BE">
            <w:pPr>
              <w:spacing w:after="0" w:line="360" w:lineRule="auto"/>
              <w:jc w:val="center"/>
              <w:rPr>
                <w:rFonts w:ascii="Arial" w:hAnsi="Arial" w:cs="Arial"/>
              </w:rPr>
            </w:pPr>
            <w:r>
              <w:rPr>
                <w:rFonts w:ascii="Arial" w:hAnsi="Arial" w:cs="Arial"/>
              </w:rPr>
              <w:t>19/04/2027</w:t>
            </w:r>
          </w:p>
        </w:tc>
        <w:tc>
          <w:tcPr>
            <w:tcW w:w="1725" w:type="dxa"/>
            <w:vAlign w:val="center"/>
          </w:tcPr>
          <w:p w14:paraId="53D1B88C" w14:textId="77777777" w:rsidR="00BE1E74" w:rsidRDefault="00D330BE">
            <w:pPr>
              <w:spacing w:after="0" w:line="360" w:lineRule="auto"/>
              <w:jc w:val="center"/>
              <w:rPr>
                <w:rFonts w:ascii="Arial" w:hAnsi="Arial" w:cs="Arial"/>
              </w:rPr>
            </w:pPr>
            <w:r>
              <w:rPr>
                <w:rFonts w:ascii="Arial" w:hAnsi="Arial" w:cs="Arial"/>
              </w:rPr>
              <w:t>02/06/2027</w:t>
            </w:r>
          </w:p>
        </w:tc>
      </w:tr>
    </w:tbl>
    <w:p w14:paraId="67CFE7AE" w14:textId="77777777" w:rsidR="00BE1E74" w:rsidRDefault="00D330BE">
      <w:pPr>
        <w:spacing w:line="240" w:lineRule="auto"/>
        <w:jc w:val="both"/>
        <w:rPr>
          <w:rFonts w:ascii="Arial" w:hAnsi="Arial" w:cs="Arial"/>
        </w:rPr>
      </w:pPr>
      <w:r>
        <w:rPr>
          <w:rFonts w:ascii="Arial" w:hAnsi="Arial" w:cs="Arial"/>
          <w:i/>
          <w:sz w:val="20"/>
          <w:szCs w:val="20"/>
        </w:rPr>
        <w:t>Fuente: Calendario electoral aprobado por el IEM, mediante Acuerdo IEM-CG-30-2026. La declaratoria de inicio formal del Proceso Electoral Ordinario Local 2026-2027 tuvo lugar el 11 de septiembre de 2026</w:t>
      </w:r>
      <w:r>
        <w:rPr>
          <w:rFonts w:ascii="Arial" w:hAnsi="Arial" w:cs="Arial"/>
          <w:i/>
        </w:rPr>
        <w:t>.</w:t>
      </w:r>
    </w:p>
    <w:p w14:paraId="2DF7F653" w14:textId="77777777" w:rsidR="00BE1E74" w:rsidRDefault="00D330BE">
      <w:pPr>
        <w:spacing w:before="360" w:after="0" w:line="360" w:lineRule="auto"/>
        <w:jc w:val="both"/>
        <w:textAlignment w:val="baseline"/>
        <w:rPr>
          <w:rFonts w:ascii="Arial" w:hAnsi="Arial" w:cs="Arial"/>
          <w:sz w:val="24"/>
          <w:szCs w:val="24"/>
        </w:rPr>
      </w:pPr>
      <w:r>
        <w:rPr>
          <w:rFonts w:ascii="Arial" w:hAnsi="Arial" w:cs="Arial"/>
          <w:sz w:val="24"/>
          <w:szCs w:val="24"/>
        </w:rPr>
        <w:t xml:space="preserve">En consecuencia, de las constancias y calendario electoral analizados no se desprende que la colocación de la pinta se encuentre temporalmente vinculada con una etapa de precampaña o campaña electoral en la que resultara aplicable la obligación prevista en el artículo 171, fracción II. </w:t>
      </w:r>
    </w:p>
    <w:p w14:paraId="1CB18826"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Por tanto, la falta de acreditación de dicho elemento también impide tener por actualizada la infracción, pues no sería jurídicamente válido </w:t>
      </w:r>
      <w:r>
        <w:rPr>
          <w:rFonts w:ascii="Arial" w:hAnsi="Arial" w:cs="Arial"/>
          <w:b/>
          <w:bCs/>
          <w:sz w:val="24"/>
          <w:szCs w:val="24"/>
        </w:rPr>
        <w:t>extender</w:t>
      </w:r>
      <w:r>
        <w:rPr>
          <w:rFonts w:ascii="Arial" w:hAnsi="Arial" w:cs="Arial"/>
          <w:sz w:val="24"/>
          <w:szCs w:val="24"/>
        </w:rPr>
        <w:t xml:space="preserve"> el supuesto normativo a cualquier manifestación de carácter político colocada en propiedad privada, con independencia del momento en que se realice.</w:t>
      </w:r>
    </w:p>
    <w:p w14:paraId="61C0E3E8" w14:textId="77777777" w:rsidR="00BE1E74" w:rsidRDefault="00D330BE">
      <w:pPr>
        <w:spacing w:before="240" w:after="0" w:line="360" w:lineRule="auto"/>
        <w:jc w:val="both"/>
        <w:textAlignment w:val="baseline"/>
        <w:rPr>
          <w:rFonts w:ascii="Arial" w:hAnsi="Arial" w:cs="Arial"/>
          <w:sz w:val="24"/>
          <w:szCs w:val="24"/>
        </w:rPr>
      </w:pPr>
      <w:r>
        <w:rPr>
          <w:rFonts w:ascii="Arial" w:eastAsia="Arial" w:hAnsi="Arial" w:cs="Arial"/>
          <w:sz w:val="24"/>
          <w:szCs w:val="24"/>
        </w:rPr>
        <w:t xml:space="preserve">Lo anterior, no significa que las manifestaciones insertas en la propaganda de naturaleza política se encuentren </w:t>
      </w:r>
      <w:r>
        <w:rPr>
          <w:rFonts w:ascii="Arial" w:eastAsia="Arial" w:hAnsi="Arial" w:cs="Arial"/>
          <w:b/>
          <w:bCs/>
          <w:sz w:val="24"/>
          <w:szCs w:val="24"/>
        </w:rPr>
        <w:t>exentas</w:t>
      </w:r>
      <w:r>
        <w:rPr>
          <w:rFonts w:ascii="Arial" w:eastAsia="Arial" w:hAnsi="Arial" w:cs="Arial"/>
          <w:sz w:val="24"/>
          <w:szCs w:val="24"/>
        </w:rPr>
        <w:t xml:space="preserve"> de cualquier regulación electoral, sino únicamente que la conducta concreta debe analizarse a la luz de la norma que resulte aplicable y de los elementos que integran su supuesto de hecho.</w:t>
      </w:r>
    </w:p>
    <w:p w14:paraId="3FF42DC6" w14:textId="77777777" w:rsidR="00BE1E74" w:rsidRDefault="00D330BE">
      <w:pPr>
        <w:spacing w:before="240" w:after="0" w:line="360" w:lineRule="auto"/>
        <w:jc w:val="both"/>
        <w:textAlignment w:val="baseline"/>
        <w:rPr>
          <w:rFonts w:ascii="Arial" w:hAnsi="Arial" w:cs="Arial"/>
          <w:sz w:val="24"/>
          <w:szCs w:val="24"/>
        </w:rPr>
      </w:pPr>
      <w:r>
        <w:rPr>
          <w:rFonts w:ascii="Arial" w:eastAsia="Arial" w:hAnsi="Arial" w:cs="Arial"/>
          <w:sz w:val="24"/>
          <w:szCs w:val="24"/>
        </w:rPr>
        <w:lastRenderedPageBreak/>
        <w:t xml:space="preserve">Sostener lo contrario implicaría extender el ámbito de aplicación de una norma restrictiva a una conducta que no encuadra en el supuesto expresamente previsto por el legislador, en contravención del </w:t>
      </w:r>
      <w:r>
        <w:rPr>
          <w:rFonts w:ascii="Arial" w:eastAsia="Arial" w:hAnsi="Arial" w:cs="Arial"/>
          <w:b/>
          <w:bCs/>
          <w:sz w:val="24"/>
          <w:szCs w:val="24"/>
        </w:rPr>
        <w:t>principio de tipicidad</w:t>
      </w:r>
      <w:r>
        <w:rPr>
          <w:rFonts w:ascii="Arial" w:eastAsia="Arial" w:hAnsi="Arial" w:cs="Arial"/>
          <w:sz w:val="24"/>
          <w:szCs w:val="24"/>
        </w:rPr>
        <w:t>.</w:t>
      </w:r>
    </w:p>
    <w:p w14:paraId="158CCD63" w14:textId="77777777" w:rsidR="00BE1E74" w:rsidRDefault="00D330BE">
      <w:pPr>
        <w:spacing w:before="240" w:after="0" w:line="360" w:lineRule="auto"/>
        <w:jc w:val="both"/>
        <w:textAlignment w:val="baseline"/>
        <w:rPr>
          <w:rFonts w:ascii="Arial" w:hAnsi="Arial" w:cs="Arial"/>
          <w:sz w:val="24"/>
          <w:szCs w:val="24"/>
        </w:rPr>
      </w:pPr>
      <w:r>
        <w:rPr>
          <w:rFonts w:ascii="Arial" w:eastAsia="Arial" w:hAnsi="Arial" w:cs="Arial"/>
          <w:sz w:val="24"/>
          <w:szCs w:val="24"/>
        </w:rPr>
        <w:t>Cabe señalar que el principio de tipicidad en el derecho electoral es un pilar fundamental derivado del derecho sancionador, que exige que cualquier infracción, conducta ilícita o delito electoral esté previamente descrito de forma clara, precisa e inequívoca en la ley para que la autoridad competente esté en condiciones de imponer la sanción prevista.</w:t>
      </w:r>
    </w:p>
    <w:p w14:paraId="55B01B3E" w14:textId="77777777" w:rsidR="00BE1E74" w:rsidRDefault="00D330BE">
      <w:pPr>
        <w:spacing w:before="240" w:after="0" w:line="360" w:lineRule="auto"/>
        <w:jc w:val="both"/>
        <w:textAlignment w:val="baseline"/>
        <w:rPr>
          <w:rFonts w:ascii="Arial" w:eastAsia="Arial" w:hAnsi="Arial" w:cs="Arial"/>
          <w:sz w:val="24"/>
          <w:szCs w:val="24"/>
        </w:rPr>
      </w:pPr>
      <w:r>
        <w:rPr>
          <w:rFonts w:ascii="Arial" w:eastAsia="Arial" w:hAnsi="Arial" w:cs="Arial"/>
          <w:sz w:val="24"/>
          <w:szCs w:val="24"/>
        </w:rPr>
        <w:t xml:space="preserve">Esto significa que las autoridades electorales no pueden sancionar a un partido, candidato o ciudadano por una acción u omisión a menos que exista una norma jurídica previa y vigente que señale explícitamente esa conducta como una falta y establezca la consecuencia jurídica correspondiente. </w:t>
      </w:r>
    </w:p>
    <w:p w14:paraId="6011EFEA"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En este sentido la </w:t>
      </w:r>
      <w:r>
        <w:rPr>
          <w:rFonts w:ascii="Arial" w:hAnsi="Arial" w:cs="Arial"/>
          <w:i/>
          <w:iCs/>
          <w:sz w:val="24"/>
          <w:szCs w:val="24"/>
        </w:rPr>
        <w:t>Sala Superior</w:t>
      </w:r>
      <w:r>
        <w:rPr>
          <w:rStyle w:val="Refdenotaalpie"/>
          <w:rFonts w:ascii="Arial" w:hAnsi="Arial" w:cs="Arial"/>
          <w:i/>
          <w:iCs/>
          <w:sz w:val="24"/>
          <w:szCs w:val="24"/>
        </w:rPr>
        <w:footnoteReference w:id="28"/>
      </w:r>
      <w:r>
        <w:rPr>
          <w:rFonts w:ascii="Arial" w:hAnsi="Arial" w:cs="Arial"/>
          <w:sz w:val="24"/>
          <w:szCs w:val="24"/>
        </w:rPr>
        <w:t xml:space="preserve"> ha señalado en la jurisprudencia 30/2024, respecto a dicho principio, que el tipo administrativo se expresa a través de normas que: </w:t>
      </w:r>
    </w:p>
    <w:p w14:paraId="2B2DCE68" w14:textId="77777777" w:rsidR="00BE1E74" w:rsidRDefault="00D330BE">
      <w:pPr>
        <w:pStyle w:val="Prrafodelista"/>
        <w:numPr>
          <w:ilvl w:val="0"/>
          <w:numId w:val="17"/>
        </w:numPr>
        <w:spacing w:before="240" w:after="0" w:line="360" w:lineRule="auto"/>
        <w:jc w:val="both"/>
        <w:textAlignment w:val="baseline"/>
        <w:rPr>
          <w:rFonts w:ascii="Arial" w:hAnsi="Arial" w:cs="Arial"/>
          <w:sz w:val="24"/>
          <w:szCs w:val="24"/>
        </w:rPr>
      </w:pPr>
      <w:r>
        <w:rPr>
          <w:rFonts w:ascii="Arial" w:hAnsi="Arial" w:cs="Arial"/>
          <w:sz w:val="24"/>
          <w:szCs w:val="24"/>
        </w:rPr>
        <w:t xml:space="preserve">Contienen obligaciones o prohibiciones a cargo de los sujetos en materia electoral; </w:t>
      </w:r>
    </w:p>
    <w:p w14:paraId="175442ED" w14:textId="77777777" w:rsidR="00BE1E74" w:rsidRDefault="00D330BE">
      <w:pPr>
        <w:pStyle w:val="Prrafodelista"/>
        <w:numPr>
          <w:ilvl w:val="0"/>
          <w:numId w:val="17"/>
        </w:numPr>
        <w:spacing w:before="240" w:after="0" w:line="360" w:lineRule="auto"/>
        <w:jc w:val="both"/>
        <w:textAlignment w:val="baseline"/>
        <w:rPr>
          <w:rFonts w:ascii="Arial" w:hAnsi="Arial" w:cs="Arial"/>
          <w:sz w:val="24"/>
          <w:szCs w:val="24"/>
        </w:rPr>
      </w:pPr>
      <w:r>
        <w:rPr>
          <w:rFonts w:ascii="Arial" w:hAnsi="Arial" w:cs="Arial"/>
          <w:sz w:val="24"/>
          <w:szCs w:val="24"/>
        </w:rPr>
        <w:t xml:space="preserve">Comprenden un enunciado general, mediante la advertencia de que, el incumplimiento de obligaciones o la violación a prohibiciones constituye infracción y conducirá a la instauración del procedimiento sancionador; y, </w:t>
      </w:r>
    </w:p>
    <w:p w14:paraId="16983B18" w14:textId="77777777" w:rsidR="00BE1E74" w:rsidRDefault="00D330BE">
      <w:pPr>
        <w:pStyle w:val="Prrafodelista"/>
        <w:numPr>
          <w:ilvl w:val="0"/>
          <w:numId w:val="17"/>
        </w:numPr>
        <w:spacing w:before="240" w:after="0" w:line="360" w:lineRule="auto"/>
        <w:jc w:val="both"/>
        <w:textAlignment w:val="baseline"/>
        <w:rPr>
          <w:rFonts w:ascii="Arial" w:hAnsi="Arial" w:cs="Arial"/>
          <w:sz w:val="24"/>
          <w:szCs w:val="24"/>
        </w:rPr>
      </w:pPr>
      <w:r>
        <w:rPr>
          <w:rFonts w:ascii="Arial" w:hAnsi="Arial" w:cs="Arial"/>
          <w:sz w:val="24"/>
          <w:szCs w:val="24"/>
        </w:rPr>
        <w:t>Prevén un catálogo general de sanciones, susceptibles de ser aplicadas a los sujetos que hayan incurrido en conductas infractoras, por haber violado una prohibición, o por haber incumplido una obligación.</w:t>
      </w:r>
    </w:p>
    <w:p w14:paraId="691FB5A6"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La propia jurisprudencia explica que, como ocurre con el principio de tipicidad en materia penal, </w:t>
      </w:r>
      <w:r>
        <w:rPr>
          <w:rFonts w:ascii="Arial" w:hAnsi="Arial" w:cs="Arial"/>
          <w:b/>
          <w:bCs/>
          <w:sz w:val="24"/>
          <w:szCs w:val="24"/>
        </w:rPr>
        <w:t xml:space="preserve">no cabe imponer sanciones por analogía </w:t>
      </w:r>
      <w:r>
        <w:rPr>
          <w:rFonts w:ascii="Arial" w:hAnsi="Arial" w:cs="Arial"/>
          <w:b/>
          <w:bCs/>
          <w:sz w:val="24"/>
          <w:szCs w:val="24"/>
        </w:rPr>
        <w:lastRenderedPageBreak/>
        <w:t>o mayoría de razón</w:t>
      </w:r>
      <w:r>
        <w:rPr>
          <w:rFonts w:ascii="Arial" w:hAnsi="Arial" w:cs="Arial"/>
          <w:sz w:val="24"/>
          <w:szCs w:val="24"/>
        </w:rPr>
        <w:t xml:space="preserve"> respecto de conductas que no correspondan a la descripción contenida en la ley.</w:t>
      </w:r>
    </w:p>
    <w:p w14:paraId="00888869"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De igual manera, la </w:t>
      </w:r>
      <w:r>
        <w:rPr>
          <w:rFonts w:ascii="Arial" w:hAnsi="Arial" w:cs="Arial"/>
          <w:i/>
          <w:iCs/>
          <w:sz w:val="24"/>
          <w:szCs w:val="24"/>
        </w:rPr>
        <w:t>Sala Superior</w:t>
      </w:r>
      <w:r>
        <w:rPr>
          <w:rFonts w:ascii="Arial" w:hAnsi="Arial" w:cs="Arial"/>
          <w:sz w:val="24"/>
          <w:szCs w:val="24"/>
        </w:rPr>
        <w:t xml:space="preserve"> ha señalado que</w:t>
      </w:r>
      <w:r>
        <w:rPr>
          <w:rStyle w:val="Refdenotaalpie"/>
          <w:rFonts w:ascii="Arial" w:hAnsi="Arial" w:cs="Arial"/>
          <w:sz w:val="24"/>
          <w:szCs w:val="24"/>
        </w:rPr>
        <w:footnoteReference w:id="29"/>
      </w:r>
      <w:r>
        <w:rPr>
          <w:rFonts w:ascii="Arial" w:hAnsi="Arial" w:cs="Arial"/>
          <w:sz w:val="24"/>
          <w:szCs w:val="24"/>
        </w:rPr>
        <w:t xml:space="preserve">, aunque existe flexibilidad tratándose de procedimientos sancionadores, las normas que integran el tipo deben contener una </w:t>
      </w:r>
      <w:r>
        <w:rPr>
          <w:rFonts w:ascii="Arial" w:hAnsi="Arial" w:cs="Arial"/>
          <w:i/>
          <w:iCs/>
          <w:sz w:val="24"/>
          <w:szCs w:val="24"/>
        </w:rPr>
        <w:t>“descripción clara y unívoca de conductas concretas”</w:t>
      </w:r>
      <w:r>
        <w:rPr>
          <w:rFonts w:ascii="Arial" w:hAnsi="Arial" w:cs="Arial"/>
          <w:sz w:val="24"/>
          <w:szCs w:val="24"/>
        </w:rPr>
        <w:t xml:space="preserve">. Es decir, la posibilidad de integrar el tipo con varias disposiciones no significa que la autoridad pueda </w:t>
      </w:r>
      <w:r>
        <w:rPr>
          <w:rFonts w:ascii="Arial" w:hAnsi="Arial" w:cs="Arial"/>
          <w:b/>
          <w:bCs/>
          <w:sz w:val="24"/>
          <w:szCs w:val="24"/>
        </w:rPr>
        <w:t>ampliar libremente</w:t>
      </w:r>
      <w:r>
        <w:rPr>
          <w:rFonts w:ascii="Arial" w:hAnsi="Arial" w:cs="Arial"/>
          <w:sz w:val="24"/>
          <w:szCs w:val="24"/>
        </w:rPr>
        <w:t xml:space="preserve"> el alcance de una prohibición para incluir conductas que el legislador no contempló</w:t>
      </w:r>
      <w:r>
        <w:rPr>
          <w:rStyle w:val="Refdenotaalpie"/>
          <w:rFonts w:ascii="Arial" w:hAnsi="Arial" w:cs="Arial"/>
          <w:sz w:val="24"/>
          <w:szCs w:val="24"/>
        </w:rPr>
        <w:footnoteReference w:id="30"/>
      </w:r>
      <w:r>
        <w:rPr>
          <w:rFonts w:ascii="Arial" w:hAnsi="Arial" w:cs="Arial"/>
          <w:sz w:val="24"/>
          <w:szCs w:val="24"/>
        </w:rPr>
        <w:t>.</w:t>
      </w:r>
    </w:p>
    <w:p w14:paraId="10E5D53A" w14:textId="66BEAEFB"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Así, las normas sancionadoras electorales deben aplicarse de manera exacta y estricta y el ejercicio del </w:t>
      </w:r>
      <w:r>
        <w:rPr>
          <w:rFonts w:ascii="Arial" w:hAnsi="Arial" w:cs="Arial"/>
          <w:i/>
          <w:iCs/>
          <w:sz w:val="24"/>
          <w:szCs w:val="24"/>
        </w:rPr>
        <w:t>ius puniendi</w:t>
      </w:r>
      <w:r>
        <w:rPr>
          <w:rFonts w:ascii="Arial" w:hAnsi="Arial" w:cs="Arial"/>
          <w:sz w:val="24"/>
          <w:szCs w:val="24"/>
        </w:rPr>
        <w:t xml:space="preserve"> sólo debe actualizarse cuando exista </w:t>
      </w:r>
      <w:r w:rsidRPr="00D91AE9">
        <w:rPr>
          <w:rFonts w:ascii="Arial" w:hAnsi="Arial" w:cs="Arial"/>
          <w:b/>
          <w:bCs/>
          <w:sz w:val="24"/>
          <w:szCs w:val="24"/>
        </w:rPr>
        <w:t>coincidencia plena</w:t>
      </w:r>
      <w:r w:rsidRPr="00D91AE9">
        <w:rPr>
          <w:rFonts w:ascii="Arial" w:hAnsi="Arial" w:cs="Arial"/>
          <w:sz w:val="24"/>
          <w:szCs w:val="24"/>
        </w:rPr>
        <w:t xml:space="preserve"> entre los elementos del supuesto jurídico y el hecho o conducta</w:t>
      </w:r>
      <w:r>
        <w:rPr>
          <w:rStyle w:val="Refdenotaalpie"/>
          <w:rFonts w:ascii="Arial" w:hAnsi="Arial" w:cs="Arial"/>
          <w:sz w:val="24"/>
          <w:szCs w:val="24"/>
        </w:rPr>
        <w:footnoteReference w:id="31"/>
      </w:r>
      <w:r>
        <w:rPr>
          <w:rFonts w:ascii="Arial" w:hAnsi="Arial" w:cs="Arial"/>
          <w:sz w:val="24"/>
          <w:szCs w:val="24"/>
        </w:rPr>
        <w:t>.</w:t>
      </w:r>
    </w:p>
    <w:p w14:paraId="5C31C492"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En este sentido, los tribunales electorales no pueden convertir una conducta en infracción simplemente porque se considere que es semejante, contraria al propósito de la norma o que debería estar prohibida, atendiendo al principio de tipicidad referido.</w:t>
      </w:r>
    </w:p>
    <w:p w14:paraId="7C4F0AB6"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Por ello, aun cuando el artículo 171, fracción II, establezca la obligación de contar con permiso escrito del propietario para la colocación de propaganda en inmuebles particulares, tal exigencia no puede extenderse por analogía a una conducta que no se encuentre comprendida en el ámbito material de la disposición. </w:t>
      </w:r>
    </w:p>
    <w:p w14:paraId="7F5ADF66" w14:textId="77777777" w:rsidR="00BE1E74" w:rsidRDefault="00D330BE">
      <w:pPr>
        <w:spacing w:before="240" w:after="0" w:line="360" w:lineRule="auto"/>
        <w:jc w:val="both"/>
        <w:textAlignment w:val="baseline"/>
        <w:rPr>
          <w:rFonts w:ascii="Arial" w:hAnsi="Arial" w:cs="Arial"/>
          <w:sz w:val="24"/>
          <w:szCs w:val="24"/>
        </w:rPr>
      </w:pPr>
      <w:r>
        <w:rPr>
          <w:rFonts w:ascii="Arial" w:hAnsi="Arial" w:cs="Arial"/>
          <w:sz w:val="24"/>
          <w:szCs w:val="24"/>
        </w:rPr>
        <w:t xml:space="preserve">En consecuencia, si la pinta acreditada se llevó a cabo fuera de la </w:t>
      </w:r>
      <w:r>
        <w:rPr>
          <w:rFonts w:ascii="Arial" w:hAnsi="Arial" w:cs="Arial"/>
          <w:b/>
          <w:bCs/>
          <w:sz w:val="24"/>
          <w:szCs w:val="24"/>
        </w:rPr>
        <w:t>temporalidad</w:t>
      </w:r>
      <w:r>
        <w:rPr>
          <w:rFonts w:ascii="Arial" w:hAnsi="Arial" w:cs="Arial"/>
          <w:sz w:val="24"/>
          <w:szCs w:val="24"/>
        </w:rPr>
        <w:t xml:space="preserve"> exigida y tiene </w:t>
      </w:r>
      <w:r>
        <w:rPr>
          <w:rFonts w:ascii="Arial" w:hAnsi="Arial" w:cs="Arial"/>
          <w:b/>
          <w:bCs/>
          <w:sz w:val="24"/>
          <w:szCs w:val="24"/>
        </w:rPr>
        <w:t>naturaleza política</w:t>
      </w:r>
      <w:r>
        <w:rPr>
          <w:rFonts w:ascii="Arial" w:hAnsi="Arial" w:cs="Arial"/>
          <w:sz w:val="24"/>
          <w:szCs w:val="24"/>
        </w:rPr>
        <w:t xml:space="preserve"> y no electoral, </w:t>
      </w:r>
      <w:r>
        <w:rPr>
          <w:rFonts w:ascii="Arial" w:hAnsi="Arial" w:cs="Arial"/>
          <w:b/>
          <w:bCs/>
          <w:sz w:val="24"/>
          <w:szCs w:val="24"/>
        </w:rPr>
        <w:t xml:space="preserve">la ausencia del permiso </w:t>
      </w:r>
      <w:r>
        <w:rPr>
          <w:rFonts w:ascii="Arial" w:hAnsi="Arial" w:cs="Arial"/>
          <w:sz w:val="24"/>
          <w:szCs w:val="24"/>
        </w:rPr>
        <w:t>previsto en el referido numeral no puede, por sí misma, actualizar la infracción, al no existir coincidencia entre la conducta acreditada y la hipótesis normativa que se pretende aplicar.</w:t>
      </w:r>
    </w:p>
    <w:p w14:paraId="5C3952D9" w14:textId="77777777" w:rsidR="00BE1E74" w:rsidRDefault="00D330BE">
      <w:pPr>
        <w:spacing w:before="240" w:after="0" w:line="360" w:lineRule="auto"/>
        <w:jc w:val="both"/>
        <w:textAlignment w:val="baseline"/>
        <w:rPr>
          <w:rFonts w:ascii="Arial" w:hAnsi="Arial" w:cs="Arial"/>
          <w:b/>
          <w:bCs/>
          <w:sz w:val="24"/>
          <w:szCs w:val="24"/>
        </w:rPr>
      </w:pPr>
      <w:r>
        <w:rPr>
          <w:rFonts w:ascii="Arial" w:eastAsia="Arial" w:hAnsi="Arial" w:cs="Arial"/>
          <w:sz w:val="24"/>
          <w:szCs w:val="24"/>
        </w:rPr>
        <w:t xml:space="preserve">Así, al no actualizarse los elementos necesarios para subsumir la conducta denunciada, en el artículo 171, fracción II, del </w:t>
      </w:r>
      <w:r>
        <w:rPr>
          <w:rFonts w:ascii="Arial" w:eastAsia="Arial" w:hAnsi="Arial" w:cs="Arial"/>
          <w:i/>
          <w:iCs/>
          <w:sz w:val="24"/>
          <w:szCs w:val="24"/>
        </w:rPr>
        <w:t xml:space="preserve">Código </w:t>
      </w:r>
      <w:r>
        <w:rPr>
          <w:rFonts w:ascii="Arial" w:eastAsia="Arial" w:hAnsi="Arial" w:cs="Arial"/>
          <w:i/>
          <w:iCs/>
          <w:sz w:val="24"/>
          <w:szCs w:val="24"/>
        </w:rPr>
        <w:lastRenderedPageBreak/>
        <w:t>Electoral</w:t>
      </w:r>
      <w:r>
        <w:rPr>
          <w:rFonts w:ascii="Arial" w:eastAsia="Arial" w:hAnsi="Arial" w:cs="Arial"/>
          <w:sz w:val="24"/>
          <w:szCs w:val="24"/>
        </w:rPr>
        <w:t xml:space="preserve">, se procede a declarar </w:t>
      </w:r>
      <w:r>
        <w:rPr>
          <w:rFonts w:ascii="Arial" w:eastAsia="Arial" w:hAnsi="Arial" w:cs="Arial"/>
          <w:b/>
          <w:bCs/>
          <w:sz w:val="24"/>
          <w:szCs w:val="24"/>
        </w:rPr>
        <w:t xml:space="preserve">inexistente </w:t>
      </w:r>
      <w:r>
        <w:rPr>
          <w:rFonts w:ascii="Arial" w:eastAsia="Arial" w:hAnsi="Arial" w:cs="Arial"/>
          <w:sz w:val="24"/>
          <w:szCs w:val="24"/>
        </w:rPr>
        <w:t xml:space="preserve">la infracción atribuida por la colocación de propaganda en un inmueble de propiedad privada sin autorización del propietario; ello, </w:t>
      </w:r>
      <w:r w:rsidRPr="00AB5582">
        <w:rPr>
          <w:rFonts w:ascii="Arial" w:hAnsi="Arial" w:cs="Arial"/>
          <w:b/>
          <w:bCs/>
          <w:sz w:val="24"/>
          <w:szCs w:val="24"/>
        </w:rPr>
        <w:t>sin perjuicio de que eventualmente pudiera constituir otro tipo de conducta o falta administrativa.</w:t>
      </w:r>
    </w:p>
    <w:p w14:paraId="2F428BE3" w14:textId="77777777" w:rsidR="00AB5582" w:rsidRPr="00552CF8" w:rsidRDefault="00AB5582" w:rsidP="00AB5582">
      <w:pPr>
        <w:spacing w:before="240" w:after="0" w:line="360" w:lineRule="auto"/>
        <w:jc w:val="both"/>
        <w:textAlignment w:val="baseline"/>
        <w:rPr>
          <w:rFonts w:ascii="Arial" w:eastAsia="Arial" w:hAnsi="Arial" w:cs="Arial"/>
          <w:sz w:val="24"/>
          <w:szCs w:val="24"/>
        </w:rPr>
      </w:pPr>
      <w:r w:rsidRPr="00552CF8">
        <w:rPr>
          <w:rFonts w:ascii="Arial" w:eastAsia="Arial" w:hAnsi="Arial" w:cs="Arial"/>
          <w:sz w:val="24"/>
          <w:szCs w:val="24"/>
        </w:rPr>
        <w:t xml:space="preserve">En este sentido es oportuno señalar que, el hecho de que el precepto normativo en cita limite su ámbito de aplicación a los periodos de precampaña y campaña electoral no implica que, fuera de dichas etapas, la persona propietaria de un inmueble esté obligada a consentir la colocación de propaganda política en su propiedad, ni que su utilización sin autorización resulte jurídicamente válida. </w:t>
      </w:r>
    </w:p>
    <w:p w14:paraId="26FD4FF8" w14:textId="77777777" w:rsidR="00AB5582" w:rsidRPr="00552CF8" w:rsidRDefault="00AB5582" w:rsidP="00AB5582">
      <w:pPr>
        <w:spacing w:before="240" w:after="0" w:line="360" w:lineRule="auto"/>
        <w:jc w:val="both"/>
        <w:textAlignment w:val="baseline"/>
        <w:rPr>
          <w:rFonts w:ascii="Arial" w:eastAsia="Arial" w:hAnsi="Arial" w:cs="Arial"/>
          <w:sz w:val="24"/>
          <w:szCs w:val="24"/>
        </w:rPr>
      </w:pPr>
      <w:r w:rsidRPr="00552CF8">
        <w:rPr>
          <w:rFonts w:ascii="Arial" w:eastAsia="Arial" w:hAnsi="Arial" w:cs="Arial"/>
          <w:sz w:val="24"/>
          <w:szCs w:val="24"/>
        </w:rPr>
        <w:t xml:space="preserve">La conclusión relativa a la inexistencia de la infracción debe entenderse exclusivamente en el sentido de que, al no actualizarse los elementos previstos en la disposición referida, la conducta no puede ser sancionada con fundamento en dicho precepto, </w:t>
      </w:r>
      <w:r w:rsidRPr="00552CF8">
        <w:rPr>
          <w:rFonts w:ascii="Arial" w:eastAsia="Arial" w:hAnsi="Arial" w:cs="Arial"/>
          <w:b/>
          <w:bCs/>
          <w:sz w:val="24"/>
          <w:szCs w:val="24"/>
        </w:rPr>
        <w:t>sin que ello suponga reconocer un derecho a utilizar inmuebles particulares sin el consentimiento de sus propietarios</w:t>
      </w:r>
      <w:r w:rsidRPr="00552CF8">
        <w:rPr>
          <w:rFonts w:ascii="Arial" w:eastAsia="Arial" w:hAnsi="Arial" w:cs="Arial"/>
          <w:sz w:val="24"/>
          <w:szCs w:val="24"/>
        </w:rPr>
        <w:t xml:space="preserve">, ni prejuzgar sobre las posibles consecuencias jurídicas que pudieran derivarse de esa conducta en otros ámbitos. </w:t>
      </w:r>
    </w:p>
    <w:p w14:paraId="5EF1A207" w14:textId="77777777" w:rsidR="00AB5582" w:rsidRPr="00552CF8" w:rsidRDefault="00AB5582" w:rsidP="00AB5582">
      <w:pPr>
        <w:spacing w:before="240" w:after="0" w:line="360" w:lineRule="auto"/>
        <w:jc w:val="both"/>
        <w:textAlignment w:val="baseline"/>
        <w:rPr>
          <w:rFonts w:ascii="Arial" w:eastAsia="Arial" w:hAnsi="Arial" w:cs="Arial"/>
          <w:sz w:val="24"/>
          <w:szCs w:val="24"/>
        </w:rPr>
      </w:pPr>
      <w:r w:rsidRPr="00552CF8">
        <w:rPr>
          <w:rFonts w:ascii="Arial" w:eastAsia="Arial" w:hAnsi="Arial" w:cs="Arial"/>
          <w:sz w:val="24"/>
          <w:szCs w:val="24"/>
        </w:rPr>
        <w:t xml:space="preserve">Por lo tanto, la determinación adoptada por este </w:t>
      </w:r>
      <w:r w:rsidRPr="00552CF8">
        <w:rPr>
          <w:rFonts w:ascii="Arial" w:eastAsia="Arial" w:hAnsi="Arial" w:cs="Arial"/>
          <w:i/>
          <w:iCs/>
          <w:sz w:val="24"/>
          <w:szCs w:val="24"/>
        </w:rPr>
        <w:t>Tribunal Electoral</w:t>
      </w:r>
      <w:r w:rsidRPr="00552CF8">
        <w:rPr>
          <w:rFonts w:ascii="Arial" w:eastAsia="Arial" w:hAnsi="Arial" w:cs="Arial"/>
          <w:sz w:val="24"/>
          <w:szCs w:val="24"/>
        </w:rPr>
        <w:t xml:space="preserve"> </w:t>
      </w:r>
      <w:r w:rsidRPr="00552CF8">
        <w:rPr>
          <w:rFonts w:ascii="Arial" w:eastAsia="Arial" w:hAnsi="Arial" w:cs="Arial"/>
          <w:b/>
          <w:bCs/>
          <w:sz w:val="24"/>
          <w:szCs w:val="24"/>
        </w:rPr>
        <w:t>no implica validar la conducta</w:t>
      </w:r>
      <w:r w:rsidRPr="00552CF8">
        <w:rPr>
          <w:rFonts w:ascii="Arial" w:eastAsia="Arial" w:hAnsi="Arial" w:cs="Arial"/>
          <w:sz w:val="24"/>
          <w:szCs w:val="24"/>
        </w:rPr>
        <w:t xml:space="preserve"> o limitar el derecho de la </w:t>
      </w:r>
      <w:r w:rsidRPr="00552CF8">
        <w:rPr>
          <w:rFonts w:ascii="Arial" w:eastAsia="Arial" w:hAnsi="Arial" w:cs="Arial"/>
          <w:i/>
          <w:iCs/>
          <w:sz w:val="24"/>
          <w:szCs w:val="24"/>
        </w:rPr>
        <w:t>denunciante</w:t>
      </w:r>
      <w:r w:rsidRPr="00552CF8">
        <w:rPr>
          <w:rFonts w:ascii="Arial" w:eastAsia="Arial" w:hAnsi="Arial" w:cs="Arial"/>
          <w:sz w:val="24"/>
          <w:szCs w:val="24"/>
        </w:rPr>
        <w:t xml:space="preserve"> a acudir a otras instancias para hacer valer la posible afectación a sus derechos.</w:t>
      </w:r>
    </w:p>
    <w:p w14:paraId="1E2C4658" w14:textId="4AFEF8EC" w:rsidR="00BE1E74" w:rsidRDefault="00AB5582">
      <w:pPr>
        <w:spacing w:before="240" w:after="0" w:line="360" w:lineRule="auto"/>
        <w:jc w:val="both"/>
        <w:textAlignment w:val="baseline"/>
        <w:rPr>
          <w:rFonts w:ascii="Arial" w:eastAsia="Arial" w:hAnsi="Arial" w:cs="Arial"/>
          <w:sz w:val="24"/>
          <w:szCs w:val="24"/>
        </w:rPr>
      </w:pPr>
      <w:r w:rsidRPr="00552CF8">
        <w:rPr>
          <w:rFonts w:ascii="Arial" w:hAnsi="Arial" w:cs="Arial"/>
          <w:sz w:val="24"/>
          <w:szCs w:val="24"/>
        </w:rPr>
        <w:t>En este sentido, respecto al señalamiento</w:t>
      </w:r>
      <w:r>
        <w:rPr>
          <w:rFonts w:ascii="Arial" w:hAnsi="Arial" w:cs="Arial"/>
          <w:sz w:val="24"/>
          <w:szCs w:val="24"/>
        </w:rPr>
        <w:t xml:space="preserve"> de la </w:t>
      </w:r>
      <w:r>
        <w:rPr>
          <w:rFonts w:ascii="Arial" w:hAnsi="Arial" w:cs="Arial"/>
          <w:i/>
          <w:iCs/>
          <w:sz w:val="24"/>
          <w:szCs w:val="24"/>
        </w:rPr>
        <w:t>denunciante</w:t>
      </w:r>
      <w:r>
        <w:rPr>
          <w:rFonts w:ascii="Arial" w:hAnsi="Arial" w:cs="Arial"/>
          <w:sz w:val="24"/>
          <w:szCs w:val="24"/>
        </w:rPr>
        <w:t xml:space="preserve"> respecto a que la propaganda denunciada vulneraba su </w:t>
      </w:r>
      <w:r>
        <w:rPr>
          <w:rFonts w:ascii="Arial" w:hAnsi="Arial" w:cs="Arial"/>
          <w:b/>
          <w:bCs/>
          <w:color w:val="000000"/>
          <w:sz w:val="24"/>
          <w:szCs w:val="24"/>
        </w:rPr>
        <w:t>derecho a la propiedad</w:t>
      </w:r>
      <w:r>
        <w:rPr>
          <w:rFonts w:ascii="Arial" w:hAnsi="Arial" w:cs="Arial"/>
          <w:color w:val="000000"/>
          <w:sz w:val="24"/>
          <w:szCs w:val="24"/>
        </w:rPr>
        <w:t xml:space="preserve">, es dable precisar </w:t>
      </w:r>
      <w:r>
        <w:rPr>
          <w:rFonts w:ascii="Arial" w:eastAsia="Arial" w:hAnsi="Arial" w:cs="Arial"/>
          <w:sz w:val="24"/>
          <w:szCs w:val="24"/>
        </w:rPr>
        <w:t xml:space="preserve">que, la exigencia prevista en la normativa electoral —permiso para colocar o fijar propaganda electoral— no tutela el </w:t>
      </w:r>
      <w:r>
        <w:rPr>
          <w:rFonts w:ascii="Arial" w:eastAsia="Arial" w:hAnsi="Arial" w:cs="Arial"/>
          <w:b/>
          <w:bCs/>
          <w:sz w:val="24"/>
          <w:szCs w:val="24"/>
        </w:rPr>
        <w:t>derecho de propiedad</w:t>
      </w:r>
      <w:r>
        <w:rPr>
          <w:rFonts w:ascii="Arial" w:eastAsia="Arial" w:hAnsi="Arial" w:cs="Arial"/>
          <w:sz w:val="24"/>
          <w:szCs w:val="24"/>
        </w:rPr>
        <w:t xml:space="preserve"> sobre el inmueble involucrado, por lo que su efecto se limita única y exclusivamente a la materia electoral; de ahí que, este</w:t>
      </w:r>
      <w:r>
        <w:rPr>
          <w:rFonts w:ascii="Arial" w:hAnsi="Arial" w:cs="Arial"/>
          <w:sz w:val="24"/>
          <w:szCs w:val="24"/>
        </w:rPr>
        <w:t xml:space="preserve"> </w:t>
      </w:r>
      <w:r>
        <w:rPr>
          <w:rFonts w:ascii="Arial" w:hAnsi="Arial" w:cs="Arial"/>
          <w:i/>
          <w:iCs/>
          <w:sz w:val="24"/>
          <w:szCs w:val="24"/>
        </w:rPr>
        <w:t>Tribunal Electoral</w:t>
      </w:r>
      <w:r>
        <w:rPr>
          <w:rFonts w:ascii="Arial" w:hAnsi="Arial" w:cs="Arial"/>
          <w:sz w:val="24"/>
          <w:szCs w:val="24"/>
        </w:rPr>
        <w:t xml:space="preserve"> n</w:t>
      </w:r>
      <w:r>
        <w:rPr>
          <w:rFonts w:ascii="Arial" w:hAnsi="Arial" w:cs="Arial"/>
          <w:color w:val="000000"/>
          <w:sz w:val="24"/>
          <w:szCs w:val="24"/>
        </w:rPr>
        <w:t>o puede pronunciarse al respecto</w:t>
      </w:r>
      <w:r>
        <w:rPr>
          <w:rStyle w:val="Refdenotaalpie"/>
          <w:rFonts w:ascii="Arial" w:hAnsi="Arial" w:cs="Arial"/>
          <w:color w:val="000000"/>
          <w:sz w:val="24"/>
          <w:szCs w:val="24"/>
        </w:rPr>
        <w:footnoteReference w:id="32"/>
      </w:r>
      <w:r>
        <w:rPr>
          <w:rFonts w:ascii="Arial" w:hAnsi="Arial" w:cs="Arial"/>
          <w:color w:val="000000"/>
          <w:sz w:val="24"/>
          <w:szCs w:val="24"/>
        </w:rPr>
        <w:t>. E</w:t>
      </w:r>
      <w:r>
        <w:rPr>
          <w:rFonts w:ascii="Arial" w:eastAsia="Arial" w:hAnsi="Arial" w:cs="Arial"/>
          <w:sz w:val="24"/>
          <w:szCs w:val="24"/>
        </w:rPr>
        <w:t xml:space="preserve">n consecuencia, </w:t>
      </w:r>
      <w:r>
        <w:rPr>
          <w:rFonts w:ascii="Arial" w:hAnsi="Arial" w:cs="Arial"/>
          <w:color w:val="000000"/>
          <w:sz w:val="24"/>
          <w:szCs w:val="24"/>
        </w:rPr>
        <w:t>se dejan a salvo los derechos de la quejosa para que, de así considerarlo, los haga valer en los términos y en la vía que estime pertinente</w:t>
      </w:r>
      <w:r w:rsidR="0089403B">
        <w:rPr>
          <w:rFonts w:ascii="Arial" w:hAnsi="Arial" w:cs="Arial"/>
          <w:color w:val="000000"/>
          <w:sz w:val="24"/>
          <w:szCs w:val="24"/>
        </w:rPr>
        <w:t>.</w:t>
      </w:r>
    </w:p>
    <w:p w14:paraId="23936CF2" w14:textId="77777777" w:rsidR="00BE1E74" w:rsidRDefault="00D330BE">
      <w:pPr>
        <w:widowControl w:val="0"/>
        <w:spacing w:before="240" w:after="0" w:line="360" w:lineRule="auto"/>
        <w:jc w:val="both"/>
        <w:rPr>
          <w:rFonts w:ascii="Arial" w:hAnsi="Arial" w:cs="Arial"/>
          <w:sz w:val="24"/>
          <w:szCs w:val="24"/>
        </w:rPr>
      </w:pPr>
      <w:bookmarkStart w:id="54" w:name="_Toc173160581"/>
      <w:bookmarkEnd w:id="9"/>
      <w:r>
        <w:rPr>
          <w:rFonts w:ascii="Arial" w:hAnsi="Arial" w:cs="Arial"/>
          <w:sz w:val="24"/>
          <w:szCs w:val="24"/>
        </w:rPr>
        <w:lastRenderedPageBreak/>
        <w:t>Por lo anteriormente expuesto y fundado, se emiten los siguientes:</w:t>
      </w:r>
    </w:p>
    <w:p w14:paraId="69C7449F" w14:textId="77777777" w:rsidR="00BE1E74" w:rsidRDefault="00D330BE">
      <w:pPr>
        <w:pStyle w:val="Ttulo1"/>
        <w:jc w:val="center"/>
        <w:rPr>
          <w:rFonts w:ascii="Arial" w:eastAsia="Arial" w:hAnsi="Arial" w:cs="Arial"/>
          <w:b/>
          <w:bCs/>
          <w:color w:val="auto"/>
          <w:sz w:val="24"/>
          <w:szCs w:val="24"/>
        </w:rPr>
      </w:pPr>
      <w:bookmarkStart w:id="55" w:name="_Toc242354052"/>
      <w:bookmarkEnd w:id="54"/>
      <w:r>
        <w:rPr>
          <w:rFonts w:ascii="Arial" w:eastAsia="Arial" w:hAnsi="Arial" w:cs="Arial"/>
          <w:b/>
          <w:bCs/>
          <w:color w:val="auto"/>
          <w:sz w:val="24"/>
          <w:szCs w:val="24"/>
        </w:rPr>
        <w:t>VIII. RESOLUTIVOS</w:t>
      </w:r>
      <w:bookmarkEnd w:id="55"/>
    </w:p>
    <w:p w14:paraId="1CA07742" w14:textId="77777777" w:rsidR="00BE1E74" w:rsidRDefault="00D330BE">
      <w:pPr>
        <w:pStyle w:val="NormalWeb"/>
        <w:spacing w:before="240" w:beforeAutospacing="0" w:after="0" w:afterAutospacing="0" w:line="360" w:lineRule="auto"/>
        <w:jc w:val="both"/>
        <w:textAlignment w:val="baseline"/>
        <w:rPr>
          <w:rFonts w:ascii="Arial" w:hAnsi="Arial" w:cs="Arial"/>
        </w:rPr>
      </w:pPr>
      <w:bookmarkStart w:id="56" w:name="_Hlk173139279"/>
      <w:r>
        <w:rPr>
          <w:rStyle w:val="Fuerte"/>
          <w:rFonts w:ascii="Arial" w:hAnsi="Arial" w:cs="Arial"/>
        </w:rPr>
        <w:t xml:space="preserve">PRIMERO. </w:t>
      </w:r>
      <w:r>
        <w:rPr>
          <w:rFonts w:ascii="Arial" w:hAnsi="Arial" w:cs="Arial"/>
        </w:rPr>
        <w:t>Se declara la</w:t>
      </w:r>
      <w:r>
        <w:rPr>
          <w:rStyle w:val="Fuerte"/>
          <w:rFonts w:ascii="Arial" w:hAnsi="Arial" w:cs="Arial"/>
        </w:rPr>
        <w:t xml:space="preserve"> inexistencia</w:t>
      </w:r>
      <w:r>
        <w:rPr>
          <w:rFonts w:ascii="Arial" w:hAnsi="Arial" w:cs="Arial"/>
        </w:rPr>
        <w:t xml:space="preserve"> de la infracción denunciada.</w:t>
      </w:r>
    </w:p>
    <w:p w14:paraId="530BDD3E" w14:textId="77777777" w:rsidR="00BE1E74" w:rsidRDefault="00D330BE">
      <w:pPr>
        <w:pStyle w:val="NormalWeb"/>
        <w:spacing w:before="240" w:beforeAutospacing="0" w:after="0" w:afterAutospacing="0" w:line="360" w:lineRule="auto"/>
        <w:jc w:val="both"/>
        <w:textAlignment w:val="baseline"/>
        <w:rPr>
          <w:rFonts w:ascii="Arial" w:hAnsi="Arial" w:cs="Arial"/>
        </w:rPr>
      </w:pPr>
      <w:r>
        <w:rPr>
          <w:rFonts w:ascii="Arial" w:hAnsi="Arial" w:cs="Arial"/>
          <w:b/>
          <w:bCs/>
        </w:rPr>
        <w:t xml:space="preserve">SEGUNDO. </w:t>
      </w:r>
      <w:r>
        <w:rPr>
          <w:rFonts w:ascii="Arial" w:hAnsi="Arial" w:cs="Arial"/>
        </w:rPr>
        <w:t xml:space="preserve">Se dejan a </w:t>
      </w:r>
      <w:r>
        <w:rPr>
          <w:rFonts w:ascii="Arial" w:hAnsi="Arial" w:cs="Arial"/>
          <w:b/>
          <w:bCs/>
        </w:rPr>
        <w:t>salvo los derechos</w:t>
      </w:r>
      <w:r>
        <w:rPr>
          <w:rFonts w:ascii="Arial" w:hAnsi="Arial" w:cs="Arial"/>
        </w:rPr>
        <w:t xml:space="preserve"> de la denunciante, conforme a lo señalado en la sentencia.</w:t>
      </w:r>
    </w:p>
    <w:bookmarkEnd w:id="56"/>
    <w:p w14:paraId="09336B31" w14:textId="5B5E46BC" w:rsidR="00BE1E74" w:rsidRDefault="00D330BE">
      <w:pPr>
        <w:pStyle w:val="NormalWeb"/>
        <w:spacing w:before="240" w:beforeAutospacing="0" w:after="0" w:afterAutospacing="0" w:line="360" w:lineRule="auto"/>
        <w:jc w:val="both"/>
        <w:textAlignment w:val="baseline"/>
        <w:rPr>
          <w:rFonts w:ascii="Arial" w:eastAsia="Arial" w:hAnsi="Arial" w:cs="Arial"/>
        </w:rPr>
      </w:pPr>
      <w:r>
        <w:rPr>
          <w:rFonts w:ascii="Arial" w:eastAsia="Arial" w:hAnsi="Arial" w:cs="Arial"/>
          <w:b/>
          <w:bCs/>
        </w:rPr>
        <w:t xml:space="preserve">NOTIFÍQUESE. Personalmente </w:t>
      </w:r>
      <w:r>
        <w:rPr>
          <w:rFonts w:ascii="Arial" w:eastAsia="Arial" w:hAnsi="Arial" w:cs="Arial"/>
        </w:rPr>
        <w:t>a la denunciante y a los denunciados;</w:t>
      </w:r>
      <w:r>
        <w:rPr>
          <w:rFonts w:ascii="Arial" w:eastAsia="Arial" w:hAnsi="Arial" w:cs="Arial"/>
          <w:color w:val="000000" w:themeColor="text1"/>
        </w:rPr>
        <w:t xml:space="preserve"> por </w:t>
      </w:r>
      <w:r>
        <w:rPr>
          <w:rFonts w:ascii="Arial" w:eastAsia="Arial" w:hAnsi="Arial" w:cs="Arial"/>
          <w:b/>
          <w:bCs/>
        </w:rPr>
        <w:t>oficio</w:t>
      </w:r>
      <w:r>
        <w:rPr>
          <w:rFonts w:ascii="Arial" w:eastAsia="Arial" w:hAnsi="Arial" w:cs="Arial"/>
        </w:rPr>
        <w:t xml:space="preserve"> al Instituto Electoral de Michoacán, por conducto de </w:t>
      </w:r>
      <w:r w:rsidR="0089403B">
        <w:rPr>
          <w:rFonts w:ascii="Arial" w:eastAsia="Arial" w:hAnsi="Arial" w:cs="Arial"/>
        </w:rPr>
        <w:t>su</w:t>
      </w:r>
      <w:r>
        <w:rPr>
          <w:rFonts w:ascii="Arial" w:eastAsia="Arial" w:hAnsi="Arial" w:cs="Arial"/>
        </w:rPr>
        <w:t xml:space="preserve"> Secretaría Ejecutiva; y por </w:t>
      </w:r>
      <w:r>
        <w:rPr>
          <w:rFonts w:ascii="Arial" w:eastAsia="Arial" w:hAnsi="Arial" w:cs="Arial"/>
          <w:b/>
          <w:bCs/>
          <w:color w:val="000000" w:themeColor="text1"/>
        </w:rPr>
        <w:t>estrados</w:t>
      </w:r>
      <w:r>
        <w:rPr>
          <w:rFonts w:ascii="Arial" w:eastAsia="Arial" w:hAnsi="Arial" w:cs="Arial"/>
          <w:color w:val="000000" w:themeColor="text1"/>
        </w:rPr>
        <w:t xml:space="preserve"> a los demás interesados</w:t>
      </w:r>
      <w:r>
        <w:rPr>
          <w:rFonts w:ascii="Arial" w:eastAsia="Arial" w:hAnsi="Arial" w:cs="Arial"/>
        </w:rPr>
        <w:t>. L</w:t>
      </w:r>
      <w:r>
        <w:rPr>
          <w:rFonts w:ascii="Arial" w:eastAsia="Arial" w:hAnsi="Arial" w:cs="Arial"/>
          <w:color w:val="000000" w:themeColor="text1"/>
        </w:rPr>
        <w:t xml:space="preserve">o anterior con fundamento en los artículos 37, fracciones I, II y III, y 39 de la </w:t>
      </w:r>
      <w:r>
        <w:rPr>
          <w:rFonts w:ascii="Arial" w:eastAsia="Arial" w:hAnsi="Arial" w:cs="Arial"/>
          <w:i/>
          <w:iCs/>
          <w:color w:val="000000" w:themeColor="text1"/>
        </w:rPr>
        <w:t>Ley de Justicia Electoral</w:t>
      </w:r>
      <w:r>
        <w:rPr>
          <w:rFonts w:ascii="Arial" w:eastAsia="Arial" w:hAnsi="Arial" w:cs="Arial"/>
          <w:color w:val="000000" w:themeColor="text1"/>
        </w:rPr>
        <w:t xml:space="preserve">; artículo 140 del Reglamento Interior del </w:t>
      </w:r>
      <w:r>
        <w:rPr>
          <w:rFonts w:ascii="Arial" w:eastAsia="Arial" w:hAnsi="Arial" w:cs="Arial"/>
          <w:i/>
          <w:iCs/>
          <w:color w:val="000000" w:themeColor="text1"/>
        </w:rPr>
        <w:t>Tribunal Electoral</w:t>
      </w:r>
      <w:r>
        <w:rPr>
          <w:rFonts w:ascii="Arial" w:eastAsia="Arial" w:hAnsi="Arial" w:cs="Arial"/>
          <w:color w:val="000000" w:themeColor="text1"/>
        </w:rPr>
        <w:t xml:space="preserve">, así </w:t>
      </w:r>
      <w:r>
        <w:rPr>
          <w:rFonts w:ascii="Arial" w:eastAsia="Arial" w:hAnsi="Arial" w:cs="Arial"/>
        </w:rPr>
        <w:t xml:space="preserve">como 32 y 35 de los Lineamientos del Tribunal Electoral del Estado para el uso de Tecnologías de la Información y comunicación en las sesiones, reuniones, recepción de medios de impugnación y procedimientos, promociones y notificaciones. </w:t>
      </w:r>
    </w:p>
    <w:p w14:paraId="6598A9E4" w14:textId="77777777" w:rsidR="004914D9" w:rsidRDefault="004914D9">
      <w:pPr>
        <w:pStyle w:val="NormalWeb"/>
        <w:spacing w:before="240" w:beforeAutospacing="0" w:after="0" w:afterAutospacing="0" w:line="360" w:lineRule="auto"/>
        <w:jc w:val="both"/>
        <w:textAlignment w:val="baseline"/>
        <w:rPr>
          <w:rFonts w:ascii="Arial" w:eastAsia="Arial" w:hAnsi="Arial" w:cs="Arial"/>
        </w:rPr>
      </w:pPr>
      <w:r w:rsidRPr="004914D9">
        <w:rPr>
          <w:rFonts w:ascii="Arial" w:eastAsia="Arial" w:hAnsi="Arial" w:cs="Arial"/>
        </w:rPr>
        <w:t xml:space="preserve">Así, en sesión pública celebrada el día de hoy, a las catorce horas con treinta y seis minutos, por unanimidad de votos, lo resolvieron y firman las Magistraturas Integrantes del Pleno del Tribunal Electoral del Estado, la Magistrada Presidenta </w:t>
      </w:r>
      <w:proofErr w:type="spellStart"/>
      <w:r w:rsidRPr="004914D9">
        <w:rPr>
          <w:rFonts w:ascii="Arial" w:eastAsia="Arial" w:hAnsi="Arial" w:cs="Arial"/>
        </w:rPr>
        <w:t>Amelí</w:t>
      </w:r>
      <w:proofErr w:type="spellEnd"/>
      <w:r w:rsidRPr="004914D9">
        <w:rPr>
          <w:rFonts w:ascii="Arial" w:eastAsia="Arial" w:hAnsi="Arial" w:cs="Arial"/>
        </w:rPr>
        <w:t xml:space="preserve"> Gissel Navarro Lepe, las Magistradas </w:t>
      </w:r>
      <w:proofErr w:type="spellStart"/>
      <w:r w:rsidRPr="004914D9">
        <w:rPr>
          <w:rFonts w:ascii="Arial" w:eastAsia="Arial" w:hAnsi="Arial" w:cs="Arial"/>
        </w:rPr>
        <w:t>Yurisha</w:t>
      </w:r>
      <w:proofErr w:type="spellEnd"/>
      <w:r w:rsidRPr="004914D9">
        <w:rPr>
          <w:rFonts w:ascii="Arial" w:eastAsia="Arial" w:hAnsi="Arial" w:cs="Arial"/>
        </w:rPr>
        <w:t xml:space="preserve"> Andrade Morales y Alma Rosa Bahena Villalobos Pinedo -quien fue ponente-, así como los Magistrados Adrián Hernández y Eric López Villaseñor, ante el Secretario General de Acuerdos, Víctor Hugo Arroyo Sandoval, quien autoriza y da fe. Conste.</w:t>
      </w:r>
    </w:p>
    <w:tbl>
      <w:tblPr>
        <w:tblStyle w:val="TableNormal1"/>
        <w:tblW w:w="8355" w:type="dxa"/>
        <w:jc w:val="center"/>
        <w:tblInd w:w="0" w:type="dxa"/>
        <w:tblLayout w:type="fixed"/>
        <w:tblLook w:val="0400" w:firstRow="0" w:lastRow="0" w:firstColumn="0" w:lastColumn="0" w:noHBand="0" w:noVBand="1"/>
      </w:tblPr>
      <w:tblGrid>
        <w:gridCol w:w="3952"/>
        <w:gridCol w:w="4403"/>
      </w:tblGrid>
      <w:tr w:rsidR="004914D9" w:rsidRPr="00F14ED1" w14:paraId="4DA94129" w14:textId="77777777" w:rsidTr="009A3FD9">
        <w:trPr>
          <w:jc w:val="center"/>
        </w:trPr>
        <w:tc>
          <w:tcPr>
            <w:tcW w:w="8355" w:type="dxa"/>
            <w:gridSpan w:val="2"/>
          </w:tcPr>
          <w:p w14:paraId="2CBA846B" w14:textId="77777777" w:rsidR="004914D9" w:rsidRPr="00F14ED1" w:rsidRDefault="004914D9" w:rsidP="009A3FD9">
            <w:pPr>
              <w:pBdr>
                <w:top w:val="nil"/>
                <w:left w:val="nil"/>
                <w:bottom w:val="nil"/>
                <w:right w:val="nil"/>
                <w:between w:val="nil"/>
              </w:pBdr>
              <w:spacing w:after="0"/>
              <w:rPr>
                <w:rFonts w:ascii="Arial" w:eastAsia="Arial" w:hAnsi="Arial" w:cs="Arial"/>
                <w:b/>
                <w:color w:val="000000"/>
                <w:sz w:val="24"/>
                <w:szCs w:val="24"/>
                <w:lang w:val="it-IT"/>
              </w:rPr>
            </w:pPr>
          </w:p>
          <w:p w14:paraId="0A76C8A1"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it-IT"/>
              </w:rPr>
            </w:pPr>
            <w:r w:rsidRPr="00F14ED1">
              <w:rPr>
                <w:rFonts w:ascii="Arial" w:eastAsia="Arial" w:hAnsi="Arial" w:cs="Arial"/>
                <w:b/>
                <w:color w:val="000000"/>
                <w:sz w:val="24"/>
                <w:szCs w:val="24"/>
                <w:lang w:val="it-IT"/>
              </w:rPr>
              <w:t>MAGISTRADA PRESIDENTA</w:t>
            </w:r>
          </w:p>
          <w:p w14:paraId="09FB6E1B"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it-IT"/>
              </w:rPr>
            </w:pPr>
          </w:p>
          <w:p w14:paraId="7634B708"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it-IT"/>
              </w:rPr>
            </w:pPr>
          </w:p>
          <w:p w14:paraId="599C4AE7" w14:textId="77777777" w:rsidR="001B06E8" w:rsidRDefault="001B06E8" w:rsidP="009A3FD9">
            <w:pPr>
              <w:pBdr>
                <w:top w:val="nil"/>
                <w:left w:val="nil"/>
                <w:bottom w:val="nil"/>
                <w:right w:val="nil"/>
                <w:between w:val="nil"/>
              </w:pBdr>
              <w:spacing w:after="0"/>
              <w:jc w:val="center"/>
              <w:rPr>
                <w:rFonts w:ascii="Arial" w:eastAsia="Arial" w:hAnsi="Arial" w:cs="Arial"/>
                <w:b/>
                <w:color w:val="000000"/>
                <w:sz w:val="24"/>
                <w:szCs w:val="24"/>
                <w:lang w:val="it-IT"/>
              </w:rPr>
            </w:pPr>
          </w:p>
          <w:p w14:paraId="7FFC2482" w14:textId="77777777" w:rsidR="001B06E8" w:rsidRPr="00F14ED1" w:rsidRDefault="001B06E8" w:rsidP="009A3FD9">
            <w:pPr>
              <w:pBdr>
                <w:top w:val="nil"/>
                <w:left w:val="nil"/>
                <w:bottom w:val="nil"/>
                <w:right w:val="nil"/>
                <w:between w:val="nil"/>
              </w:pBdr>
              <w:spacing w:after="0"/>
              <w:jc w:val="center"/>
              <w:rPr>
                <w:rFonts w:ascii="Arial" w:eastAsia="Arial" w:hAnsi="Arial" w:cs="Arial"/>
                <w:b/>
                <w:color w:val="000000"/>
                <w:sz w:val="24"/>
                <w:szCs w:val="24"/>
                <w:lang w:val="it-IT"/>
              </w:rPr>
            </w:pPr>
          </w:p>
          <w:p w14:paraId="5F5EA9E9"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lang w:val="it-IT"/>
              </w:rPr>
            </w:pPr>
            <w:r w:rsidRPr="00F14ED1">
              <w:rPr>
                <w:rFonts w:ascii="Arial" w:eastAsia="Arial" w:hAnsi="Arial" w:cs="Arial"/>
                <w:b/>
                <w:color w:val="000000"/>
                <w:sz w:val="24"/>
                <w:szCs w:val="24"/>
                <w:lang w:val="it-IT"/>
              </w:rPr>
              <w:t>AMELÍ GISSEL NAVARRO LEPE</w:t>
            </w:r>
          </w:p>
        </w:tc>
      </w:tr>
      <w:tr w:rsidR="004914D9" w:rsidRPr="00F14ED1" w14:paraId="084C6D33" w14:textId="77777777" w:rsidTr="009A3FD9">
        <w:trPr>
          <w:jc w:val="center"/>
        </w:trPr>
        <w:tc>
          <w:tcPr>
            <w:tcW w:w="3952" w:type="dxa"/>
          </w:tcPr>
          <w:p w14:paraId="7135A2D9"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31B560AF"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164AEB2D"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MAGISTRADA</w:t>
            </w:r>
          </w:p>
          <w:p w14:paraId="532CC968"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78376D20"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0162565F"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49420EEA" w14:textId="77777777" w:rsidR="001B06E8" w:rsidRPr="00F14ED1" w:rsidRDefault="001B06E8" w:rsidP="009A3FD9">
            <w:pPr>
              <w:pBdr>
                <w:top w:val="nil"/>
                <w:left w:val="nil"/>
                <w:bottom w:val="nil"/>
                <w:right w:val="nil"/>
                <w:between w:val="nil"/>
              </w:pBdr>
              <w:spacing w:after="0"/>
              <w:jc w:val="center"/>
              <w:rPr>
                <w:rFonts w:ascii="Arial" w:eastAsia="Arial" w:hAnsi="Arial" w:cs="Arial"/>
                <w:b/>
                <w:color w:val="000000"/>
                <w:sz w:val="24"/>
                <w:szCs w:val="24"/>
              </w:rPr>
            </w:pPr>
          </w:p>
          <w:p w14:paraId="349823CC"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YURISHA ANDRADE MORALES</w:t>
            </w:r>
          </w:p>
        </w:tc>
        <w:tc>
          <w:tcPr>
            <w:tcW w:w="4403" w:type="dxa"/>
          </w:tcPr>
          <w:p w14:paraId="4BA2262C"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269F3BE4"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45C96A27"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MAGISTRADA</w:t>
            </w:r>
          </w:p>
          <w:p w14:paraId="5AFA2937"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4A0C1505"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4C8F4C30"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5513E487" w14:textId="77777777" w:rsidR="001B06E8" w:rsidRPr="00F14ED1" w:rsidRDefault="001B06E8" w:rsidP="009A3FD9">
            <w:pPr>
              <w:pBdr>
                <w:top w:val="nil"/>
                <w:left w:val="nil"/>
                <w:bottom w:val="nil"/>
                <w:right w:val="nil"/>
                <w:between w:val="nil"/>
              </w:pBdr>
              <w:spacing w:after="0"/>
              <w:jc w:val="center"/>
              <w:rPr>
                <w:rFonts w:ascii="Arial" w:eastAsia="Arial" w:hAnsi="Arial" w:cs="Arial"/>
                <w:b/>
                <w:color w:val="000000"/>
                <w:sz w:val="24"/>
                <w:szCs w:val="24"/>
              </w:rPr>
            </w:pPr>
          </w:p>
          <w:p w14:paraId="306AB271"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ALMA ROSA BAHENA VILLALOBOS</w:t>
            </w:r>
          </w:p>
        </w:tc>
      </w:tr>
      <w:tr w:rsidR="004914D9" w:rsidRPr="00F14ED1" w14:paraId="7008AFB1" w14:textId="77777777" w:rsidTr="009A3FD9">
        <w:trPr>
          <w:jc w:val="center"/>
        </w:trPr>
        <w:tc>
          <w:tcPr>
            <w:tcW w:w="3952" w:type="dxa"/>
          </w:tcPr>
          <w:p w14:paraId="7705F053"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39E1A633"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20B1CAB8"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MAGISTRADO</w:t>
            </w:r>
          </w:p>
          <w:p w14:paraId="5FBAC6AA"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1B644F16"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77705405" w14:textId="77777777" w:rsidR="001B06E8" w:rsidRDefault="001B06E8" w:rsidP="009A3FD9">
            <w:pPr>
              <w:pBdr>
                <w:top w:val="nil"/>
                <w:left w:val="nil"/>
                <w:bottom w:val="nil"/>
                <w:right w:val="nil"/>
                <w:between w:val="nil"/>
              </w:pBdr>
              <w:spacing w:after="0"/>
              <w:jc w:val="center"/>
              <w:rPr>
                <w:rFonts w:ascii="Arial" w:eastAsia="Arial" w:hAnsi="Arial" w:cs="Arial"/>
                <w:b/>
                <w:color w:val="000000"/>
                <w:sz w:val="24"/>
                <w:szCs w:val="24"/>
              </w:rPr>
            </w:pPr>
          </w:p>
          <w:p w14:paraId="723AC4F9"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53A37752"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ADRIÁN HERNÁNDEZ PINEDO</w:t>
            </w:r>
          </w:p>
        </w:tc>
        <w:tc>
          <w:tcPr>
            <w:tcW w:w="4403" w:type="dxa"/>
          </w:tcPr>
          <w:p w14:paraId="41257029"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544CB9E6"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1E8480B4"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r w:rsidRPr="00F14ED1">
              <w:rPr>
                <w:rFonts w:ascii="Arial" w:eastAsia="Arial" w:hAnsi="Arial" w:cs="Arial"/>
                <w:b/>
                <w:color w:val="000000"/>
                <w:sz w:val="24"/>
                <w:szCs w:val="24"/>
                <w:lang w:val="pt-PT"/>
              </w:rPr>
              <w:t>MAGISTRADO</w:t>
            </w:r>
          </w:p>
          <w:p w14:paraId="5C4A2C31"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248E337C"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7E59F429"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5A0A4DD7" w14:textId="77777777" w:rsidR="001B06E8" w:rsidRPr="00F14ED1" w:rsidRDefault="001B06E8" w:rsidP="009A3FD9">
            <w:pPr>
              <w:pBdr>
                <w:top w:val="nil"/>
                <w:left w:val="nil"/>
                <w:bottom w:val="nil"/>
                <w:right w:val="nil"/>
                <w:between w:val="nil"/>
              </w:pBdr>
              <w:spacing w:after="0"/>
              <w:jc w:val="center"/>
              <w:rPr>
                <w:rFonts w:ascii="Arial" w:eastAsia="Arial" w:hAnsi="Arial" w:cs="Arial"/>
                <w:b/>
                <w:color w:val="000000"/>
                <w:sz w:val="24"/>
                <w:szCs w:val="24"/>
                <w:lang w:val="pt-PT"/>
              </w:rPr>
            </w:pPr>
          </w:p>
          <w:p w14:paraId="5BF8BA1C"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lang w:val="pt-PT"/>
              </w:rPr>
            </w:pPr>
            <w:r w:rsidRPr="00F14ED1">
              <w:rPr>
                <w:rFonts w:ascii="Arial" w:eastAsia="Arial" w:hAnsi="Arial" w:cs="Arial"/>
                <w:b/>
                <w:color w:val="000000"/>
                <w:sz w:val="24"/>
                <w:szCs w:val="24"/>
              </w:rPr>
              <w:t>ERIC LÓPEZ VILLASEÑOR</w:t>
            </w:r>
          </w:p>
        </w:tc>
      </w:tr>
      <w:tr w:rsidR="004914D9" w:rsidRPr="00F14ED1" w14:paraId="60A104E8" w14:textId="77777777" w:rsidTr="009A3FD9">
        <w:trPr>
          <w:jc w:val="center"/>
        </w:trPr>
        <w:tc>
          <w:tcPr>
            <w:tcW w:w="8355" w:type="dxa"/>
            <w:gridSpan w:val="2"/>
          </w:tcPr>
          <w:p w14:paraId="18490C3E"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45677293"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2CA35941"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SECRETARIO GENERAL DE ACUERDOS</w:t>
            </w:r>
          </w:p>
          <w:p w14:paraId="11A3E304"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5748C01B"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6B47D49C" w14:textId="77777777" w:rsidR="001B06E8" w:rsidRDefault="001B06E8" w:rsidP="009A3FD9">
            <w:pPr>
              <w:pBdr>
                <w:top w:val="nil"/>
                <w:left w:val="nil"/>
                <w:bottom w:val="nil"/>
                <w:right w:val="nil"/>
                <w:between w:val="nil"/>
              </w:pBdr>
              <w:spacing w:after="0"/>
              <w:jc w:val="center"/>
              <w:rPr>
                <w:rFonts w:ascii="Arial" w:eastAsia="Arial" w:hAnsi="Arial" w:cs="Arial"/>
                <w:b/>
                <w:color w:val="000000"/>
                <w:sz w:val="24"/>
                <w:szCs w:val="24"/>
              </w:rPr>
            </w:pPr>
          </w:p>
          <w:p w14:paraId="1CFEB9BB"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589B5974"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VÍCTOR HUGO ARROYO SANDOVAL</w:t>
            </w:r>
          </w:p>
          <w:p w14:paraId="1B6FC0ED" w14:textId="77777777" w:rsidR="004914D9"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p w14:paraId="73280050" w14:textId="77777777" w:rsidR="004914D9" w:rsidRPr="00F14ED1" w:rsidRDefault="004914D9" w:rsidP="009A3FD9">
            <w:pPr>
              <w:pBdr>
                <w:top w:val="nil"/>
                <w:left w:val="nil"/>
                <w:bottom w:val="nil"/>
                <w:right w:val="nil"/>
                <w:between w:val="nil"/>
              </w:pBdr>
              <w:spacing w:after="0"/>
              <w:jc w:val="center"/>
              <w:rPr>
                <w:rFonts w:ascii="Arial" w:eastAsia="Arial" w:hAnsi="Arial" w:cs="Arial"/>
                <w:b/>
                <w:color w:val="000000"/>
                <w:sz w:val="24"/>
                <w:szCs w:val="24"/>
              </w:rPr>
            </w:pPr>
          </w:p>
        </w:tc>
      </w:tr>
    </w:tbl>
    <w:p w14:paraId="572103C8" w14:textId="3291715A" w:rsidR="004914D9" w:rsidRDefault="004914D9" w:rsidP="004914D9">
      <w:pPr>
        <w:pStyle w:val="Textoindependiente"/>
        <w:spacing w:after="0"/>
        <w:jc w:val="both"/>
        <w:rPr>
          <w:rFonts w:ascii="Arial Narrow" w:eastAsia="Arial Narrow" w:hAnsi="Arial Narrow" w:cs="Arial"/>
          <w:b/>
          <w:bCs/>
          <w:sz w:val="20"/>
          <w:szCs w:val="20"/>
        </w:rPr>
      </w:pPr>
      <w:r w:rsidRPr="004772BC">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A2574">
        <w:rPr>
          <w:rFonts w:ascii="Arial Narrow" w:eastAsia="Arial Narrow" w:hAnsi="Arial Narrow" w:cs="Arial"/>
          <w:b/>
          <w:bCs/>
          <w:sz w:val="20"/>
          <w:szCs w:val="20"/>
        </w:rPr>
        <w:t>hago constar</w:t>
      </w:r>
      <w:r w:rsidRPr="004772BC">
        <w:rPr>
          <w:rFonts w:ascii="Arial Narrow" w:eastAsia="Arial Narrow" w:hAnsi="Arial Narrow" w:cs="Arial"/>
          <w:sz w:val="20"/>
          <w:szCs w:val="20"/>
        </w:rPr>
        <w:t xml:space="preserve"> que las firmas</w:t>
      </w:r>
      <w:r>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que obran en el presente documento corresponden a la sentencia emitida por el Pleno del Tribunal Electoral del Estado, en sesión pública celebrada e</w:t>
      </w:r>
      <w:r>
        <w:rPr>
          <w:rFonts w:ascii="Arial Narrow" w:eastAsia="Arial Narrow" w:hAnsi="Arial Narrow" w:cs="Arial"/>
          <w:sz w:val="20"/>
          <w:szCs w:val="20"/>
        </w:rPr>
        <w:t xml:space="preserve">l </w:t>
      </w:r>
      <w:r>
        <w:rPr>
          <w:rFonts w:ascii="Arial Narrow" w:eastAsia="Arial Narrow" w:hAnsi="Arial Narrow"/>
          <w:sz w:val="20"/>
          <w:szCs w:val="20"/>
        </w:rPr>
        <w:t>ocho de</w:t>
      </w:r>
      <w:r w:rsidRPr="0085678F">
        <w:rPr>
          <w:rFonts w:ascii="Arial Narrow" w:eastAsia="Arial Narrow" w:hAnsi="Arial Narrow"/>
          <w:sz w:val="20"/>
          <w:szCs w:val="20"/>
        </w:rPr>
        <w:t xml:space="preserve"> octubre de dos mil veintiséis, </w:t>
      </w:r>
      <w:r w:rsidRPr="004772BC">
        <w:rPr>
          <w:rFonts w:ascii="Arial Narrow" w:eastAsia="Arial Narrow" w:hAnsi="Arial Narrow" w:cs="Arial"/>
          <w:sz w:val="20"/>
          <w:szCs w:val="20"/>
        </w:rPr>
        <w:t xml:space="preserve">dentro del </w:t>
      </w:r>
      <w:r w:rsidR="003247C7">
        <w:rPr>
          <w:rFonts w:ascii="Arial Narrow" w:eastAsia="Arial Narrow" w:hAnsi="Arial Narrow" w:cs="Arial"/>
          <w:sz w:val="20"/>
          <w:szCs w:val="20"/>
        </w:rPr>
        <w:t>Procedimiento Especial Sancionador</w:t>
      </w:r>
      <w:r>
        <w:rPr>
          <w:rFonts w:ascii="Arial Narrow" w:eastAsia="Arial Narrow" w:hAnsi="Arial Narrow" w:cs="Arial"/>
          <w:sz w:val="20"/>
          <w:szCs w:val="20"/>
        </w:rPr>
        <w:t xml:space="preserve"> </w:t>
      </w:r>
      <w:r w:rsidRPr="004772BC">
        <w:rPr>
          <w:rFonts w:ascii="Arial Narrow" w:eastAsia="Arial Narrow" w:hAnsi="Arial Narrow" w:cs="Arial"/>
          <w:sz w:val="20"/>
          <w:szCs w:val="20"/>
        </w:rPr>
        <w:t xml:space="preserve">identificado con la clave </w:t>
      </w:r>
      <w:r w:rsidRPr="004772BC">
        <w:rPr>
          <w:rFonts w:ascii="Arial Narrow" w:eastAsia="Arial Narrow" w:hAnsi="Arial Narrow" w:cs="Arial"/>
          <w:b/>
          <w:bCs/>
          <w:sz w:val="20"/>
          <w:szCs w:val="20"/>
        </w:rPr>
        <w:t>TEEM-</w:t>
      </w:r>
      <w:r w:rsidR="003247C7">
        <w:rPr>
          <w:rFonts w:ascii="Arial Narrow" w:eastAsia="Arial Narrow" w:hAnsi="Arial Narrow" w:cs="Arial"/>
          <w:b/>
          <w:bCs/>
          <w:sz w:val="20"/>
          <w:szCs w:val="20"/>
        </w:rPr>
        <w:t>PES</w:t>
      </w:r>
      <w:r>
        <w:rPr>
          <w:rFonts w:ascii="Arial Narrow" w:eastAsia="Arial Narrow" w:hAnsi="Arial Narrow" w:cs="Arial"/>
          <w:b/>
          <w:bCs/>
          <w:sz w:val="20"/>
          <w:szCs w:val="20"/>
        </w:rPr>
        <w:t>-021/2026</w:t>
      </w:r>
      <w:r w:rsidRPr="004772BC">
        <w:rPr>
          <w:rFonts w:ascii="Arial Narrow" w:eastAsia="Arial Narrow" w:hAnsi="Arial Narrow" w:cs="Arial"/>
          <w:sz w:val="20"/>
          <w:szCs w:val="20"/>
        </w:rPr>
        <w:t xml:space="preserve">, </w:t>
      </w:r>
      <w:r>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Pr>
          <w:rFonts w:ascii="Arial Narrow" w:eastAsia="Arial Narrow" w:hAnsi="Arial Narrow" w:cs="Arial"/>
          <w:sz w:val="20"/>
          <w:szCs w:val="20"/>
        </w:rPr>
        <w:t xml:space="preserve">veintiséis </w:t>
      </w:r>
      <w:r w:rsidRPr="004772BC">
        <w:rPr>
          <w:rFonts w:ascii="Arial Narrow" w:eastAsia="Arial Narrow" w:hAnsi="Arial Narrow" w:cs="Arial"/>
          <w:sz w:val="20"/>
          <w:szCs w:val="20"/>
        </w:rPr>
        <w:t>páginas, incluida la presente</w:t>
      </w:r>
      <w:r>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0E58DC5B" w14:textId="77777777" w:rsidR="004914D9" w:rsidRDefault="004914D9" w:rsidP="004914D9">
      <w:pPr>
        <w:pStyle w:val="Textoindependiente"/>
        <w:spacing w:after="0"/>
        <w:jc w:val="both"/>
        <w:rPr>
          <w:rFonts w:ascii="Arial Narrow" w:eastAsia="Arial Narrow" w:hAnsi="Arial Narrow" w:cs="Arial"/>
          <w:b/>
          <w:bCs/>
          <w:sz w:val="20"/>
          <w:szCs w:val="20"/>
        </w:rPr>
      </w:pPr>
    </w:p>
    <w:p w14:paraId="083F8E6C" w14:textId="77777777" w:rsidR="004914D9" w:rsidRPr="004772BC" w:rsidRDefault="004914D9" w:rsidP="004914D9">
      <w:pPr>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6342F8C7" w14:textId="020A3DAB" w:rsidR="00BE1E74" w:rsidRDefault="00BE1E74" w:rsidP="00CA4618">
      <w:pPr>
        <w:spacing w:before="100" w:beforeAutospacing="1" w:after="100" w:afterAutospacing="1" w:line="240" w:lineRule="auto"/>
        <w:jc w:val="both"/>
        <w:rPr>
          <w:rFonts w:ascii="Arial" w:eastAsia="Times New Roman" w:hAnsi="Arial" w:cs="Arial"/>
          <w:bCs/>
          <w:sz w:val="24"/>
          <w:szCs w:val="24"/>
          <w:lang w:val="es-ES_tradnl"/>
        </w:rPr>
      </w:pPr>
    </w:p>
    <w:sectPr w:rsidR="00BE1E74" w:rsidSect="00112EB9">
      <w:headerReference w:type="default" r:id="rId24"/>
      <w:footerReference w:type="even" r:id="rId25"/>
      <w:footerReference w:type="default" r:id="rId26"/>
      <w:headerReference w:type="first" r:id="rId27"/>
      <w:footerReference w:type="first" r:id="rId28"/>
      <w:pgSz w:w="12242" w:h="19295"/>
      <w:pgMar w:top="1418" w:right="1894" w:bottom="1134" w:left="2835"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0FDC" w14:textId="77777777" w:rsidR="004502BB" w:rsidRDefault="004502BB">
      <w:pPr>
        <w:spacing w:after="0" w:line="240" w:lineRule="auto"/>
      </w:pPr>
      <w:r>
        <w:separator/>
      </w:r>
    </w:p>
  </w:endnote>
  <w:endnote w:type="continuationSeparator" w:id="0">
    <w:p w14:paraId="68F2D545" w14:textId="77777777" w:rsidR="004502BB" w:rsidRDefault="004502BB">
      <w:pPr>
        <w:spacing w:after="0" w:line="240" w:lineRule="auto"/>
      </w:pPr>
      <w:r>
        <w:continuationSeparator/>
      </w:r>
    </w:p>
  </w:endnote>
  <w:endnote w:type="continuationNotice" w:id="1">
    <w:p w14:paraId="01CAC7BA" w14:textId="77777777" w:rsidR="004502BB" w:rsidRDefault="004502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9A46" w14:textId="77777777" w:rsidR="00BE1E74" w:rsidRDefault="00D330BE">
    <w:pPr>
      <w:pBdr>
        <w:top w:val="nil"/>
        <w:left w:val="nil"/>
        <w:bottom w:val="nil"/>
        <w:right w:val="nil"/>
        <w:between w:val="nil"/>
      </w:pBdr>
      <w:tabs>
        <w:tab w:val="center" w:pos="4419"/>
        <w:tab w:val="right" w:pos="8838"/>
      </w:tabs>
      <w:spacing w:after="0" w:line="240" w:lineRule="auto"/>
      <w:rPr>
        <w:color w:val="000000"/>
      </w:rPr>
    </w:pPr>
    <w:r>
      <w:rPr>
        <w:color w:val="000000"/>
      </w:rPr>
      <w:fldChar w:fldCharType="begin"/>
    </w:r>
    <w:r>
      <w:rPr>
        <w:color w:val="000000"/>
      </w:rPr>
      <w:instrText>PAGE</w:instrText>
    </w:r>
    <w:r>
      <w:rPr>
        <w:color w:val="000000"/>
      </w:rPr>
      <w:fldChar w:fldCharType="end"/>
    </w:r>
  </w:p>
  <w:p w14:paraId="18625137" w14:textId="77777777" w:rsidR="00BE1E74" w:rsidRDefault="00BE1E74">
    <w:pPr>
      <w:pBdr>
        <w:top w:val="nil"/>
        <w:left w:val="nil"/>
        <w:bottom w:val="nil"/>
        <w:right w:val="nil"/>
        <w:between w:val="nil"/>
      </w:pBdr>
      <w:tabs>
        <w:tab w:val="center" w:pos="4419"/>
        <w:tab w:val="right" w:pos="8838"/>
      </w:tabs>
      <w:spacing w:after="0"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DD76" w14:textId="77777777" w:rsidR="00BE1E74" w:rsidRDefault="00BE1E74">
    <w:pPr>
      <w:shd w:val="clear" w:color="auto" w:fill="FFFFFF"/>
      <w:tabs>
        <w:tab w:val="center" w:pos="4419"/>
        <w:tab w:val="right" w:pos="8838"/>
      </w:tabs>
      <w:spacing w:before="240" w:after="240" w:line="240" w:lineRule="auto"/>
      <w:jc w:val="both"/>
      <w:rPr>
        <w:rFonts w:ascii="Arial" w:eastAsia="Arial" w:hAnsi="Arial" w:cs="Arial"/>
        <w:sz w:val="26"/>
        <w:szCs w:val="26"/>
      </w:rPr>
    </w:pPr>
  </w:p>
  <w:p w14:paraId="16CEC772" w14:textId="77777777" w:rsidR="00BE1E74" w:rsidRDefault="00BE1E74">
    <w:pPr>
      <w:pBdr>
        <w:top w:val="nil"/>
        <w:left w:val="nil"/>
        <w:bottom w:val="nil"/>
        <w:right w:val="nil"/>
        <w:between w:val="nil"/>
      </w:pBdr>
      <w:tabs>
        <w:tab w:val="center" w:pos="4419"/>
        <w:tab w:val="right" w:pos="8838"/>
      </w:tabs>
      <w:spacing w:after="0" w:line="240" w:lineRule="auto"/>
      <w:jc w:val="center"/>
      <w:rPr>
        <w:rFonts w:ascii="Arial" w:eastAsia="Arial" w:hAnsi="Arial" w:cs="Arial"/>
        <w:sz w:val="26"/>
        <w:szCs w:val="26"/>
      </w:rPr>
    </w:pPr>
  </w:p>
  <w:p w14:paraId="15C61025" w14:textId="77777777" w:rsidR="00BE1E74" w:rsidRDefault="00D330BE">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p>
  <w:p w14:paraId="6A6629F7" w14:textId="77777777" w:rsidR="00BE1E74" w:rsidRDefault="00BE1E74">
    <w:pPr>
      <w:pBdr>
        <w:top w:val="nil"/>
        <w:left w:val="nil"/>
        <w:bottom w:val="nil"/>
        <w:right w:val="nil"/>
        <w:between w:val="nil"/>
      </w:pBdr>
      <w:tabs>
        <w:tab w:val="center" w:pos="4419"/>
        <w:tab w:val="right" w:pos="8838"/>
      </w:tabs>
      <w:spacing w:after="0" w:line="240" w:lineRule="auto"/>
      <w:rPr>
        <w:color w:val="000000"/>
      </w:rPr>
    </w:pPr>
  </w:p>
  <w:p w14:paraId="6C64D05B" w14:textId="77777777" w:rsidR="00BE1E74" w:rsidRDefault="00BE1E74">
    <w:pPr>
      <w:pBdr>
        <w:top w:val="nil"/>
        <w:left w:val="nil"/>
        <w:bottom w:val="nil"/>
        <w:right w:val="nil"/>
        <w:between w:val="nil"/>
      </w:pBdr>
      <w:tabs>
        <w:tab w:val="center" w:pos="4419"/>
        <w:tab w:val="right" w:pos="8838"/>
      </w:tabs>
      <w:spacing w:after="0" w:line="240" w:lineRule="auto"/>
      <w:rPr>
        <w:color w:val="000000"/>
      </w:rPr>
    </w:pPr>
  </w:p>
  <w:p w14:paraId="729A14EA" w14:textId="77777777" w:rsidR="00BE1E74" w:rsidRDefault="00BE1E74">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00"/>
      <w:gridCol w:w="2500"/>
      <w:gridCol w:w="2500"/>
    </w:tblGrid>
    <w:tr w:rsidR="00BE1E74" w14:paraId="0409205F" w14:textId="77777777">
      <w:trPr>
        <w:trHeight w:val="300"/>
      </w:trPr>
      <w:tc>
        <w:tcPr>
          <w:tcW w:w="2500" w:type="dxa"/>
        </w:tcPr>
        <w:p w14:paraId="0BF0D86B" w14:textId="77777777" w:rsidR="00BE1E74" w:rsidRDefault="00BE1E74">
          <w:pPr>
            <w:pStyle w:val="Encabezado"/>
            <w:ind w:left="-115"/>
          </w:pPr>
        </w:p>
      </w:tc>
      <w:tc>
        <w:tcPr>
          <w:tcW w:w="2500" w:type="dxa"/>
        </w:tcPr>
        <w:p w14:paraId="31AB4043" w14:textId="77777777" w:rsidR="00BE1E74" w:rsidRDefault="00BE1E74">
          <w:pPr>
            <w:pStyle w:val="Encabezado"/>
            <w:jc w:val="center"/>
          </w:pPr>
        </w:p>
      </w:tc>
      <w:tc>
        <w:tcPr>
          <w:tcW w:w="2500" w:type="dxa"/>
        </w:tcPr>
        <w:p w14:paraId="11CD1772" w14:textId="77777777" w:rsidR="00BE1E74" w:rsidRDefault="00BE1E74">
          <w:pPr>
            <w:pStyle w:val="Encabezado"/>
            <w:ind w:right="-115"/>
            <w:jc w:val="right"/>
          </w:pPr>
        </w:p>
      </w:tc>
    </w:tr>
  </w:tbl>
  <w:p w14:paraId="6D2B9993" w14:textId="77777777" w:rsidR="00BE1E74" w:rsidRDefault="00BE1E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5489" w14:textId="77777777" w:rsidR="004502BB" w:rsidRDefault="004502BB">
      <w:pPr>
        <w:spacing w:after="0" w:line="240" w:lineRule="auto"/>
      </w:pPr>
      <w:r>
        <w:separator/>
      </w:r>
    </w:p>
  </w:footnote>
  <w:footnote w:type="continuationSeparator" w:id="0">
    <w:p w14:paraId="225DFF1E" w14:textId="77777777" w:rsidR="004502BB" w:rsidRDefault="004502BB">
      <w:pPr>
        <w:spacing w:after="0" w:line="240" w:lineRule="auto"/>
      </w:pPr>
      <w:r>
        <w:continuationSeparator/>
      </w:r>
    </w:p>
  </w:footnote>
  <w:footnote w:type="continuationNotice" w:id="1">
    <w:p w14:paraId="230410F3" w14:textId="77777777" w:rsidR="004502BB" w:rsidRDefault="004502BB">
      <w:pPr>
        <w:spacing w:after="0" w:line="240" w:lineRule="auto"/>
      </w:pPr>
    </w:p>
  </w:footnote>
  <w:footnote w:id="2">
    <w:p w14:paraId="5C150C21" w14:textId="77777777" w:rsidR="00BE1E74" w:rsidRDefault="00D330BE">
      <w:pPr>
        <w:spacing w:after="0" w:line="240" w:lineRule="auto"/>
        <w:jc w:val="both"/>
        <w:rPr>
          <w:rFonts w:ascii="Arial Narrow" w:hAnsi="Arial Narrow"/>
          <w:sz w:val="20"/>
          <w:szCs w:val="20"/>
        </w:rPr>
      </w:pPr>
      <w:r>
        <w:rPr>
          <w:rStyle w:val="Refdenotaalpie"/>
          <w:rFonts w:ascii="Arial Narrow" w:hAnsi="Arial Narrow"/>
          <w:sz w:val="20"/>
          <w:szCs w:val="20"/>
        </w:rPr>
        <w:footnoteRef/>
      </w:r>
      <w:r>
        <w:rPr>
          <w:rFonts w:ascii="Arial Narrow" w:hAnsi="Arial Narrow"/>
          <w:sz w:val="20"/>
          <w:szCs w:val="20"/>
        </w:rPr>
        <w:t xml:space="preserve"> </w:t>
      </w:r>
      <w:r>
        <w:rPr>
          <w:rFonts w:ascii="Arial Narrow" w:eastAsia="Arial Narrow" w:hAnsi="Arial Narrow" w:cs="Arial Narrow"/>
          <w:sz w:val="20"/>
          <w:szCs w:val="20"/>
        </w:rPr>
        <w:t xml:space="preserve">Todas las fechas corresponden al año dos mil veintiséis, salvo señalamiento expreso. </w:t>
      </w:r>
    </w:p>
  </w:footnote>
  <w:footnote w:id="3">
    <w:p w14:paraId="2E7F30F8"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07 a la 10.</w:t>
      </w:r>
    </w:p>
  </w:footnote>
  <w:footnote w:id="4">
    <w:p w14:paraId="608671E8" w14:textId="77777777" w:rsidR="00BE1E74" w:rsidRDefault="00D330BE">
      <w:pPr>
        <w:pStyle w:val="Textonotapie"/>
        <w:jc w:val="both"/>
        <w:rPr>
          <w:rFonts w:ascii="Arial Narrow" w:hAnsi="Arial Narrow"/>
          <w:lang w:val="es-ES"/>
        </w:rPr>
      </w:pPr>
      <w:r>
        <w:rPr>
          <w:rStyle w:val="Refdenotaalpie"/>
          <w:rFonts w:ascii="Arial Narrow" w:hAnsi="Arial Narrow"/>
        </w:rPr>
        <w:footnoteRef/>
      </w:r>
      <w:r>
        <w:rPr>
          <w:rFonts w:ascii="Arial Narrow" w:hAnsi="Arial Narrow"/>
        </w:rPr>
        <w:t xml:space="preserve"> Fojas 17 a la 18.</w:t>
      </w:r>
    </w:p>
  </w:footnote>
  <w:footnote w:id="5">
    <w:p w14:paraId="20CCCCFD" w14:textId="77777777" w:rsidR="00BE1E74" w:rsidRDefault="00D330BE">
      <w:pPr>
        <w:pStyle w:val="Textonotapie"/>
        <w:jc w:val="both"/>
        <w:rPr>
          <w:rFonts w:ascii="Arial Narrow" w:hAnsi="Arial Narrow"/>
          <w:lang w:val="es-ES"/>
        </w:rPr>
      </w:pPr>
      <w:r>
        <w:rPr>
          <w:rStyle w:val="Refdenotaalpie"/>
          <w:rFonts w:ascii="Arial Narrow" w:hAnsi="Arial Narrow"/>
        </w:rPr>
        <w:footnoteRef/>
      </w:r>
      <w:r>
        <w:rPr>
          <w:rFonts w:ascii="Arial Narrow" w:hAnsi="Arial Narrow"/>
        </w:rPr>
        <w:t xml:space="preserve"> Fojas 21 a la 24.</w:t>
      </w:r>
    </w:p>
  </w:footnote>
  <w:footnote w:id="6">
    <w:p w14:paraId="6BE0DB7A" w14:textId="77777777" w:rsidR="00BE1E74" w:rsidRDefault="00D330BE">
      <w:pPr>
        <w:pStyle w:val="Textonotapie"/>
        <w:jc w:val="both"/>
        <w:rPr>
          <w:rFonts w:ascii="Arial Narrow" w:hAnsi="Arial Narrow"/>
          <w:lang w:val="es-ES"/>
        </w:rPr>
      </w:pPr>
      <w:r>
        <w:rPr>
          <w:rStyle w:val="Refdenotaalpie"/>
          <w:rFonts w:ascii="Arial Narrow" w:hAnsi="Arial Narrow"/>
        </w:rPr>
        <w:footnoteRef/>
      </w:r>
      <w:r>
        <w:rPr>
          <w:rFonts w:ascii="Arial Narrow" w:hAnsi="Arial Narrow"/>
        </w:rPr>
        <w:t xml:space="preserve"> </w:t>
      </w:r>
      <w:r>
        <w:rPr>
          <w:rFonts w:ascii="Arial Narrow" w:hAnsi="Arial Narrow"/>
          <w:lang w:val="es-ES"/>
        </w:rPr>
        <w:t>Fojas 26 y 27.</w:t>
      </w:r>
    </w:p>
  </w:footnote>
  <w:footnote w:id="7">
    <w:p w14:paraId="2C50C1CC"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38 y 42.</w:t>
      </w:r>
    </w:p>
  </w:footnote>
  <w:footnote w:id="8">
    <w:p w14:paraId="312766EF"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26 a la 27. </w:t>
      </w:r>
    </w:p>
  </w:footnote>
  <w:footnote w:id="9">
    <w:p w14:paraId="4FA49EAA"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43 a la 46.</w:t>
      </w:r>
    </w:p>
  </w:footnote>
  <w:footnote w:id="10">
    <w:p w14:paraId="7967B04D" w14:textId="77777777" w:rsidR="00BE1E74" w:rsidRDefault="00D330BE">
      <w:pPr>
        <w:pStyle w:val="Textonotapie"/>
        <w:jc w:val="both"/>
        <w:rPr>
          <w:rFonts w:ascii="Arial Narrow" w:hAnsi="Arial Narrow"/>
        </w:rPr>
      </w:pPr>
      <w:r>
        <w:rPr>
          <w:rFonts w:ascii="Arial Narrow" w:hAnsi="Arial Narrow"/>
          <w:vertAlign w:val="superscript"/>
        </w:rPr>
        <w:footnoteRef/>
      </w:r>
      <w:r>
        <w:rPr>
          <w:rFonts w:ascii="Arial Narrow" w:hAnsi="Arial Narrow"/>
        </w:rPr>
        <w:t xml:space="preserve"> Foja 67.</w:t>
      </w:r>
    </w:p>
  </w:footnote>
  <w:footnote w:id="11">
    <w:p w14:paraId="19E3844B"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68 a la 72.</w:t>
      </w:r>
    </w:p>
  </w:footnote>
  <w:footnote w:id="12">
    <w:p w14:paraId="4856F0B6" w14:textId="77777777" w:rsidR="00BE1E74" w:rsidRDefault="00D330BE">
      <w:pPr>
        <w:pStyle w:val="Textonotapie"/>
        <w:jc w:val="both"/>
        <w:rPr>
          <w:rFonts w:ascii="Arial Narrow" w:hAnsi="Arial Narrow"/>
          <w:lang w:val="es-ES"/>
        </w:rPr>
      </w:pPr>
      <w:r>
        <w:rPr>
          <w:rStyle w:val="Refdenotaalpie"/>
          <w:rFonts w:ascii="Arial Narrow" w:hAnsi="Arial Narrow"/>
        </w:rPr>
        <w:footnoteRef/>
      </w:r>
      <w:r>
        <w:rPr>
          <w:rFonts w:ascii="Arial Narrow" w:hAnsi="Arial Narrow"/>
        </w:rPr>
        <w:t xml:space="preserve"> Fojas 87 a la 89.</w:t>
      </w:r>
    </w:p>
  </w:footnote>
  <w:footnote w:id="13">
    <w:p w14:paraId="4A5D4A30"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120 y 121.</w:t>
      </w:r>
    </w:p>
  </w:footnote>
  <w:footnote w:id="14">
    <w:p w14:paraId="77F3E5A1"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Fojas 122, 123 y 128.</w:t>
      </w:r>
    </w:p>
  </w:footnote>
  <w:footnote w:id="15">
    <w:p w14:paraId="62BD5BA7" w14:textId="250AE2B2" w:rsidR="00BE1E74" w:rsidRPr="006E71D0" w:rsidRDefault="00D330BE">
      <w:pPr>
        <w:pStyle w:val="Textonotapie"/>
        <w:jc w:val="both"/>
        <w:rPr>
          <w:rFonts w:ascii="Arial Narrow" w:hAnsi="Arial Narrow"/>
        </w:rPr>
      </w:pPr>
      <w:r w:rsidRPr="006E71D0">
        <w:rPr>
          <w:rStyle w:val="Refdenotaalpie"/>
          <w:rFonts w:ascii="Arial Narrow" w:hAnsi="Arial Narrow"/>
        </w:rPr>
        <w:footnoteRef/>
      </w:r>
      <w:r w:rsidRPr="006E71D0">
        <w:rPr>
          <w:rFonts w:ascii="Arial Narrow" w:hAnsi="Arial Narrow"/>
        </w:rPr>
        <w:t xml:space="preserve"> Foja </w:t>
      </w:r>
      <w:r w:rsidR="006E71D0" w:rsidRPr="006E71D0">
        <w:rPr>
          <w:rFonts w:ascii="Arial Narrow" w:hAnsi="Arial Narrow"/>
        </w:rPr>
        <w:t>138.</w:t>
      </w:r>
    </w:p>
  </w:footnote>
  <w:footnote w:id="16">
    <w:p w14:paraId="157213C6" w14:textId="77777777" w:rsidR="00BE1E74" w:rsidRDefault="00D330BE">
      <w:pPr>
        <w:spacing w:after="0"/>
        <w:jc w:val="both"/>
        <w:rPr>
          <w:rFonts w:ascii="Arial Narrow" w:eastAsia="Times New Roman" w:hAnsi="Arial Narrow" w:cs="Times New Roman"/>
          <w:color w:val="000000"/>
          <w:sz w:val="20"/>
          <w:szCs w:val="20"/>
        </w:rPr>
      </w:pPr>
      <w:r w:rsidRPr="006E71D0">
        <w:rPr>
          <w:rFonts w:ascii="Arial Narrow" w:hAnsi="Arial Narrow"/>
          <w:sz w:val="20"/>
          <w:szCs w:val="20"/>
          <w:vertAlign w:val="superscript"/>
        </w:rPr>
        <w:footnoteRef/>
      </w:r>
      <w:r w:rsidRPr="006E71D0">
        <w:rPr>
          <w:rFonts w:ascii="Arial Narrow" w:eastAsia="Arial Narrow" w:hAnsi="Arial Narrow" w:cs="Arial Narrow"/>
          <w:color w:val="000000"/>
          <w:sz w:val="20"/>
          <w:szCs w:val="20"/>
        </w:rPr>
        <w:t xml:space="preserve"> Jurisprudencia</w:t>
      </w:r>
      <w:r>
        <w:rPr>
          <w:rFonts w:ascii="Arial Narrow" w:eastAsia="Arial Narrow" w:hAnsi="Arial Narrow" w:cs="Arial Narrow"/>
          <w:color w:val="000000"/>
          <w:sz w:val="20"/>
          <w:szCs w:val="20"/>
        </w:rPr>
        <w:t xml:space="preserve"> 814, de rubro: </w:t>
      </w:r>
      <w:r>
        <w:rPr>
          <w:rFonts w:ascii="Arial Narrow" w:eastAsia="Arial Narrow" w:hAnsi="Arial Narrow" w:cs="Arial Narrow"/>
          <w:b/>
          <w:i/>
          <w:color w:val="000000"/>
          <w:sz w:val="20"/>
          <w:szCs w:val="20"/>
        </w:rPr>
        <w:t>IMPROCEDENCIA, CAUSALES DE. EN EL JUICIO DE AMPARO.</w:t>
      </w:r>
    </w:p>
  </w:footnote>
  <w:footnote w:id="17">
    <w:p w14:paraId="546D614E" w14:textId="77777777" w:rsidR="00BE1E74" w:rsidRDefault="00D330BE">
      <w:pPr>
        <w:pStyle w:val="Textonotapie"/>
        <w:rPr>
          <w:rFonts w:ascii="Arial Narrow" w:hAnsi="Arial Narrow"/>
        </w:rPr>
      </w:pPr>
      <w:r>
        <w:rPr>
          <w:rStyle w:val="Refdenotaalpie"/>
          <w:rFonts w:ascii="Arial Narrow" w:hAnsi="Arial Narrow"/>
        </w:rPr>
        <w:footnoteRef/>
      </w:r>
      <w:r>
        <w:rPr>
          <w:rFonts w:ascii="Arial Narrow" w:hAnsi="Arial Narrow"/>
        </w:rPr>
        <w:t xml:space="preserve"> Visible a fojas 68 a 72.</w:t>
      </w:r>
    </w:p>
  </w:footnote>
  <w:footnote w:id="18">
    <w:p w14:paraId="033AC707" w14:textId="044D8830" w:rsidR="00BE1E74" w:rsidRDefault="00D330BE">
      <w:pPr>
        <w:pStyle w:val="Textonotapie"/>
        <w:jc w:val="both"/>
        <w:rPr>
          <w:rFonts w:ascii="Arial Narrow" w:hAnsi="Arial Narrow" w:cs="Arial"/>
        </w:rPr>
      </w:pPr>
      <w:r>
        <w:rPr>
          <w:rStyle w:val="Refdenotaalpie"/>
          <w:rFonts w:ascii="Arial Narrow" w:hAnsi="Arial Narrow" w:cs="Arial"/>
        </w:rPr>
        <w:footnoteRef/>
      </w:r>
      <w:r>
        <w:rPr>
          <w:rFonts w:ascii="Arial Narrow" w:hAnsi="Arial Narrow" w:cs="Arial"/>
        </w:rPr>
        <w:t xml:space="preserve"> Acorde con lo establecido en la jurisprudencia 814, que sirve de apoyo por analogía, consultable en la página 553, Tomo VI, Materia Común, del Apéndice del Semanario Judicial de la Federación, 1917-1995, de rubro; </w:t>
      </w:r>
      <w:r>
        <w:rPr>
          <w:rFonts w:ascii="Arial Narrow" w:hAnsi="Arial Narrow" w:cs="Arial"/>
          <w:b/>
          <w:bCs/>
          <w:i/>
          <w:iCs/>
        </w:rPr>
        <w:t>IMPROCEDENCIA</w:t>
      </w:r>
      <w:r w:rsidR="006E71D0">
        <w:rPr>
          <w:rFonts w:ascii="Arial Narrow" w:hAnsi="Arial Narrow" w:cs="Arial"/>
          <w:b/>
          <w:bCs/>
          <w:i/>
          <w:iCs/>
        </w:rPr>
        <w:t>.</w:t>
      </w:r>
      <w:r>
        <w:rPr>
          <w:rFonts w:ascii="Arial Narrow" w:hAnsi="Arial Narrow" w:cs="Arial"/>
          <w:b/>
          <w:bCs/>
          <w:i/>
          <w:iCs/>
        </w:rPr>
        <w:t xml:space="preserve"> CAUSALES DE. EN EL JUICIO DE AMPARO</w:t>
      </w:r>
      <w:r>
        <w:rPr>
          <w:rFonts w:ascii="Arial Narrow" w:hAnsi="Arial Narrow" w:cs="Arial"/>
          <w:b/>
          <w:bCs/>
        </w:rPr>
        <w:t>.</w:t>
      </w:r>
    </w:p>
  </w:footnote>
  <w:footnote w:id="19">
    <w:p w14:paraId="00F21B48" w14:textId="77777777" w:rsidR="00BE1E74" w:rsidRDefault="00D330BE">
      <w:pPr>
        <w:pStyle w:val="Textonotapie"/>
        <w:rPr>
          <w:rFonts w:ascii="Arial Narrow" w:hAnsi="Arial Narrow"/>
        </w:rPr>
      </w:pPr>
      <w:r>
        <w:rPr>
          <w:rStyle w:val="Refdenotaalpie"/>
          <w:rFonts w:ascii="Arial Narrow" w:hAnsi="Arial Narrow"/>
        </w:rPr>
        <w:footnoteRef/>
      </w:r>
      <w:r>
        <w:rPr>
          <w:rFonts w:ascii="Arial Narrow" w:hAnsi="Arial Narrow"/>
        </w:rPr>
        <w:t xml:space="preserve"> Fojas 07 a 10.</w:t>
      </w:r>
    </w:p>
  </w:footnote>
  <w:footnote w:id="20">
    <w:p w14:paraId="630D546D" w14:textId="77777777" w:rsidR="00BE1E74" w:rsidRDefault="00D330BE">
      <w:pPr>
        <w:pStyle w:val="Textonotapie"/>
        <w:rPr>
          <w:rFonts w:ascii="Arial Narrow" w:hAnsi="Arial Narrow"/>
        </w:rPr>
      </w:pPr>
      <w:r>
        <w:rPr>
          <w:rStyle w:val="Refdenotaalpie"/>
          <w:rFonts w:ascii="Arial Narrow" w:hAnsi="Arial Narrow"/>
        </w:rPr>
        <w:footnoteRef/>
      </w:r>
      <w:r>
        <w:rPr>
          <w:rFonts w:ascii="Arial Narrow" w:hAnsi="Arial Narrow"/>
        </w:rPr>
        <w:t xml:space="preserve"> Fojas 90 a 109.</w:t>
      </w:r>
    </w:p>
  </w:footnote>
  <w:footnote w:id="21">
    <w:p w14:paraId="116CBE13" w14:textId="77777777" w:rsidR="00BE1E74" w:rsidRDefault="00D330BE">
      <w:pPr>
        <w:pStyle w:val="Textonotapie"/>
        <w:ind w:left="1440" w:hanging="1440"/>
        <w:rPr>
          <w:rFonts w:ascii="Arial Narrow" w:hAnsi="Arial Narrow"/>
        </w:rPr>
      </w:pPr>
      <w:r>
        <w:rPr>
          <w:rStyle w:val="Refdenotaalpie"/>
          <w:rFonts w:ascii="Arial Narrow" w:hAnsi="Arial Narrow"/>
        </w:rPr>
        <w:footnoteRef/>
      </w:r>
      <w:r>
        <w:rPr>
          <w:rFonts w:ascii="Arial Narrow" w:hAnsi="Arial Narrow"/>
        </w:rPr>
        <w:t xml:space="preserve"> Fojas 136 a 148.</w:t>
      </w:r>
    </w:p>
  </w:footnote>
  <w:footnote w:id="22">
    <w:p w14:paraId="13C49587" w14:textId="77777777" w:rsidR="00BE1E74" w:rsidRDefault="00D330BE">
      <w:pPr>
        <w:pStyle w:val="Textonotapie"/>
        <w:rPr>
          <w:rFonts w:ascii="Arial Narrow" w:hAnsi="Arial Narrow" w:cs="Arial"/>
          <w:lang w:val="es-ES"/>
        </w:rPr>
      </w:pPr>
      <w:r>
        <w:rPr>
          <w:rStyle w:val="Refdenotaalpie"/>
          <w:rFonts w:ascii="Arial Narrow" w:hAnsi="Arial Narrow" w:cs="Arial"/>
        </w:rPr>
        <w:footnoteRef/>
      </w:r>
      <w:r>
        <w:rPr>
          <w:rFonts w:ascii="Arial Narrow" w:hAnsi="Arial Narrow" w:cs="Arial"/>
        </w:rPr>
        <w:t xml:space="preserve"> Art</w:t>
      </w:r>
      <w:r>
        <w:rPr>
          <w:rFonts w:ascii="Arial Narrow" w:hAnsi="Arial Narrow" w:cs="Arial"/>
          <w:color w:val="000000"/>
        </w:rPr>
        <w:t xml:space="preserve">ículo 13 de la </w:t>
      </w:r>
      <w:r>
        <w:rPr>
          <w:rFonts w:ascii="Arial Narrow" w:hAnsi="Arial Narrow" w:cs="Arial"/>
          <w:i/>
          <w:color w:val="000000"/>
        </w:rPr>
        <w:t>Constitución Local</w:t>
      </w:r>
      <w:r>
        <w:rPr>
          <w:rFonts w:ascii="Arial Narrow" w:hAnsi="Arial Narrow" w:cs="Arial"/>
          <w:color w:val="000000"/>
        </w:rPr>
        <w:t>.</w:t>
      </w:r>
    </w:p>
  </w:footnote>
  <w:footnote w:id="23">
    <w:p w14:paraId="77A91F7A" w14:textId="77777777" w:rsidR="00BE1E74" w:rsidRDefault="00D330BE">
      <w:pPr>
        <w:pStyle w:val="Textonotapie"/>
        <w:rPr>
          <w:rFonts w:ascii="Arial Narrow" w:hAnsi="Arial Narrow" w:cs="Arial"/>
          <w:lang w:val="es-ES"/>
        </w:rPr>
      </w:pPr>
      <w:r>
        <w:rPr>
          <w:rStyle w:val="Refdenotaalpie"/>
          <w:rFonts w:ascii="Arial Narrow" w:hAnsi="Arial Narrow"/>
        </w:rPr>
        <w:footnoteRef/>
      </w:r>
      <w:r>
        <w:rPr>
          <w:rStyle w:val="Refdenotaalpie"/>
          <w:rFonts w:ascii="Arial Narrow" w:hAnsi="Arial Narrow"/>
        </w:rPr>
        <w:t xml:space="preserve"> </w:t>
      </w:r>
      <w:r>
        <w:rPr>
          <w:rFonts w:ascii="Arial Narrow" w:hAnsi="Arial Narrow" w:cs="Arial"/>
        </w:rPr>
        <w:t>Véase el ST-JDC-593/2021.</w:t>
      </w:r>
    </w:p>
  </w:footnote>
  <w:footnote w:id="24">
    <w:p w14:paraId="2E297771" w14:textId="77777777" w:rsidR="00BE1E74" w:rsidRDefault="00D330BE">
      <w:pPr>
        <w:spacing w:after="0" w:line="240" w:lineRule="auto"/>
        <w:jc w:val="both"/>
        <w:rPr>
          <w:rFonts w:ascii="Arial Narrow" w:hAnsi="Arial Narrow"/>
          <w:sz w:val="20"/>
          <w:szCs w:val="20"/>
        </w:rPr>
      </w:pPr>
      <w:r>
        <w:rPr>
          <w:rStyle w:val="Refdenotaalpie"/>
          <w:rFonts w:ascii="Arial Narrow" w:hAnsi="Arial Narrow"/>
          <w:sz w:val="20"/>
          <w:szCs w:val="20"/>
        </w:rPr>
        <w:footnoteRef/>
      </w:r>
      <w:r>
        <w:rPr>
          <w:rFonts w:ascii="Arial Narrow" w:hAnsi="Arial Narrow"/>
          <w:sz w:val="20"/>
          <w:szCs w:val="20"/>
        </w:rPr>
        <w:t xml:space="preserve"> Entre otras sentencias al resolver: SUP-REP-32/2025 y SRE-PSC-485/2024.</w:t>
      </w:r>
    </w:p>
  </w:footnote>
  <w:footnote w:id="25">
    <w:p w14:paraId="07D80817" w14:textId="77777777" w:rsidR="00BE1E74" w:rsidRDefault="00D330BE">
      <w:pPr>
        <w:pStyle w:val="Textonotapie"/>
        <w:rPr>
          <w:rFonts w:ascii="Arial Narrow" w:hAnsi="Arial Narrow"/>
        </w:rPr>
      </w:pPr>
      <w:r>
        <w:rPr>
          <w:rStyle w:val="Refdenotaalpie"/>
          <w:rFonts w:ascii="Arial Narrow" w:hAnsi="Arial Narrow"/>
        </w:rPr>
        <w:footnoteRef/>
      </w:r>
      <w:r>
        <w:rPr>
          <w:rFonts w:ascii="Arial Narrow" w:hAnsi="Arial Narrow"/>
        </w:rPr>
        <w:t xml:space="preserve"> Al resolver la sentencia emitida en el expediente SUP-REP-312/2015, por la que se confirmó la emitida en el diverso SRE-PSD-142/2015.</w:t>
      </w:r>
    </w:p>
  </w:footnote>
  <w:footnote w:id="26">
    <w:p w14:paraId="05BB0C43"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Artículo 55. Son bienes de propiedad de los particulares todas las cosas cuyo dominio les pertenece legalmente, y de las que no puede aprovecharse ninguno sin consentimiento del dueño o autorización de la ley.</w:t>
      </w:r>
    </w:p>
  </w:footnote>
  <w:footnote w:id="27">
    <w:p w14:paraId="32EF5481"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Al resolver el SRE-PSC-485/2024.</w:t>
      </w:r>
    </w:p>
  </w:footnote>
  <w:footnote w:id="28">
    <w:p w14:paraId="2289A1D8" w14:textId="77777777"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En la</w:t>
      </w:r>
      <w:r>
        <w:rPr>
          <w:rFonts w:ascii="Arial Narrow" w:hAnsi="Arial Narrow" w:cs="Segoe UI"/>
          <w:color w:val="0D0D0D"/>
          <w:shd w:val="clear" w:color="auto" w:fill="FCFCFC"/>
        </w:rPr>
        <w:t xml:space="preserve"> jurisprudencia es de rubro </w:t>
      </w:r>
      <w:r>
        <w:rPr>
          <w:rStyle w:val="Fuerte"/>
          <w:rFonts w:ascii="Arial Narrow" w:hAnsi="Arial Narrow" w:cs="Segoe UI"/>
          <w:i/>
          <w:iCs/>
          <w:color w:val="0D0D0D"/>
          <w:shd w:val="clear" w:color="auto" w:fill="FCFCFC"/>
        </w:rPr>
        <w:t>PRINCIPIO DE TIPICIDAD. SU EXPRESIÓN EN EL DERECHO ADMINISTRATIVO SANCIONADOR ELECTORAL</w:t>
      </w:r>
      <w:r>
        <w:rPr>
          <w:rFonts w:ascii="Arial Narrow" w:hAnsi="Arial Narrow" w:cs="Segoe UI"/>
          <w:i/>
          <w:iCs/>
          <w:color w:val="0D0D0D"/>
          <w:shd w:val="clear" w:color="auto" w:fill="FCFCFC"/>
        </w:rPr>
        <w:t xml:space="preserve">, </w:t>
      </w:r>
      <w:r>
        <w:rPr>
          <w:rFonts w:ascii="Arial Narrow" w:hAnsi="Arial Narrow" w:cs="Segoe UI"/>
          <w:color w:val="0D0D0D"/>
          <w:shd w:val="clear" w:color="auto" w:fill="FCFCFC"/>
        </w:rPr>
        <w:t xml:space="preserve">publicada en la </w:t>
      </w:r>
      <w:r>
        <w:rPr>
          <w:rStyle w:val="nfasis"/>
          <w:rFonts w:ascii="Arial Narrow" w:hAnsi="Arial Narrow" w:cs="Segoe UI"/>
          <w:color w:val="0D0D0D"/>
          <w:shd w:val="clear" w:color="auto" w:fill="FCFCFC"/>
        </w:rPr>
        <w:t>Gaceta Jurisprudencia y Tesis en materia electoral</w:t>
      </w:r>
      <w:r>
        <w:rPr>
          <w:rFonts w:ascii="Arial Narrow" w:hAnsi="Arial Narrow" w:cs="Segoe UI"/>
          <w:color w:val="0D0D0D"/>
          <w:shd w:val="clear" w:color="auto" w:fill="FCFCFC"/>
        </w:rPr>
        <w:t>, año 17, número 29, 2024, pp. 119-120.</w:t>
      </w:r>
    </w:p>
  </w:footnote>
  <w:footnote w:id="29">
    <w:p w14:paraId="1512B22A" w14:textId="77777777" w:rsidR="00BE1E74" w:rsidRDefault="00D330BE">
      <w:pPr>
        <w:pStyle w:val="Textonotapie"/>
        <w:jc w:val="both"/>
        <w:rPr>
          <w:rFonts w:ascii="Arial Narrow" w:hAnsi="Arial Narrow" w:cs="Segoe UI"/>
          <w:color w:val="0D0D0D"/>
          <w:shd w:val="clear" w:color="auto" w:fill="FCFCFC"/>
        </w:rPr>
      </w:pPr>
      <w:r>
        <w:rPr>
          <w:rStyle w:val="Refdenotaalpie"/>
          <w:rFonts w:ascii="Arial Narrow" w:hAnsi="Arial Narrow"/>
        </w:rPr>
        <w:footnoteRef/>
      </w:r>
      <w:r>
        <w:rPr>
          <w:rFonts w:ascii="Arial Narrow" w:hAnsi="Arial Narrow"/>
        </w:rPr>
        <w:t xml:space="preserve"> </w:t>
      </w:r>
      <w:r>
        <w:rPr>
          <w:rFonts w:ascii="Arial Narrow" w:hAnsi="Arial Narrow" w:cs="Segoe UI"/>
          <w:color w:val="0D0D0D"/>
          <w:shd w:val="clear" w:color="auto" w:fill="FCFCFC"/>
        </w:rPr>
        <w:t>SUP-REP-769/2024 y Acumulados.</w:t>
      </w:r>
    </w:p>
  </w:footnote>
  <w:footnote w:id="30">
    <w:p w14:paraId="0949AECE" w14:textId="77777777" w:rsidR="00BE1E74" w:rsidRDefault="00D330BE">
      <w:pPr>
        <w:pStyle w:val="Textonotapie"/>
        <w:ind w:left="720" w:hanging="720"/>
        <w:rPr>
          <w:rFonts w:ascii="Arial Narrow" w:hAnsi="Arial Narrow" w:cs="Segoe UI"/>
          <w:color w:val="0D0D0D"/>
          <w:shd w:val="clear" w:color="auto" w:fill="FCFCFC"/>
        </w:rPr>
      </w:pPr>
      <w:r>
        <w:rPr>
          <w:rStyle w:val="Refdenotaalpie"/>
          <w:rFonts w:ascii="Arial Narrow" w:hAnsi="Arial Narrow"/>
        </w:rPr>
        <w:footnoteRef/>
      </w:r>
      <w:r>
        <w:rPr>
          <w:rFonts w:ascii="Arial Narrow" w:hAnsi="Arial Narrow"/>
        </w:rPr>
        <w:t xml:space="preserve"> </w:t>
      </w:r>
      <w:r>
        <w:rPr>
          <w:rFonts w:ascii="Arial Narrow" w:hAnsi="Arial Narrow" w:cs="Segoe UI"/>
          <w:color w:val="0D0D0D"/>
          <w:shd w:val="clear" w:color="auto" w:fill="FCFCFC"/>
        </w:rPr>
        <w:t>SUP-REP-769/2024 y Acumulados.</w:t>
      </w:r>
    </w:p>
  </w:footnote>
  <w:footnote w:id="31">
    <w:p w14:paraId="6AC3DB7E" w14:textId="77777777" w:rsidR="00BE1E74" w:rsidRDefault="00D330BE">
      <w:pPr>
        <w:pStyle w:val="Textonotapie"/>
        <w:jc w:val="both"/>
        <w:rPr>
          <w:rFonts w:ascii="Arial Narrow" w:hAnsi="Arial Narrow" w:cs="Segoe UI"/>
          <w:color w:val="0D0D0D"/>
          <w:shd w:val="clear" w:color="auto" w:fill="FCFCFC"/>
        </w:rPr>
      </w:pPr>
      <w:r>
        <w:rPr>
          <w:rStyle w:val="Refdenotaalpie"/>
          <w:rFonts w:ascii="Arial Narrow" w:hAnsi="Arial Narrow"/>
        </w:rPr>
        <w:footnoteRef/>
      </w:r>
      <w:r>
        <w:rPr>
          <w:rStyle w:val="Refdenotaalpie"/>
          <w:rFonts w:ascii="Arial Narrow" w:hAnsi="Arial Narrow"/>
        </w:rPr>
        <w:t xml:space="preserve"> </w:t>
      </w:r>
      <w:r>
        <w:rPr>
          <w:rFonts w:ascii="Arial Narrow" w:hAnsi="Arial Narrow" w:cs="Segoe UI"/>
          <w:color w:val="0D0D0D"/>
          <w:shd w:val="clear" w:color="auto" w:fill="FCFCFC"/>
        </w:rPr>
        <w:t>Retomado en el SUP-JE-253/2024</w:t>
      </w:r>
    </w:p>
  </w:footnote>
  <w:footnote w:id="32">
    <w:p w14:paraId="76C855A0" w14:textId="75D0BC3C" w:rsidR="00BE1E74" w:rsidRDefault="00D330BE">
      <w:pPr>
        <w:pStyle w:val="Textonotapie"/>
        <w:jc w:val="both"/>
        <w:rPr>
          <w:rFonts w:ascii="Arial Narrow" w:hAnsi="Arial Narrow"/>
        </w:rPr>
      </w:pPr>
      <w:r>
        <w:rPr>
          <w:rStyle w:val="Refdenotaalpie"/>
          <w:rFonts w:ascii="Arial Narrow" w:hAnsi="Arial Narrow"/>
        </w:rPr>
        <w:footnoteRef/>
      </w:r>
      <w:r>
        <w:rPr>
          <w:rFonts w:ascii="Arial Narrow" w:hAnsi="Arial Narrow"/>
        </w:rPr>
        <w:t xml:space="preserve"> Así lo señaló </w:t>
      </w:r>
      <w:r w:rsidR="001443DF">
        <w:rPr>
          <w:rFonts w:ascii="Arial Narrow" w:hAnsi="Arial Narrow"/>
        </w:rPr>
        <w:t xml:space="preserve">la </w:t>
      </w:r>
      <w:r>
        <w:rPr>
          <w:rFonts w:ascii="Arial Narrow" w:hAnsi="Arial Narrow"/>
        </w:rPr>
        <w:t>Sala Superior al resolver el SUP-REP-312/2015.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1969" w14:textId="77777777" w:rsidR="00BE1E74" w:rsidRDefault="00D330BE">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r>
      <w:rPr>
        <w:noProof/>
      </w:rPr>
      <w:drawing>
        <wp:anchor distT="114300" distB="114300" distL="114300" distR="114300" simplePos="0" relativeHeight="251658241" behindDoc="0" locked="0" layoutInCell="1" hidden="0" allowOverlap="1" wp14:anchorId="30398D3D" wp14:editId="2AEC2A43">
          <wp:simplePos x="0" y="0"/>
          <wp:positionH relativeFrom="margin">
            <wp:align>left</wp:align>
          </wp:positionH>
          <wp:positionV relativeFrom="paragraph">
            <wp:posOffset>11430</wp:posOffset>
          </wp:positionV>
          <wp:extent cx="2025152" cy="754656"/>
          <wp:effectExtent l="0" t="0" r="0" b="7620"/>
          <wp:wrapNone/>
          <wp:docPr id="1637912856"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08D69901" w14:textId="77777777" w:rsidR="00BE1E74" w:rsidRDefault="00BE1E74">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p>
  <w:p w14:paraId="2BB87642" w14:textId="77777777" w:rsidR="00BE1E74" w:rsidRDefault="00BE1E74">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5E9D92F9" w14:textId="77777777" w:rsidR="00BE1E74" w:rsidRDefault="00BE1E74">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5E1C41DB" w14:textId="77777777" w:rsidR="00BE1E74" w:rsidRDefault="00D330BE">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b/>
        <w:bCs/>
        <w:color w:val="000000"/>
        <w:sz w:val="20"/>
        <w:szCs w:val="20"/>
      </w:rPr>
    </w:pPr>
    <w:r>
      <w:rPr>
        <w:rFonts w:ascii="Arial Narrow" w:eastAsia="Arial Narrow" w:hAnsi="Arial Narrow" w:cs="Arial Narrow"/>
        <w:b/>
        <w:color w:val="000000" w:themeColor="text1"/>
        <w:sz w:val="20"/>
        <w:szCs w:val="20"/>
      </w:rPr>
      <w:t>TEEM-PES-</w:t>
    </w:r>
    <w:r>
      <w:rPr>
        <w:rFonts w:ascii="Arial Narrow" w:eastAsia="Arial Narrow" w:hAnsi="Arial Narrow" w:cs="Arial Narrow"/>
        <w:b/>
        <w:bCs/>
        <w:color w:val="000000" w:themeColor="text1"/>
        <w:sz w:val="20"/>
        <w:szCs w:val="20"/>
      </w:rPr>
      <w:t>021</w:t>
    </w:r>
    <w:r>
      <w:rPr>
        <w:rFonts w:ascii="Arial Narrow" w:eastAsia="Arial Narrow" w:hAnsi="Arial Narrow" w:cs="Arial Narrow"/>
        <w:b/>
        <w:color w:val="000000" w:themeColor="text1"/>
        <w:sz w:val="20"/>
        <w:szCs w:val="20"/>
      </w:rPr>
      <w:t>/2026</w:t>
    </w:r>
  </w:p>
  <w:p w14:paraId="7D1761DF" w14:textId="77777777" w:rsidR="00BE1E74" w:rsidRDefault="00BE1E74">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051296C2" w14:textId="77777777" w:rsidR="00BE1E74" w:rsidRDefault="00BE1E74">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7D94" w14:textId="77777777" w:rsidR="00BE1E74" w:rsidRDefault="00D330BE">
    <w:pPr>
      <w:rPr>
        <w:b/>
        <w:sz w:val="20"/>
        <w:szCs w:val="20"/>
      </w:rPr>
    </w:pPr>
    <w:r>
      <w:rPr>
        <w:noProof/>
      </w:rPr>
      <w:drawing>
        <wp:anchor distT="114300" distB="114300" distL="114300" distR="114300" simplePos="0" relativeHeight="251658240" behindDoc="0" locked="0" layoutInCell="1" hidden="0" allowOverlap="1" wp14:anchorId="411E22A8" wp14:editId="3C246A76">
          <wp:simplePos x="0" y="0"/>
          <wp:positionH relativeFrom="column">
            <wp:posOffset>-208915</wp:posOffset>
          </wp:positionH>
          <wp:positionV relativeFrom="paragraph">
            <wp:posOffset>11430</wp:posOffset>
          </wp:positionV>
          <wp:extent cx="2025152" cy="754656"/>
          <wp:effectExtent l="0" t="0" r="0" b="0"/>
          <wp:wrapNone/>
          <wp:docPr id="1636091740"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144A6571" w14:textId="77777777" w:rsidR="00BE1E74" w:rsidRDefault="00BE1E74">
    <w:pPr>
      <w:rPr>
        <w:b/>
        <w:sz w:val="20"/>
        <w:szCs w:val="20"/>
      </w:rPr>
    </w:pPr>
  </w:p>
  <w:p w14:paraId="05226F41" w14:textId="77777777" w:rsidR="00BE1E74" w:rsidRDefault="00D330BE">
    <w:pPr>
      <w:tabs>
        <w:tab w:val="left" w:pos="1752"/>
      </w:tabs>
      <w:rPr>
        <w:b/>
        <w:sz w:val="20"/>
        <w:szCs w:val="20"/>
      </w:rPr>
    </w:pPr>
    <w:r>
      <w:rPr>
        <w:b/>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1CC7"/>
    <w:multiLevelType w:val="hybridMultilevel"/>
    <w:tmpl w:val="B9C8C38E"/>
    <w:lvl w:ilvl="0" w:tplc="9CF4A906">
      <w:start w:val="1"/>
      <w:numFmt w:val="lowerLetter"/>
      <w:lvlText w:val="%1)"/>
      <w:lvlJc w:val="left"/>
      <w:pPr>
        <w:ind w:left="720" w:hanging="360"/>
      </w:pPr>
      <w:rPr>
        <w:rFonts w:ascii="Arial" w:hAnsi="Arial" w:cs="Arial" w:hint="default"/>
        <w:b/>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872149"/>
    <w:multiLevelType w:val="hybridMultilevel"/>
    <w:tmpl w:val="4D8C81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C61DB7"/>
    <w:multiLevelType w:val="hybridMultilevel"/>
    <w:tmpl w:val="EBEA2128"/>
    <w:lvl w:ilvl="0" w:tplc="F29AAE4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165F59"/>
    <w:multiLevelType w:val="hybridMultilevel"/>
    <w:tmpl w:val="3B466A9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007591"/>
    <w:multiLevelType w:val="hybridMultilevel"/>
    <w:tmpl w:val="8DDCDB8A"/>
    <w:lvl w:ilvl="0" w:tplc="BEE286E6">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1F8B5C7A"/>
    <w:multiLevelType w:val="hybridMultilevel"/>
    <w:tmpl w:val="DD0A68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B5767A"/>
    <w:multiLevelType w:val="hybridMultilevel"/>
    <w:tmpl w:val="67A46684"/>
    <w:lvl w:ilvl="0" w:tplc="6AFA5D3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B725C0"/>
    <w:multiLevelType w:val="hybridMultilevel"/>
    <w:tmpl w:val="6468425A"/>
    <w:lvl w:ilvl="0" w:tplc="6EC4B3BA">
      <w:start w:val="5"/>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3144623"/>
    <w:multiLevelType w:val="hybridMultilevel"/>
    <w:tmpl w:val="73EC8EB4"/>
    <w:lvl w:ilvl="0" w:tplc="FFFFFFFF">
      <w:start w:val="1"/>
      <w:numFmt w:val="upp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7B188A"/>
    <w:multiLevelType w:val="hybridMultilevel"/>
    <w:tmpl w:val="30A476AC"/>
    <w:lvl w:ilvl="0" w:tplc="460EEB32">
      <w:start w:val="1"/>
      <w:numFmt w:val="decimal"/>
      <w:lvlText w:val="%1."/>
      <w:lvlJc w:val="left"/>
      <w:pPr>
        <w:ind w:left="720" w:hanging="360"/>
      </w:pPr>
      <w:rPr>
        <w:rFonts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7C82A07"/>
    <w:multiLevelType w:val="hybridMultilevel"/>
    <w:tmpl w:val="063A26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E352A8"/>
    <w:multiLevelType w:val="multilevel"/>
    <w:tmpl w:val="9272CB7A"/>
    <w:lvl w:ilvl="0">
      <w:start w:val="1"/>
      <w:numFmt w:val="lowerLetter"/>
      <w:lvlText w:val="%1)"/>
      <w:lvlJc w:val="left"/>
      <w:pPr>
        <w:ind w:left="720" w:hanging="360"/>
      </w:pPr>
      <w:rPr>
        <w:b/>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05D676F"/>
    <w:multiLevelType w:val="multilevel"/>
    <w:tmpl w:val="B57E48D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352E1C"/>
    <w:multiLevelType w:val="hybridMultilevel"/>
    <w:tmpl w:val="63AEA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3264A0B"/>
    <w:multiLevelType w:val="hybridMultilevel"/>
    <w:tmpl w:val="48B221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5731E75"/>
    <w:multiLevelType w:val="hybridMultilevel"/>
    <w:tmpl w:val="EA7A0DC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5D550BF"/>
    <w:multiLevelType w:val="multilevel"/>
    <w:tmpl w:val="F74A6778"/>
    <w:lvl w:ilvl="0">
      <w:start w:val="6"/>
      <w:numFmt w:val="decimal"/>
      <w:lvlText w:val="%1"/>
      <w:lvlJc w:val="left"/>
      <w:pPr>
        <w:ind w:left="525" w:hanging="525"/>
      </w:pPr>
      <w:rPr>
        <w:rFonts w:hint="default"/>
        <w:i w:val="0"/>
      </w:rPr>
    </w:lvl>
    <w:lvl w:ilvl="1">
      <w:start w:val="1"/>
      <w:numFmt w:val="decimal"/>
      <w:lvlText w:val="%1.%2"/>
      <w:lvlJc w:val="left"/>
      <w:pPr>
        <w:ind w:left="705" w:hanging="525"/>
      </w:pPr>
      <w:rPr>
        <w:rFonts w:hint="default"/>
        <w:i w:val="0"/>
      </w:rPr>
    </w:lvl>
    <w:lvl w:ilvl="2">
      <w:start w:val="2"/>
      <w:numFmt w:val="decimal"/>
      <w:lvlText w:val="%1.%2.%3"/>
      <w:lvlJc w:val="left"/>
      <w:pPr>
        <w:ind w:left="1080" w:hanging="720"/>
      </w:pPr>
      <w:rPr>
        <w:rFonts w:hint="default"/>
        <w:i w:val="0"/>
      </w:rPr>
    </w:lvl>
    <w:lvl w:ilvl="3">
      <w:start w:val="1"/>
      <w:numFmt w:val="decimal"/>
      <w:lvlText w:val="%1.%2.%3.%4"/>
      <w:lvlJc w:val="left"/>
      <w:pPr>
        <w:ind w:left="1260" w:hanging="72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1980" w:hanging="108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2700" w:hanging="1440"/>
      </w:pPr>
      <w:rPr>
        <w:rFonts w:hint="default"/>
        <w:i w:val="0"/>
      </w:rPr>
    </w:lvl>
    <w:lvl w:ilvl="8">
      <w:start w:val="1"/>
      <w:numFmt w:val="decimal"/>
      <w:lvlText w:val="%1.%2.%3.%4.%5.%6.%7.%8.%9"/>
      <w:lvlJc w:val="left"/>
      <w:pPr>
        <w:ind w:left="2880" w:hanging="1440"/>
      </w:pPr>
      <w:rPr>
        <w:rFonts w:hint="default"/>
        <w:i w:val="0"/>
      </w:rPr>
    </w:lvl>
  </w:abstractNum>
  <w:abstractNum w:abstractNumId="17" w15:restartNumberingAfterBreak="0">
    <w:nsid w:val="49E80AA9"/>
    <w:multiLevelType w:val="hybridMultilevel"/>
    <w:tmpl w:val="32901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F9A1B64"/>
    <w:multiLevelType w:val="hybridMultilevel"/>
    <w:tmpl w:val="2BEC546C"/>
    <w:lvl w:ilvl="0" w:tplc="14267662">
      <w:start w:val="1"/>
      <w:numFmt w:val="decimal"/>
      <w:pStyle w:val="Prrafonumerado"/>
      <w:lvlText w:val="%1."/>
      <w:lvlJc w:val="left"/>
      <w:pPr>
        <w:ind w:left="8299" w:hanging="360"/>
      </w:pPr>
      <w:rPr>
        <w:rFonts w:ascii="Arial" w:hAnsi="Arial" w:cs="Arial" w:hint="default"/>
        <w:b w:val="0"/>
        <w:i w:val="0"/>
        <w:color w:val="auto"/>
        <w:sz w:val="20"/>
        <w:szCs w:val="20"/>
      </w:rPr>
    </w:lvl>
    <w:lvl w:ilvl="1" w:tplc="25D48602">
      <w:start w:val="1"/>
      <w:numFmt w:val="lowerLetter"/>
      <w:lvlText w:val="%2."/>
      <w:lvlJc w:val="left"/>
      <w:pPr>
        <w:ind w:left="1440" w:hanging="360"/>
      </w:pPr>
      <w:rPr>
        <w:b/>
        <w:bCs/>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51462132"/>
    <w:multiLevelType w:val="hybridMultilevel"/>
    <w:tmpl w:val="F2AC7690"/>
    <w:lvl w:ilvl="0" w:tplc="EB9E8920">
      <w:start w:val="1"/>
      <w:numFmt w:val="lowerLetter"/>
      <w:lvlText w:val="%1)"/>
      <w:lvlJc w:val="left"/>
      <w:pPr>
        <w:ind w:left="720" w:hanging="360"/>
      </w:pPr>
      <w:rPr>
        <w:rFonts w:ascii="Arial" w:hAnsi="Arial" w:cs="Arial"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3311998"/>
    <w:multiLevelType w:val="hybridMultilevel"/>
    <w:tmpl w:val="292E41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BF0170F"/>
    <w:multiLevelType w:val="hybridMultilevel"/>
    <w:tmpl w:val="D2C448E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DF47E14"/>
    <w:multiLevelType w:val="hybridMultilevel"/>
    <w:tmpl w:val="C0040FB0"/>
    <w:lvl w:ilvl="0" w:tplc="23B2ED4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06B0E2E"/>
    <w:multiLevelType w:val="hybridMultilevel"/>
    <w:tmpl w:val="5C5213E2"/>
    <w:lvl w:ilvl="0" w:tplc="080A0017">
      <w:start w:val="1"/>
      <w:numFmt w:val="lowerLetter"/>
      <w:lvlText w:val="%1)"/>
      <w:lvlJc w:val="left"/>
      <w:pPr>
        <w:ind w:left="792" w:hanging="360"/>
      </w:pPr>
    </w:lvl>
    <w:lvl w:ilvl="1" w:tplc="080A0019" w:tentative="1">
      <w:start w:val="1"/>
      <w:numFmt w:val="lowerLetter"/>
      <w:lvlText w:val="%2."/>
      <w:lvlJc w:val="left"/>
      <w:pPr>
        <w:ind w:left="1512" w:hanging="360"/>
      </w:pPr>
    </w:lvl>
    <w:lvl w:ilvl="2" w:tplc="080A001B" w:tentative="1">
      <w:start w:val="1"/>
      <w:numFmt w:val="lowerRoman"/>
      <w:lvlText w:val="%3."/>
      <w:lvlJc w:val="right"/>
      <w:pPr>
        <w:ind w:left="2232" w:hanging="180"/>
      </w:pPr>
    </w:lvl>
    <w:lvl w:ilvl="3" w:tplc="080A000F" w:tentative="1">
      <w:start w:val="1"/>
      <w:numFmt w:val="decimal"/>
      <w:lvlText w:val="%4."/>
      <w:lvlJc w:val="left"/>
      <w:pPr>
        <w:ind w:left="2952" w:hanging="360"/>
      </w:pPr>
    </w:lvl>
    <w:lvl w:ilvl="4" w:tplc="080A0019" w:tentative="1">
      <w:start w:val="1"/>
      <w:numFmt w:val="lowerLetter"/>
      <w:lvlText w:val="%5."/>
      <w:lvlJc w:val="left"/>
      <w:pPr>
        <w:ind w:left="3672" w:hanging="360"/>
      </w:pPr>
    </w:lvl>
    <w:lvl w:ilvl="5" w:tplc="080A001B" w:tentative="1">
      <w:start w:val="1"/>
      <w:numFmt w:val="lowerRoman"/>
      <w:lvlText w:val="%6."/>
      <w:lvlJc w:val="right"/>
      <w:pPr>
        <w:ind w:left="4392" w:hanging="180"/>
      </w:pPr>
    </w:lvl>
    <w:lvl w:ilvl="6" w:tplc="080A000F" w:tentative="1">
      <w:start w:val="1"/>
      <w:numFmt w:val="decimal"/>
      <w:lvlText w:val="%7."/>
      <w:lvlJc w:val="left"/>
      <w:pPr>
        <w:ind w:left="5112" w:hanging="360"/>
      </w:pPr>
    </w:lvl>
    <w:lvl w:ilvl="7" w:tplc="080A0019" w:tentative="1">
      <w:start w:val="1"/>
      <w:numFmt w:val="lowerLetter"/>
      <w:lvlText w:val="%8."/>
      <w:lvlJc w:val="left"/>
      <w:pPr>
        <w:ind w:left="5832" w:hanging="360"/>
      </w:pPr>
    </w:lvl>
    <w:lvl w:ilvl="8" w:tplc="080A001B" w:tentative="1">
      <w:start w:val="1"/>
      <w:numFmt w:val="lowerRoman"/>
      <w:lvlText w:val="%9."/>
      <w:lvlJc w:val="right"/>
      <w:pPr>
        <w:ind w:left="6552" w:hanging="180"/>
      </w:pPr>
    </w:lvl>
  </w:abstractNum>
  <w:abstractNum w:abstractNumId="24" w15:restartNumberingAfterBreak="0">
    <w:nsid w:val="79E47269"/>
    <w:multiLevelType w:val="hybridMultilevel"/>
    <w:tmpl w:val="6A5E14B6"/>
    <w:lvl w:ilvl="0" w:tplc="E3EA48D0">
      <w:start w:val="1"/>
      <w:numFmt w:val="lowerLetter"/>
      <w:lvlText w:val="%1)"/>
      <w:lvlJc w:val="left"/>
      <w:pPr>
        <w:ind w:left="720" w:hanging="360"/>
      </w:pPr>
      <w:rPr>
        <w:rFonts w:ascii="Arial" w:hAnsi="Arial" w:cs="Arial" w:hint="default"/>
        <w:b/>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F3D1D10"/>
    <w:multiLevelType w:val="hybridMultilevel"/>
    <w:tmpl w:val="456A6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6552831">
    <w:abstractNumId w:val="12"/>
  </w:num>
  <w:num w:numId="2" w16cid:durableId="1474443125">
    <w:abstractNumId w:val="11"/>
  </w:num>
  <w:num w:numId="3" w16cid:durableId="11963137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3954234">
    <w:abstractNumId w:val="8"/>
  </w:num>
  <w:num w:numId="5" w16cid:durableId="1143500319">
    <w:abstractNumId w:val="23"/>
  </w:num>
  <w:num w:numId="6" w16cid:durableId="2101834600">
    <w:abstractNumId w:val="14"/>
  </w:num>
  <w:num w:numId="7" w16cid:durableId="1710370861">
    <w:abstractNumId w:val="13"/>
  </w:num>
  <w:num w:numId="8" w16cid:durableId="333075183">
    <w:abstractNumId w:val="25"/>
  </w:num>
  <w:num w:numId="9" w16cid:durableId="1075056538">
    <w:abstractNumId w:val="1"/>
  </w:num>
  <w:num w:numId="10" w16cid:durableId="92359343">
    <w:abstractNumId w:val="5"/>
  </w:num>
  <w:num w:numId="11" w16cid:durableId="1665892146">
    <w:abstractNumId w:val="10"/>
  </w:num>
  <w:num w:numId="12" w16cid:durableId="200022219">
    <w:abstractNumId w:val="21"/>
  </w:num>
  <w:num w:numId="13" w16cid:durableId="1431966919">
    <w:abstractNumId w:val="18"/>
  </w:num>
  <w:num w:numId="14" w16cid:durableId="1713533849">
    <w:abstractNumId w:val="15"/>
  </w:num>
  <w:num w:numId="15" w16cid:durableId="1589076550">
    <w:abstractNumId w:val="0"/>
  </w:num>
  <w:num w:numId="16" w16cid:durableId="758402644">
    <w:abstractNumId w:val="20"/>
  </w:num>
  <w:num w:numId="17" w16cid:durableId="984551176">
    <w:abstractNumId w:val="6"/>
  </w:num>
  <w:num w:numId="18" w16cid:durableId="1896501289">
    <w:abstractNumId w:val="7"/>
  </w:num>
  <w:num w:numId="19" w16cid:durableId="1629161803">
    <w:abstractNumId w:val="9"/>
  </w:num>
  <w:num w:numId="20" w16cid:durableId="249853096">
    <w:abstractNumId w:val="4"/>
  </w:num>
  <w:num w:numId="21" w16cid:durableId="1678145338">
    <w:abstractNumId w:val="17"/>
  </w:num>
  <w:num w:numId="22" w16cid:durableId="754596397">
    <w:abstractNumId w:val="3"/>
  </w:num>
  <w:num w:numId="23" w16cid:durableId="34501716">
    <w:abstractNumId w:val="16"/>
  </w:num>
  <w:num w:numId="24" w16cid:durableId="1256010640">
    <w:abstractNumId w:val="24"/>
  </w:num>
  <w:num w:numId="25" w16cid:durableId="536626089">
    <w:abstractNumId w:val="19"/>
  </w:num>
  <w:num w:numId="26" w16cid:durableId="1815873063">
    <w:abstractNumId w:val="22"/>
  </w:num>
  <w:num w:numId="27" w16cid:durableId="125200720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E74"/>
    <w:rsid w:val="0001325D"/>
    <w:rsid w:val="000B6463"/>
    <w:rsid w:val="00112EB9"/>
    <w:rsid w:val="001443DF"/>
    <w:rsid w:val="00144D22"/>
    <w:rsid w:val="001B06E8"/>
    <w:rsid w:val="00247B50"/>
    <w:rsid w:val="00272C23"/>
    <w:rsid w:val="002C7E99"/>
    <w:rsid w:val="00313E67"/>
    <w:rsid w:val="003247C7"/>
    <w:rsid w:val="003B1623"/>
    <w:rsid w:val="003E0ED1"/>
    <w:rsid w:val="00432ACB"/>
    <w:rsid w:val="004502BB"/>
    <w:rsid w:val="004914D9"/>
    <w:rsid w:val="004A12C3"/>
    <w:rsid w:val="004F12D2"/>
    <w:rsid w:val="00530162"/>
    <w:rsid w:val="00552CF8"/>
    <w:rsid w:val="005A754B"/>
    <w:rsid w:val="005D4B69"/>
    <w:rsid w:val="00660852"/>
    <w:rsid w:val="006D014B"/>
    <w:rsid w:val="006E71D0"/>
    <w:rsid w:val="007473EE"/>
    <w:rsid w:val="00756B64"/>
    <w:rsid w:val="0089403B"/>
    <w:rsid w:val="00905D1C"/>
    <w:rsid w:val="00956B7C"/>
    <w:rsid w:val="009D2A68"/>
    <w:rsid w:val="00A66856"/>
    <w:rsid w:val="00AB5582"/>
    <w:rsid w:val="00B13E58"/>
    <w:rsid w:val="00B51D2C"/>
    <w:rsid w:val="00B761B3"/>
    <w:rsid w:val="00BE1E74"/>
    <w:rsid w:val="00CA4618"/>
    <w:rsid w:val="00CC60E7"/>
    <w:rsid w:val="00D330BE"/>
    <w:rsid w:val="00D91AE9"/>
    <w:rsid w:val="00DF6FE0"/>
    <w:rsid w:val="00F314B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358E1"/>
  <w15:docId w15:val="{421E2490-7B31-4D0E-847B-B804B6C3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99"/>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character" w:styleId="Nmerodepgina">
    <w:name w:val="page number"/>
    <w:basedOn w:val="Fuentedeprrafopredete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AB List 1,Bullet Points"/>
    <w:basedOn w:val="Normal"/>
    <w:link w:val="PrrafodelistaCar"/>
    <w:uiPriority w:val="34"/>
    <w:qFormat/>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basedOn w:val="Fuentedeprrafopredeter"/>
    <w:link w:val="4GChar"/>
    <w:uiPriority w:val="99"/>
    <w:unhideWhenUsed/>
    <w:qFormat/>
    <w:rPr>
      <w:vertAlign w:val="superscript"/>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style>
  <w:style w:type="paragraph" w:styleId="Textoindependiente">
    <w:name w:val="Body Text"/>
    <w:basedOn w:val="Normal"/>
    <w:link w:val="TextoindependienteCar"/>
    <w:uiPriority w:val="99"/>
    <w:unhideWhenUsed/>
    <w:pPr>
      <w:spacing w:after="120" w:line="240" w:lineRule="auto"/>
    </w:pPr>
    <w:rPr>
      <w:rFonts w:ascii="Arial" w:eastAsia="Times New Roman" w:hAnsi="Arial" w:cs="Times New Roman"/>
      <w:sz w:val="28"/>
      <w:szCs w:val="28"/>
    </w:rPr>
  </w:style>
  <w:style w:type="character" w:customStyle="1" w:styleId="TextoindependienteCar">
    <w:name w:val="Texto independiente Car"/>
    <w:basedOn w:val="Fuentedeprrafopredeter"/>
    <w:link w:val="Textoindependiente"/>
    <w:uiPriority w:val="99"/>
    <w:rPr>
      <w:rFonts w:ascii="Arial" w:eastAsia="Times New Roman" w:hAnsi="Arial" w:cs="Times New Roman"/>
      <w:sz w:val="28"/>
      <w:szCs w:val="28"/>
      <w:lang w:eastAsia="es-MX"/>
    </w:rPr>
  </w:style>
  <w:style w:type="paragraph" w:customStyle="1" w:styleId="Default">
    <w:name w:val="Default"/>
    <w:qFormat/>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Pr>
      <w:color w:val="0563C1" w:themeColor="hyperlink"/>
      <w:u w:val="single"/>
    </w:rPr>
  </w:style>
  <w:style w:type="paragraph" w:styleId="Sangradetextonormal">
    <w:name w:val="Body Text Indent"/>
    <w:basedOn w:val="Normal"/>
    <w:link w:val="SangradetextonormalCar"/>
    <w:uiPriority w:val="99"/>
    <w:unhideWhenUsed/>
    <w:pPr>
      <w:spacing w:after="120"/>
      <w:ind w:left="283"/>
    </w:pPr>
  </w:style>
  <w:style w:type="character" w:customStyle="1" w:styleId="SangradetextonormalCar">
    <w:name w:val="Sangría de texto normal Car"/>
    <w:basedOn w:val="Fuentedeprrafopredeter"/>
    <w:link w:val="Sangradetextonormal"/>
    <w:uiPriority w:val="99"/>
  </w:style>
  <w:style w:type="table" w:styleId="Tablaconcuadrcula">
    <w:name w:val="Table Grid"/>
    <w:basedOn w:val="Tabla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Car Car"/>
    <w:basedOn w:val="Normal"/>
    <w:link w:val="NormalWebC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Pr>
      <w:rFonts w:ascii="Times New Roman" w:eastAsia="Times New Roman" w:hAnsi="Times New Roman" w:cs="Times New Roman"/>
      <w:sz w:val="24"/>
      <w:szCs w:val="24"/>
      <w:lang w:eastAsia="es-MX"/>
    </w:rPr>
  </w:style>
  <w:style w:type="paragraph" w:styleId="Sinespaciado">
    <w:name w:val="No Spacing"/>
    <w:aliases w:val="RESOLUTIVOS"/>
    <w:link w:val="SinespaciadoCar"/>
    <w:uiPriority w:val="1"/>
    <w:qFormat/>
    <w:pPr>
      <w:spacing w:after="0" w:line="360" w:lineRule="auto"/>
      <w:jc w:val="both"/>
    </w:pPr>
    <w:rPr>
      <w:rFonts w:ascii="Arial" w:hAnsi="Arial" w:cs="Arial"/>
      <w:sz w:val="28"/>
      <w:szCs w:val="28"/>
    </w:rPr>
  </w:style>
  <w:style w:type="character" w:customStyle="1" w:styleId="SinespaciadoCar">
    <w:name w:val="Sin espaciado Car"/>
    <w:aliases w:val="RESOLUTIVOS Car"/>
    <w:basedOn w:val="Fuentedeprrafopredeter"/>
    <w:link w:val="Sinespaciado"/>
    <w:uiPriority w:val="1"/>
    <w:qFormat/>
    <w:rPr>
      <w:rFonts w:ascii="Arial" w:eastAsia="Calibri" w:hAnsi="Arial" w:cs="Arial"/>
      <w:sz w:val="28"/>
      <w:szCs w:val="28"/>
    </w:rPr>
  </w:style>
  <w:style w:type="character" w:customStyle="1" w:styleId="CarCar1Car">
    <w:name w:val="Car Car1 Car"/>
    <w:aliases w:val="Normal (Web) Car1 Car Car Car Car,Normal (Web) Car Car Car Car Car Car Car Car Car Car Car Car,Car Car Car Car1 Car,Car Car Car Car Car Car Car"/>
    <w:uiPriority w:val="99"/>
    <w:locked/>
    <w:rPr>
      <w:rFonts w:ascii="Times New Roman" w:eastAsia="Times New Roman" w:hAnsi="Times New Roman" w:cs="Times New Roman"/>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pPr>
      <w:spacing w:line="256" w:lineRule="auto"/>
      <w:jc w:val="both"/>
    </w:pPr>
    <w:rPr>
      <w:vertAlign w:val="superscript"/>
    </w:rPr>
  </w:style>
  <w:style w:type="paragraph" w:customStyle="1" w:styleId="Normal0">
    <w:name w:val="[Normal]"/>
    <w:link w:val="NormalCar"/>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Pr>
      <w:rFonts w:ascii="Arial" w:eastAsia="Times New Roman" w:hAnsi="Arial" w:cs="Arial"/>
      <w:sz w:val="24"/>
      <w:szCs w:val="24"/>
      <w:lang w:val="es-ES" w:eastAsia="es-ES"/>
    </w:rPr>
  </w:style>
  <w:style w:type="character" w:customStyle="1" w:styleId="Ttulo2Car">
    <w:name w:val="Título 2 Car"/>
    <w:basedOn w:val="Fuentedeprrafopredeter"/>
    <w:link w:val="Ttulo2"/>
    <w:uiPriority w:val="9"/>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pPr>
      <w:outlineLvl w:val="9"/>
    </w:pPr>
  </w:style>
  <w:style w:type="paragraph" w:styleId="TDC2">
    <w:name w:val="toc 2"/>
    <w:basedOn w:val="Normal"/>
    <w:next w:val="Normal"/>
    <w:autoRedefine/>
    <w:uiPriority w:val="39"/>
    <w:unhideWhenUsed/>
    <w:pPr>
      <w:tabs>
        <w:tab w:val="right" w:leader="dot" w:pos="7513"/>
      </w:tabs>
      <w:spacing w:before="120" w:after="120" w:line="240" w:lineRule="auto"/>
      <w:ind w:left="567" w:right="283"/>
      <w:jc w:val="both"/>
    </w:pPr>
    <w:rPr>
      <w:rFonts w:ascii="Arial" w:hAnsi="Arial" w:cs="Arial"/>
      <w:b/>
      <w:bCs/>
      <w:noProof/>
      <w:sz w:val="20"/>
      <w:szCs w:val="20"/>
    </w:rPr>
  </w:style>
  <w:style w:type="paragraph" w:styleId="TDC1">
    <w:name w:val="toc 1"/>
    <w:basedOn w:val="Normal"/>
    <w:next w:val="Normal"/>
    <w:autoRedefine/>
    <w:uiPriority w:val="39"/>
    <w:unhideWhenUsed/>
    <w:pPr>
      <w:tabs>
        <w:tab w:val="right" w:leader="dot" w:pos="7696"/>
      </w:tabs>
      <w:spacing w:before="120" w:after="120" w:line="240" w:lineRule="auto"/>
      <w:ind w:left="567"/>
      <w:jc w:val="both"/>
    </w:pPr>
    <w:rPr>
      <w:rFonts w:ascii="Arial Narrow" w:eastAsiaTheme="minorEastAsia" w:hAnsi="Arial Narrow" w:cs="Arial"/>
      <w:b/>
      <w:bCs/>
      <w:noProof/>
      <w:sz w:val="20"/>
      <w:szCs w:val="20"/>
      <w:lang w:val="es-ES_tradnl"/>
    </w:rPr>
  </w:style>
  <w:style w:type="paragraph" w:styleId="TDC3">
    <w:name w:val="toc 3"/>
    <w:basedOn w:val="Normal"/>
    <w:next w:val="Normal"/>
    <w:autoRedefine/>
    <w:uiPriority w:val="39"/>
    <w:unhideWhenUsed/>
    <w:pPr>
      <w:spacing w:after="100"/>
      <w:ind w:left="446"/>
      <w:jc w:val="center"/>
    </w:pPr>
    <w:rPr>
      <w:rFonts w:ascii="Arial" w:eastAsiaTheme="minorEastAsia" w:hAnsi="Arial" w:cs="Arial"/>
      <w:b/>
      <w:bC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sz w:val="20"/>
      <w:szCs w:val="20"/>
    </w:rPr>
  </w:style>
  <w:style w:type="character" w:customStyle="1" w:styleId="corte4fondoCarCar1">
    <w:name w:val="corte4 fondo Car Car1"/>
    <w:link w:val="corte4fondoCar"/>
    <w:locked/>
    <w:rPr>
      <w:sz w:val="30"/>
      <w:lang w:val="es-ES_tradnl"/>
    </w:rPr>
  </w:style>
  <w:style w:type="paragraph" w:customStyle="1" w:styleId="corte4fondoCar">
    <w:name w:val="corte4 fondo Car"/>
    <w:basedOn w:val="Normal"/>
    <w:link w:val="corte4fondoCarCar1"/>
    <w:pPr>
      <w:spacing w:after="0" w:line="360" w:lineRule="auto"/>
      <w:ind w:firstLine="709"/>
      <w:jc w:val="both"/>
    </w:pPr>
    <w:rPr>
      <w:sz w:val="30"/>
      <w:lang w:val="es-ES_tradnl"/>
    </w:rPr>
  </w:style>
  <w:style w:type="character" w:styleId="nfasis">
    <w:name w:val="Emphasis"/>
    <w:basedOn w:val="Fuentedeprrafopredeter"/>
    <w:uiPriority w:val="20"/>
    <w:qFormat/>
    <w:rPr>
      <w:i/>
      <w:iCs/>
    </w:rPr>
  </w:style>
  <w:style w:type="character" w:styleId="Fuerte">
    <w:name w:val="Strong"/>
    <w:basedOn w:val="Fuentedeprrafopredeter"/>
    <w:uiPriority w:val="22"/>
    <w:qFormat/>
    <w:rPr>
      <w:b/>
      <w:bCs/>
    </w:rPr>
  </w:style>
  <w:style w:type="character" w:styleId="Mencinsinresolver">
    <w:name w:val="Unresolved Mention"/>
    <w:basedOn w:val="Fuentedeprrafopredeter"/>
    <w:uiPriority w:val="99"/>
    <w:semiHidden/>
    <w:unhideWhenUse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styleId="Tabladelista3">
    <w:name w:val="List Table 3"/>
    <w:basedOn w:val="Tablanormal"/>
    <w:uiPriority w:val="4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4-nfasis1">
    <w:name w:val="Grid Table 4 Accent 1"/>
    <w:basedOn w:val="Tablanormal"/>
    <w:uiPriority w:val="49"/>
    <w:pPr>
      <w:spacing w:after="0" w:line="240" w:lineRule="auto"/>
    </w:pPr>
    <w:rPr>
      <w:rFonts w:asciiTheme="minorHAnsi" w:eastAsiaTheme="minorHAnsi" w:hAnsiTheme="minorHAnsi" w:cstheme="minorBidi"/>
      <w:kern w:val="2"/>
      <w:lang w:eastAsia="en-U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rrafonumerado">
    <w:name w:val="Párrafo numerado"/>
    <w:basedOn w:val="Normal"/>
    <w:qFormat/>
    <w:pPr>
      <w:numPr>
        <w:numId w:val="3"/>
      </w:numPr>
      <w:spacing w:before="240" w:after="240" w:line="360" w:lineRule="auto"/>
      <w:jc w:val="both"/>
    </w:pPr>
    <w:rPr>
      <w:rFonts w:ascii="Arial" w:eastAsiaTheme="minorHAnsi" w:hAnsi="Arial" w:cs="Arial"/>
      <w:sz w:val="26"/>
      <w:szCs w:val="26"/>
      <w:lang w:eastAsia="en-US"/>
    </w:rPr>
  </w:style>
  <w:style w:type="table" w:styleId="Tablaconcuadrcula4-nfasis5">
    <w:name w:val="Grid Table 4 Accent 5"/>
    <w:basedOn w:val="Tablanormal"/>
    <w:uiPriority w:val="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ipervnculovisitado">
    <w:name w:val="FollowedHyperlink"/>
    <w:basedOn w:val="Fuentedeprrafopredeter"/>
    <w:uiPriority w:val="99"/>
    <w:semiHidden/>
    <w:unhideWhenUsed/>
    <w:rPr>
      <w:color w:val="954F72" w:themeColor="followedHyperlink"/>
      <w:u w:val="single"/>
    </w:rPr>
  </w:style>
  <w:style w:type="paragraph" w:styleId="Lista">
    <w:name w:val="List"/>
    <w:basedOn w:val="Normal"/>
    <w:uiPriority w:val="99"/>
    <w:unhideWhenUsed/>
    <w:pPr>
      <w:ind w:left="283" w:hanging="283"/>
      <w:contextualSpacing/>
    </w:pPr>
  </w:style>
  <w:style w:type="paragraph" w:styleId="Lista2">
    <w:name w:val="List 2"/>
    <w:basedOn w:val="Normal"/>
    <w:uiPriority w:val="99"/>
    <w:unhideWhenUsed/>
    <w:pPr>
      <w:ind w:left="566" w:hanging="283"/>
      <w:contextualSpacing/>
    </w:pPr>
  </w:style>
  <w:style w:type="paragraph" w:styleId="Textoindependienteprimerasangra2">
    <w:name w:val="Body Text First Indent 2"/>
    <w:basedOn w:val="Sangradetextonormal"/>
    <w:link w:val="Textoindependienteprimerasangra2Car"/>
    <w:uiPriority w:val="99"/>
    <w:unhideWhenUse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tyle>
  <w:style w:type="table" w:customStyle="1" w:styleId="TableNormal2">
    <w:name w:val="Table Normal2"/>
    <w:tblPr>
      <w:tblCellMar>
        <w:top w:w="0" w:type="dxa"/>
        <w:left w:w="0" w:type="dxa"/>
        <w:bottom w:w="0" w:type="dxa"/>
        <w:right w:w="0" w:type="dxa"/>
      </w:tblCellMar>
    </w:tblPr>
  </w:style>
  <w:style w:type="paragraph" w:styleId="Revisin">
    <w:name w:val="Revision"/>
    <w:hidden/>
    <w:uiPriority w:val="99"/>
    <w:semiHidden/>
    <w:pPr>
      <w:spacing w:after="0" w:line="240" w:lineRule="auto"/>
    </w:pPr>
  </w:style>
  <w:style w:type="table" w:styleId="Tablanormal4">
    <w:name w:val="Plain Table 4"/>
    <w:basedOn w:val="Tabla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6215">
      <w:bodyDiv w:val="1"/>
      <w:marLeft w:val="0"/>
      <w:marRight w:val="0"/>
      <w:marTop w:val="0"/>
      <w:marBottom w:val="0"/>
      <w:divBdr>
        <w:top w:val="none" w:sz="0" w:space="0" w:color="auto"/>
        <w:left w:val="none" w:sz="0" w:space="0" w:color="auto"/>
        <w:bottom w:val="none" w:sz="0" w:space="0" w:color="auto"/>
        <w:right w:val="none" w:sz="0" w:space="0" w:color="auto"/>
      </w:divBdr>
      <w:divsChild>
        <w:div w:id="197206567">
          <w:marLeft w:val="0"/>
          <w:marRight w:val="0"/>
          <w:marTop w:val="0"/>
          <w:marBottom w:val="0"/>
          <w:divBdr>
            <w:top w:val="none" w:sz="0" w:space="0" w:color="auto"/>
            <w:left w:val="none" w:sz="0" w:space="0" w:color="auto"/>
            <w:bottom w:val="none" w:sz="0" w:space="0" w:color="auto"/>
            <w:right w:val="none" w:sz="0" w:space="0" w:color="auto"/>
          </w:divBdr>
        </w:div>
        <w:div w:id="277687856">
          <w:marLeft w:val="0"/>
          <w:marRight w:val="0"/>
          <w:marTop w:val="0"/>
          <w:marBottom w:val="0"/>
          <w:divBdr>
            <w:top w:val="none" w:sz="0" w:space="0" w:color="auto"/>
            <w:left w:val="none" w:sz="0" w:space="0" w:color="auto"/>
            <w:bottom w:val="none" w:sz="0" w:space="0" w:color="auto"/>
            <w:right w:val="none" w:sz="0" w:space="0" w:color="auto"/>
          </w:divBdr>
        </w:div>
        <w:div w:id="719790719">
          <w:marLeft w:val="0"/>
          <w:marRight w:val="0"/>
          <w:marTop w:val="0"/>
          <w:marBottom w:val="0"/>
          <w:divBdr>
            <w:top w:val="none" w:sz="0" w:space="0" w:color="auto"/>
            <w:left w:val="none" w:sz="0" w:space="0" w:color="auto"/>
            <w:bottom w:val="none" w:sz="0" w:space="0" w:color="auto"/>
            <w:right w:val="none" w:sz="0" w:space="0" w:color="auto"/>
          </w:divBdr>
        </w:div>
        <w:div w:id="989210733">
          <w:marLeft w:val="0"/>
          <w:marRight w:val="0"/>
          <w:marTop w:val="0"/>
          <w:marBottom w:val="0"/>
          <w:divBdr>
            <w:top w:val="none" w:sz="0" w:space="0" w:color="auto"/>
            <w:left w:val="none" w:sz="0" w:space="0" w:color="auto"/>
            <w:bottom w:val="none" w:sz="0" w:space="0" w:color="auto"/>
            <w:right w:val="none" w:sz="0" w:space="0" w:color="auto"/>
          </w:divBdr>
        </w:div>
        <w:div w:id="1323003653">
          <w:marLeft w:val="0"/>
          <w:marRight w:val="0"/>
          <w:marTop w:val="0"/>
          <w:marBottom w:val="0"/>
          <w:divBdr>
            <w:top w:val="none" w:sz="0" w:space="0" w:color="auto"/>
            <w:left w:val="none" w:sz="0" w:space="0" w:color="auto"/>
            <w:bottom w:val="none" w:sz="0" w:space="0" w:color="auto"/>
            <w:right w:val="none" w:sz="0" w:space="0" w:color="auto"/>
          </w:divBdr>
        </w:div>
        <w:div w:id="1969360964">
          <w:marLeft w:val="0"/>
          <w:marRight w:val="0"/>
          <w:marTop w:val="0"/>
          <w:marBottom w:val="0"/>
          <w:divBdr>
            <w:top w:val="none" w:sz="0" w:space="0" w:color="auto"/>
            <w:left w:val="none" w:sz="0" w:space="0" w:color="auto"/>
            <w:bottom w:val="none" w:sz="0" w:space="0" w:color="auto"/>
            <w:right w:val="none" w:sz="0" w:space="0" w:color="auto"/>
          </w:divBdr>
        </w:div>
      </w:divsChild>
    </w:div>
    <w:div w:id="29915237">
      <w:bodyDiv w:val="1"/>
      <w:marLeft w:val="0"/>
      <w:marRight w:val="0"/>
      <w:marTop w:val="0"/>
      <w:marBottom w:val="0"/>
      <w:divBdr>
        <w:top w:val="none" w:sz="0" w:space="0" w:color="auto"/>
        <w:left w:val="none" w:sz="0" w:space="0" w:color="auto"/>
        <w:bottom w:val="none" w:sz="0" w:space="0" w:color="auto"/>
        <w:right w:val="none" w:sz="0" w:space="0" w:color="auto"/>
      </w:divBdr>
      <w:divsChild>
        <w:div w:id="143283341">
          <w:marLeft w:val="0"/>
          <w:marRight w:val="0"/>
          <w:marTop w:val="0"/>
          <w:marBottom w:val="0"/>
          <w:divBdr>
            <w:top w:val="none" w:sz="0" w:space="0" w:color="auto"/>
            <w:left w:val="none" w:sz="0" w:space="0" w:color="auto"/>
            <w:bottom w:val="none" w:sz="0" w:space="0" w:color="auto"/>
            <w:right w:val="none" w:sz="0" w:space="0" w:color="auto"/>
          </w:divBdr>
        </w:div>
        <w:div w:id="164440622">
          <w:marLeft w:val="0"/>
          <w:marRight w:val="0"/>
          <w:marTop w:val="0"/>
          <w:marBottom w:val="0"/>
          <w:divBdr>
            <w:top w:val="none" w:sz="0" w:space="0" w:color="auto"/>
            <w:left w:val="none" w:sz="0" w:space="0" w:color="auto"/>
            <w:bottom w:val="none" w:sz="0" w:space="0" w:color="auto"/>
            <w:right w:val="none" w:sz="0" w:space="0" w:color="auto"/>
          </w:divBdr>
        </w:div>
        <w:div w:id="225922854">
          <w:marLeft w:val="0"/>
          <w:marRight w:val="0"/>
          <w:marTop w:val="0"/>
          <w:marBottom w:val="0"/>
          <w:divBdr>
            <w:top w:val="none" w:sz="0" w:space="0" w:color="auto"/>
            <w:left w:val="none" w:sz="0" w:space="0" w:color="auto"/>
            <w:bottom w:val="none" w:sz="0" w:space="0" w:color="auto"/>
            <w:right w:val="none" w:sz="0" w:space="0" w:color="auto"/>
          </w:divBdr>
        </w:div>
        <w:div w:id="479342931">
          <w:marLeft w:val="0"/>
          <w:marRight w:val="0"/>
          <w:marTop w:val="0"/>
          <w:marBottom w:val="0"/>
          <w:divBdr>
            <w:top w:val="none" w:sz="0" w:space="0" w:color="auto"/>
            <w:left w:val="none" w:sz="0" w:space="0" w:color="auto"/>
            <w:bottom w:val="none" w:sz="0" w:space="0" w:color="auto"/>
            <w:right w:val="none" w:sz="0" w:space="0" w:color="auto"/>
          </w:divBdr>
        </w:div>
        <w:div w:id="488248347">
          <w:marLeft w:val="0"/>
          <w:marRight w:val="0"/>
          <w:marTop w:val="0"/>
          <w:marBottom w:val="0"/>
          <w:divBdr>
            <w:top w:val="none" w:sz="0" w:space="0" w:color="auto"/>
            <w:left w:val="none" w:sz="0" w:space="0" w:color="auto"/>
            <w:bottom w:val="none" w:sz="0" w:space="0" w:color="auto"/>
            <w:right w:val="none" w:sz="0" w:space="0" w:color="auto"/>
          </w:divBdr>
        </w:div>
        <w:div w:id="732823627">
          <w:marLeft w:val="0"/>
          <w:marRight w:val="0"/>
          <w:marTop w:val="0"/>
          <w:marBottom w:val="0"/>
          <w:divBdr>
            <w:top w:val="none" w:sz="0" w:space="0" w:color="auto"/>
            <w:left w:val="none" w:sz="0" w:space="0" w:color="auto"/>
            <w:bottom w:val="none" w:sz="0" w:space="0" w:color="auto"/>
            <w:right w:val="none" w:sz="0" w:space="0" w:color="auto"/>
          </w:divBdr>
        </w:div>
        <w:div w:id="979118652">
          <w:marLeft w:val="0"/>
          <w:marRight w:val="0"/>
          <w:marTop w:val="0"/>
          <w:marBottom w:val="0"/>
          <w:divBdr>
            <w:top w:val="none" w:sz="0" w:space="0" w:color="auto"/>
            <w:left w:val="none" w:sz="0" w:space="0" w:color="auto"/>
            <w:bottom w:val="none" w:sz="0" w:space="0" w:color="auto"/>
            <w:right w:val="none" w:sz="0" w:space="0" w:color="auto"/>
          </w:divBdr>
        </w:div>
        <w:div w:id="1087732678">
          <w:marLeft w:val="0"/>
          <w:marRight w:val="0"/>
          <w:marTop w:val="0"/>
          <w:marBottom w:val="0"/>
          <w:divBdr>
            <w:top w:val="none" w:sz="0" w:space="0" w:color="auto"/>
            <w:left w:val="none" w:sz="0" w:space="0" w:color="auto"/>
            <w:bottom w:val="none" w:sz="0" w:space="0" w:color="auto"/>
            <w:right w:val="none" w:sz="0" w:space="0" w:color="auto"/>
          </w:divBdr>
        </w:div>
        <w:div w:id="1150251640">
          <w:marLeft w:val="0"/>
          <w:marRight w:val="0"/>
          <w:marTop w:val="0"/>
          <w:marBottom w:val="0"/>
          <w:divBdr>
            <w:top w:val="none" w:sz="0" w:space="0" w:color="auto"/>
            <w:left w:val="none" w:sz="0" w:space="0" w:color="auto"/>
            <w:bottom w:val="none" w:sz="0" w:space="0" w:color="auto"/>
            <w:right w:val="none" w:sz="0" w:space="0" w:color="auto"/>
          </w:divBdr>
        </w:div>
        <w:div w:id="1179545461">
          <w:marLeft w:val="0"/>
          <w:marRight w:val="0"/>
          <w:marTop w:val="0"/>
          <w:marBottom w:val="0"/>
          <w:divBdr>
            <w:top w:val="none" w:sz="0" w:space="0" w:color="auto"/>
            <w:left w:val="none" w:sz="0" w:space="0" w:color="auto"/>
            <w:bottom w:val="none" w:sz="0" w:space="0" w:color="auto"/>
            <w:right w:val="none" w:sz="0" w:space="0" w:color="auto"/>
          </w:divBdr>
        </w:div>
        <w:div w:id="1180041607">
          <w:marLeft w:val="0"/>
          <w:marRight w:val="0"/>
          <w:marTop w:val="0"/>
          <w:marBottom w:val="0"/>
          <w:divBdr>
            <w:top w:val="none" w:sz="0" w:space="0" w:color="auto"/>
            <w:left w:val="none" w:sz="0" w:space="0" w:color="auto"/>
            <w:bottom w:val="none" w:sz="0" w:space="0" w:color="auto"/>
            <w:right w:val="none" w:sz="0" w:space="0" w:color="auto"/>
          </w:divBdr>
        </w:div>
        <w:div w:id="1181432666">
          <w:marLeft w:val="0"/>
          <w:marRight w:val="0"/>
          <w:marTop w:val="0"/>
          <w:marBottom w:val="0"/>
          <w:divBdr>
            <w:top w:val="none" w:sz="0" w:space="0" w:color="auto"/>
            <w:left w:val="none" w:sz="0" w:space="0" w:color="auto"/>
            <w:bottom w:val="none" w:sz="0" w:space="0" w:color="auto"/>
            <w:right w:val="none" w:sz="0" w:space="0" w:color="auto"/>
          </w:divBdr>
        </w:div>
        <w:div w:id="1450322136">
          <w:marLeft w:val="0"/>
          <w:marRight w:val="0"/>
          <w:marTop w:val="0"/>
          <w:marBottom w:val="0"/>
          <w:divBdr>
            <w:top w:val="none" w:sz="0" w:space="0" w:color="auto"/>
            <w:left w:val="none" w:sz="0" w:space="0" w:color="auto"/>
            <w:bottom w:val="none" w:sz="0" w:space="0" w:color="auto"/>
            <w:right w:val="none" w:sz="0" w:space="0" w:color="auto"/>
          </w:divBdr>
        </w:div>
        <w:div w:id="1666201441">
          <w:marLeft w:val="0"/>
          <w:marRight w:val="0"/>
          <w:marTop w:val="0"/>
          <w:marBottom w:val="0"/>
          <w:divBdr>
            <w:top w:val="none" w:sz="0" w:space="0" w:color="auto"/>
            <w:left w:val="none" w:sz="0" w:space="0" w:color="auto"/>
            <w:bottom w:val="none" w:sz="0" w:space="0" w:color="auto"/>
            <w:right w:val="none" w:sz="0" w:space="0" w:color="auto"/>
          </w:divBdr>
        </w:div>
        <w:div w:id="1755980087">
          <w:marLeft w:val="0"/>
          <w:marRight w:val="0"/>
          <w:marTop w:val="0"/>
          <w:marBottom w:val="0"/>
          <w:divBdr>
            <w:top w:val="none" w:sz="0" w:space="0" w:color="auto"/>
            <w:left w:val="none" w:sz="0" w:space="0" w:color="auto"/>
            <w:bottom w:val="none" w:sz="0" w:space="0" w:color="auto"/>
            <w:right w:val="none" w:sz="0" w:space="0" w:color="auto"/>
          </w:divBdr>
        </w:div>
        <w:div w:id="1947346217">
          <w:marLeft w:val="0"/>
          <w:marRight w:val="0"/>
          <w:marTop w:val="0"/>
          <w:marBottom w:val="0"/>
          <w:divBdr>
            <w:top w:val="none" w:sz="0" w:space="0" w:color="auto"/>
            <w:left w:val="none" w:sz="0" w:space="0" w:color="auto"/>
            <w:bottom w:val="none" w:sz="0" w:space="0" w:color="auto"/>
            <w:right w:val="none" w:sz="0" w:space="0" w:color="auto"/>
          </w:divBdr>
        </w:div>
        <w:div w:id="1950503435">
          <w:marLeft w:val="0"/>
          <w:marRight w:val="0"/>
          <w:marTop w:val="0"/>
          <w:marBottom w:val="0"/>
          <w:divBdr>
            <w:top w:val="none" w:sz="0" w:space="0" w:color="auto"/>
            <w:left w:val="none" w:sz="0" w:space="0" w:color="auto"/>
            <w:bottom w:val="none" w:sz="0" w:space="0" w:color="auto"/>
            <w:right w:val="none" w:sz="0" w:space="0" w:color="auto"/>
          </w:divBdr>
        </w:div>
        <w:div w:id="1971325725">
          <w:marLeft w:val="0"/>
          <w:marRight w:val="0"/>
          <w:marTop w:val="0"/>
          <w:marBottom w:val="0"/>
          <w:divBdr>
            <w:top w:val="none" w:sz="0" w:space="0" w:color="auto"/>
            <w:left w:val="none" w:sz="0" w:space="0" w:color="auto"/>
            <w:bottom w:val="none" w:sz="0" w:space="0" w:color="auto"/>
            <w:right w:val="none" w:sz="0" w:space="0" w:color="auto"/>
          </w:divBdr>
        </w:div>
      </w:divsChild>
    </w:div>
    <w:div w:id="35128724">
      <w:bodyDiv w:val="1"/>
      <w:marLeft w:val="0"/>
      <w:marRight w:val="0"/>
      <w:marTop w:val="0"/>
      <w:marBottom w:val="0"/>
      <w:divBdr>
        <w:top w:val="none" w:sz="0" w:space="0" w:color="auto"/>
        <w:left w:val="none" w:sz="0" w:space="0" w:color="auto"/>
        <w:bottom w:val="none" w:sz="0" w:space="0" w:color="auto"/>
        <w:right w:val="none" w:sz="0" w:space="0" w:color="auto"/>
      </w:divBdr>
      <w:divsChild>
        <w:div w:id="500120288">
          <w:marLeft w:val="0"/>
          <w:marRight w:val="0"/>
          <w:marTop w:val="0"/>
          <w:marBottom w:val="0"/>
          <w:divBdr>
            <w:top w:val="none" w:sz="0" w:space="0" w:color="auto"/>
            <w:left w:val="none" w:sz="0" w:space="0" w:color="auto"/>
            <w:bottom w:val="none" w:sz="0" w:space="0" w:color="auto"/>
            <w:right w:val="none" w:sz="0" w:space="0" w:color="auto"/>
          </w:divBdr>
        </w:div>
        <w:div w:id="1263145288">
          <w:marLeft w:val="0"/>
          <w:marRight w:val="0"/>
          <w:marTop w:val="0"/>
          <w:marBottom w:val="0"/>
          <w:divBdr>
            <w:top w:val="none" w:sz="0" w:space="0" w:color="auto"/>
            <w:left w:val="none" w:sz="0" w:space="0" w:color="auto"/>
            <w:bottom w:val="none" w:sz="0" w:space="0" w:color="auto"/>
            <w:right w:val="none" w:sz="0" w:space="0" w:color="auto"/>
          </w:divBdr>
        </w:div>
      </w:divsChild>
    </w:div>
    <w:div w:id="76900181">
      <w:bodyDiv w:val="1"/>
      <w:marLeft w:val="0"/>
      <w:marRight w:val="0"/>
      <w:marTop w:val="0"/>
      <w:marBottom w:val="0"/>
      <w:divBdr>
        <w:top w:val="none" w:sz="0" w:space="0" w:color="auto"/>
        <w:left w:val="none" w:sz="0" w:space="0" w:color="auto"/>
        <w:bottom w:val="none" w:sz="0" w:space="0" w:color="auto"/>
        <w:right w:val="none" w:sz="0" w:space="0" w:color="auto"/>
      </w:divBdr>
    </w:div>
    <w:div w:id="83956895">
      <w:bodyDiv w:val="1"/>
      <w:marLeft w:val="0"/>
      <w:marRight w:val="0"/>
      <w:marTop w:val="0"/>
      <w:marBottom w:val="0"/>
      <w:divBdr>
        <w:top w:val="none" w:sz="0" w:space="0" w:color="auto"/>
        <w:left w:val="none" w:sz="0" w:space="0" w:color="auto"/>
        <w:bottom w:val="none" w:sz="0" w:space="0" w:color="auto"/>
        <w:right w:val="none" w:sz="0" w:space="0" w:color="auto"/>
      </w:divBdr>
      <w:divsChild>
        <w:div w:id="424805239">
          <w:marLeft w:val="0"/>
          <w:marRight w:val="0"/>
          <w:marTop w:val="0"/>
          <w:marBottom w:val="0"/>
          <w:divBdr>
            <w:top w:val="none" w:sz="0" w:space="0" w:color="auto"/>
            <w:left w:val="none" w:sz="0" w:space="0" w:color="auto"/>
            <w:bottom w:val="none" w:sz="0" w:space="0" w:color="auto"/>
            <w:right w:val="none" w:sz="0" w:space="0" w:color="auto"/>
          </w:divBdr>
        </w:div>
        <w:div w:id="575283130">
          <w:marLeft w:val="0"/>
          <w:marRight w:val="0"/>
          <w:marTop w:val="0"/>
          <w:marBottom w:val="0"/>
          <w:divBdr>
            <w:top w:val="none" w:sz="0" w:space="0" w:color="auto"/>
            <w:left w:val="none" w:sz="0" w:space="0" w:color="auto"/>
            <w:bottom w:val="none" w:sz="0" w:space="0" w:color="auto"/>
            <w:right w:val="none" w:sz="0" w:space="0" w:color="auto"/>
          </w:divBdr>
        </w:div>
        <w:div w:id="844977777">
          <w:marLeft w:val="0"/>
          <w:marRight w:val="0"/>
          <w:marTop w:val="0"/>
          <w:marBottom w:val="0"/>
          <w:divBdr>
            <w:top w:val="none" w:sz="0" w:space="0" w:color="auto"/>
            <w:left w:val="none" w:sz="0" w:space="0" w:color="auto"/>
            <w:bottom w:val="none" w:sz="0" w:space="0" w:color="auto"/>
            <w:right w:val="none" w:sz="0" w:space="0" w:color="auto"/>
          </w:divBdr>
        </w:div>
        <w:div w:id="860897428">
          <w:marLeft w:val="0"/>
          <w:marRight w:val="0"/>
          <w:marTop w:val="0"/>
          <w:marBottom w:val="0"/>
          <w:divBdr>
            <w:top w:val="none" w:sz="0" w:space="0" w:color="auto"/>
            <w:left w:val="none" w:sz="0" w:space="0" w:color="auto"/>
            <w:bottom w:val="none" w:sz="0" w:space="0" w:color="auto"/>
            <w:right w:val="none" w:sz="0" w:space="0" w:color="auto"/>
          </w:divBdr>
        </w:div>
        <w:div w:id="1157768315">
          <w:marLeft w:val="0"/>
          <w:marRight w:val="0"/>
          <w:marTop w:val="0"/>
          <w:marBottom w:val="0"/>
          <w:divBdr>
            <w:top w:val="none" w:sz="0" w:space="0" w:color="auto"/>
            <w:left w:val="none" w:sz="0" w:space="0" w:color="auto"/>
            <w:bottom w:val="none" w:sz="0" w:space="0" w:color="auto"/>
            <w:right w:val="none" w:sz="0" w:space="0" w:color="auto"/>
          </w:divBdr>
        </w:div>
        <w:div w:id="1256207703">
          <w:marLeft w:val="0"/>
          <w:marRight w:val="0"/>
          <w:marTop w:val="0"/>
          <w:marBottom w:val="0"/>
          <w:divBdr>
            <w:top w:val="none" w:sz="0" w:space="0" w:color="auto"/>
            <w:left w:val="none" w:sz="0" w:space="0" w:color="auto"/>
            <w:bottom w:val="none" w:sz="0" w:space="0" w:color="auto"/>
            <w:right w:val="none" w:sz="0" w:space="0" w:color="auto"/>
          </w:divBdr>
        </w:div>
        <w:div w:id="1723096264">
          <w:marLeft w:val="0"/>
          <w:marRight w:val="0"/>
          <w:marTop w:val="0"/>
          <w:marBottom w:val="0"/>
          <w:divBdr>
            <w:top w:val="none" w:sz="0" w:space="0" w:color="auto"/>
            <w:left w:val="none" w:sz="0" w:space="0" w:color="auto"/>
            <w:bottom w:val="none" w:sz="0" w:space="0" w:color="auto"/>
            <w:right w:val="none" w:sz="0" w:space="0" w:color="auto"/>
          </w:divBdr>
        </w:div>
        <w:div w:id="1771580296">
          <w:marLeft w:val="0"/>
          <w:marRight w:val="0"/>
          <w:marTop w:val="0"/>
          <w:marBottom w:val="0"/>
          <w:divBdr>
            <w:top w:val="none" w:sz="0" w:space="0" w:color="auto"/>
            <w:left w:val="none" w:sz="0" w:space="0" w:color="auto"/>
            <w:bottom w:val="none" w:sz="0" w:space="0" w:color="auto"/>
            <w:right w:val="none" w:sz="0" w:space="0" w:color="auto"/>
          </w:divBdr>
        </w:div>
        <w:div w:id="1979067319">
          <w:marLeft w:val="0"/>
          <w:marRight w:val="0"/>
          <w:marTop w:val="0"/>
          <w:marBottom w:val="0"/>
          <w:divBdr>
            <w:top w:val="none" w:sz="0" w:space="0" w:color="auto"/>
            <w:left w:val="none" w:sz="0" w:space="0" w:color="auto"/>
            <w:bottom w:val="none" w:sz="0" w:space="0" w:color="auto"/>
            <w:right w:val="none" w:sz="0" w:space="0" w:color="auto"/>
          </w:divBdr>
        </w:div>
        <w:div w:id="1982954784">
          <w:marLeft w:val="0"/>
          <w:marRight w:val="0"/>
          <w:marTop w:val="0"/>
          <w:marBottom w:val="0"/>
          <w:divBdr>
            <w:top w:val="none" w:sz="0" w:space="0" w:color="auto"/>
            <w:left w:val="none" w:sz="0" w:space="0" w:color="auto"/>
            <w:bottom w:val="none" w:sz="0" w:space="0" w:color="auto"/>
            <w:right w:val="none" w:sz="0" w:space="0" w:color="auto"/>
          </w:divBdr>
        </w:div>
      </w:divsChild>
    </w:div>
    <w:div w:id="120803478">
      <w:bodyDiv w:val="1"/>
      <w:marLeft w:val="0"/>
      <w:marRight w:val="0"/>
      <w:marTop w:val="0"/>
      <w:marBottom w:val="0"/>
      <w:divBdr>
        <w:top w:val="none" w:sz="0" w:space="0" w:color="auto"/>
        <w:left w:val="none" w:sz="0" w:space="0" w:color="auto"/>
        <w:bottom w:val="none" w:sz="0" w:space="0" w:color="auto"/>
        <w:right w:val="none" w:sz="0" w:space="0" w:color="auto"/>
      </w:divBdr>
    </w:div>
    <w:div w:id="161093150">
      <w:bodyDiv w:val="1"/>
      <w:marLeft w:val="0"/>
      <w:marRight w:val="0"/>
      <w:marTop w:val="0"/>
      <w:marBottom w:val="0"/>
      <w:divBdr>
        <w:top w:val="none" w:sz="0" w:space="0" w:color="auto"/>
        <w:left w:val="none" w:sz="0" w:space="0" w:color="auto"/>
        <w:bottom w:val="none" w:sz="0" w:space="0" w:color="auto"/>
        <w:right w:val="none" w:sz="0" w:space="0" w:color="auto"/>
      </w:divBdr>
    </w:div>
    <w:div w:id="165629571">
      <w:bodyDiv w:val="1"/>
      <w:marLeft w:val="0"/>
      <w:marRight w:val="0"/>
      <w:marTop w:val="0"/>
      <w:marBottom w:val="0"/>
      <w:divBdr>
        <w:top w:val="none" w:sz="0" w:space="0" w:color="auto"/>
        <w:left w:val="none" w:sz="0" w:space="0" w:color="auto"/>
        <w:bottom w:val="none" w:sz="0" w:space="0" w:color="auto"/>
        <w:right w:val="none" w:sz="0" w:space="0" w:color="auto"/>
      </w:divBdr>
    </w:div>
    <w:div w:id="240875346">
      <w:bodyDiv w:val="1"/>
      <w:marLeft w:val="0"/>
      <w:marRight w:val="0"/>
      <w:marTop w:val="0"/>
      <w:marBottom w:val="0"/>
      <w:divBdr>
        <w:top w:val="none" w:sz="0" w:space="0" w:color="auto"/>
        <w:left w:val="none" w:sz="0" w:space="0" w:color="auto"/>
        <w:bottom w:val="none" w:sz="0" w:space="0" w:color="auto"/>
        <w:right w:val="none" w:sz="0" w:space="0" w:color="auto"/>
      </w:divBdr>
      <w:divsChild>
        <w:div w:id="374505320">
          <w:marLeft w:val="0"/>
          <w:marRight w:val="0"/>
          <w:marTop w:val="0"/>
          <w:marBottom w:val="0"/>
          <w:divBdr>
            <w:top w:val="none" w:sz="0" w:space="0" w:color="auto"/>
            <w:left w:val="none" w:sz="0" w:space="0" w:color="auto"/>
            <w:bottom w:val="none" w:sz="0" w:space="0" w:color="auto"/>
            <w:right w:val="none" w:sz="0" w:space="0" w:color="auto"/>
          </w:divBdr>
        </w:div>
        <w:div w:id="1301960960">
          <w:marLeft w:val="0"/>
          <w:marRight w:val="0"/>
          <w:marTop w:val="0"/>
          <w:marBottom w:val="0"/>
          <w:divBdr>
            <w:top w:val="none" w:sz="0" w:space="0" w:color="auto"/>
            <w:left w:val="none" w:sz="0" w:space="0" w:color="auto"/>
            <w:bottom w:val="none" w:sz="0" w:space="0" w:color="auto"/>
            <w:right w:val="none" w:sz="0" w:space="0" w:color="auto"/>
          </w:divBdr>
        </w:div>
        <w:div w:id="1773015950">
          <w:marLeft w:val="0"/>
          <w:marRight w:val="0"/>
          <w:marTop w:val="0"/>
          <w:marBottom w:val="0"/>
          <w:divBdr>
            <w:top w:val="none" w:sz="0" w:space="0" w:color="auto"/>
            <w:left w:val="none" w:sz="0" w:space="0" w:color="auto"/>
            <w:bottom w:val="none" w:sz="0" w:space="0" w:color="auto"/>
            <w:right w:val="none" w:sz="0" w:space="0" w:color="auto"/>
          </w:divBdr>
        </w:div>
        <w:div w:id="1781338143">
          <w:marLeft w:val="0"/>
          <w:marRight w:val="0"/>
          <w:marTop w:val="0"/>
          <w:marBottom w:val="0"/>
          <w:divBdr>
            <w:top w:val="none" w:sz="0" w:space="0" w:color="auto"/>
            <w:left w:val="none" w:sz="0" w:space="0" w:color="auto"/>
            <w:bottom w:val="none" w:sz="0" w:space="0" w:color="auto"/>
            <w:right w:val="none" w:sz="0" w:space="0" w:color="auto"/>
          </w:divBdr>
        </w:div>
        <w:div w:id="1820027048">
          <w:marLeft w:val="0"/>
          <w:marRight w:val="0"/>
          <w:marTop w:val="0"/>
          <w:marBottom w:val="0"/>
          <w:divBdr>
            <w:top w:val="none" w:sz="0" w:space="0" w:color="auto"/>
            <w:left w:val="none" w:sz="0" w:space="0" w:color="auto"/>
            <w:bottom w:val="none" w:sz="0" w:space="0" w:color="auto"/>
            <w:right w:val="none" w:sz="0" w:space="0" w:color="auto"/>
          </w:divBdr>
        </w:div>
        <w:div w:id="1913158091">
          <w:marLeft w:val="0"/>
          <w:marRight w:val="0"/>
          <w:marTop w:val="0"/>
          <w:marBottom w:val="0"/>
          <w:divBdr>
            <w:top w:val="none" w:sz="0" w:space="0" w:color="auto"/>
            <w:left w:val="none" w:sz="0" w:space="0" w:color="auto"/>
            <w:bottom w:val="none" w:sz="0" w:space="0" w:color="auto"/>
            <w:right w:val="none" w:sz="0" w:space="0" w:color="auto"/>
          </w:divBdr>
        </w:div>
        <w:div w:id="1975019597">
          <w:marLeft w:val="0"/>
          <w:marRight w:val="0"/>
          <w:marTop w:val="0"/>
          <w:marBottom w:val="0"/>
          <w:divBdr>
            <w:top w:val="none" w:sz="0" w:space="0" w:color="auto"/>
            <w:left w:val="none" w:sz="0" w:space="0" w:color="auto"/>
            <w:bottom w:val="none" w:sz="0" w:space="0" w:color="auto"/>
            <w:right w:val="none" w:sz="0" w:space="0" w:color="auto"/>
          </w:divBdr>
        </w:div>
      </w:divsChild>
    </w:div>
    <w:div w:id="260845112">
      <w:bodyDiv w:val="1"/>
      <w:marLeft w:val="0"/>
      <w:marRight w:val="0"/>
      <w:marTop w:val="0"/>
      <w:marBottom w:val="0"/>
      <w:divBdr>
        <w:top w:val="none" w:sz="0" w:space="0" w:color="auto"/>
        <w:left w:val="none" w:sz="0" w:space="0" w:color="auto"/>
        <w:bottom w:val="none" w:sz="0" w:space="0" w:color="auto"/>
        <w:right w:val="none" w:sz="0" w:space="0" w:color="auto"/>
      </w:divBdr>
    </w:div>
    <w:div w:id="267736577">
      <w:bodyDiv w:val="1"/>
      <w:marLeft w:val="0"/>
      <w:marRight w:val="0"/>
      <w:marTop w:val="0"/>
      <w:marBottom w:val="0"/>
      <w:divBdr>
        <w:top w:val="none" w:sz="0" w:space="0" w:color="auto"/>
        <w:left w:val="none" w:sz="0" w:space="0" w:color="auto"/>
        <w:bottom w:val="none" w:sz="0" w:space="0" w:color="auto"/>
        <w:right w:val="none" w:sz="0" w:space="0" w:color="auto"/>
      </w:divBdr>
    </w:div>
    <w:div w:id="271523806">
      <w:bodyDiv w:val="1"/>
      <w:marLeft w:val="0"/>
      <w:marRight w:val="0"/>
      <w:marTop w:val="0"/>
      <w:marBottom w:val="0"/>
      <w:divBdr>
        <w:top w:val="none" w:sz="0" w:space="0" w:color="auto"/>
        <w:left w:val="none" w:sz="0" w:space="0" w:color="auto"/>
        <w:bottom w:val="none" w:sz="0" w:space="0" w:color="auto"/>
        <w:right w:val="none" w:sz="0" w:space="0" w:color="auto"/>
      </w:divBdr>
    </w:div>
    <w:div w:id="289822331">
      <w:bodyDiv w:val="1"/>
      <w:marLeft w:val="0"/>
      <w:marRight w:val="0"/>
      <w:marTop w:val="0"/>
      <w:marBottom w:val="0"/>
      <w:divBdr>
        <w:top w:val="none" w:sz="0" w:space="0" w:color="auto"/>
        <w:left w:val="none" w:sz="0" w:space="0" w:color="auto"/>
        <w:bottom w:val="none" w:sz="0" w:space="0" w:color="auto"/>
        <w:right w:val="none" w:sz="0" w:space="0" w:color="auto"/>
      </w:divBdr>
    </w:div>
    <w:div w:id="364255407">
      <w:bodyDiv w:val="1"/>
      <w:marLeft w:val="0"/>
      <w:marRight w:val="0"/>
      <w:marTop w:val="0"/>
      <w:marBottom w:val="0"/>
      <w:divBdr>
        <w:top w:val="none" w:sz="0" w:space="0" w:color="auto"/>
        <w:left w:val="none" w:sz="0" w:space="0" w:color="auto"/>
        <w:bottom w:val="none" w:sz="0" w:space="0" w:color="auto"/>
        <w:right w:val="none" w:sz="0" w:space="0" w:color="auto"/>
      </w:divBdr>
    </w:div>
    <w:div w:id="411856857">
      <w:bodyDiv w:val="1"/>
      <w:marLeft w:val="0"/>
      <w:marRight w:val="0"/>
      <w:marTop w:val="0"/>
      <w:marBottom w:val="0"/>
      <w:divBdr>
        <w:top w:val="none" w:sz="0" w:space="0" w:color="auto"/>
        <w:left w:val="none" w:sz="0" w:space="0" w:color="auto"/>
        <w:bottom w:val="none" w:sz="0" w:space="0" w:color="auto"/>
        <w:right w:val="none" w:sz="0" w:space="0" w:color="auto"/>
      </w:divBdr>
      <w:divsChild>
        <w:div w:id="25764225">
          <w:marLeft w:val="0"/>
          <w:marRight w:val="0"/>
          <w:marTop w:val="0"/>
          <w:marBottom w:val="0"/>
          <w:divBdr>
            <w:top w:val="none" w:sz="0" w:space="0" w:color="auto"/>
            <w:left w:val="none" w:sz="0" w:space="0" w:color="auto"/>
            <w:bottom w:val="none" w:sz="0" w:space="0" w:color="auto"/>
            <w:right w:val="none" w:sz="0" w:space="0" w:color="auto"/>
          </w:divBdr>
        </w:div>
        <w:div w:id="593705973">
          <w:marLeft w:val="0"/>
          <w:marRight w:val="0"/>
          <w:marTop w:val="0"/>
          <w:marBottom w:val="0"/>
          <w:divBdr>
            <w:top w:val="none" w:sz="0" w:space="0" w:color="auto"/>
            <w:left w:val="none" w:sz="0" w:space="0" w:color="auto"/>
            <w:bottom w:val="none" w:sz="0" w:space="0" w:color="auto"/>
            <w:right w:val="none" w:sz="0" w:space="0" w:color="auto"/>
          </w:divBdr>
        </w:div>
        <w:div w:id="727150544">
          <w:marLeft w:val="0"/>
          <w:marRight w:val="0"/>
          <w:marTop w:val="0"/>
          <w:marBottom w:val="0"/>
          <w:divBdr>
            <w:top w:val="none" w:sz="0" w:space="0" w:color="auto"/>
            <w:left w:val="none" w:sz="0" w:space="0" w:color="auto"/>
            <w:bottom w:val="none" w:sz="0" w:space="0" w:color="auto"/>
            <w:right w:val="none" w:sz="0" w:space="0" w:color="auto"/>
          </w:divBdr>
          <w:divsChild>
            <w:div w:id="208498462">
              <w:marLeft w:val="0"/>
              <w:marRight w:val="0"/>
              <w:marTop w:val="0"/>
              <w:marBottom w:val="0"/>
              <w:divBdr>
                <w:top w:val="none" w:sz="0" w:space="0" w:color="auto"/>
                <w:left w:val="none" w:sz="0" w:space="0" w:color="auto"/>
                <w:bottom w:val="none" w:sz="0" w:space="0" w:color="auto"/>
                <w:right w:val="none" w:sz="0" w:space="0" w:color="auto"/>
              </w:divBdr>
            </w:div>
            <w:div w:id="297495481">
              <w:marLeft w:val="0"/>
              <w:marRight w:val="0"/>
              <w:marTop w:val="0"/>
              <w:marBottom w:val="0"/>
              <w:divBdr>
                <w:top w:val="none" w:sz="0" w:space="0" w:color="auto"/>
                <w:left w:val="none" w:sz="0" w:space="0" w:color="auto"/>
                <w:bottom w:val="none" w:sz="0" w:space="0" w:color="auto"/>
                <w:right w:val="none" w:sz="0" w:space="0" w:color="auto"/>
              </w:divBdr>
            </w:div>
            <w:div w:id="381489093">
              <w:marLeft w:val="0"/>
              <w:marRight w:val="0"/>
              <w:marTop w:val="0"/>
              <w:marBottom w:val="0"/>
              <w:divBdr>
                <w:top w:val="none" w:sz="0" w:space="0" w:color="auto"/>
                <w:left w:val="none" w:sz="0" w:space="0" w:color="auto"/>
                <w:bottom w:val="none" w:sz="0" w:space="0" w:color="auto"/>
                <w:right w:val="none" w:sz="0" w:space="0" w:color="auto"/>
              </w:divBdr>
            </w:div>
            <w:div w:id="1006133987">
              <w:marLeft w:val="0"/>
              <w:marRight w:val="0"/>
              <w:marTop w:val="0"/>
              <w:marBottom w:val="0"/>
              <w:divBdr>
                <w:top w:val="none" w:sz="0" w:space="0" w:color="auto"/>
                <w:left w:val="none" w:sz="0" w:space="0" w:color="auto"/>
                <w:bottom w:val="none" w:sz="0" w:space="0" w:color="auto"/>
                <w:right w:val="none" w:sz="0" w:space="0" w:color="auto"/>
              </w:divBdr>
            </w:div>
            <w:div w:id="1071729542">
              <w:marLeft w:val="0"/>
              <w:marRight w:val="0"/>
              <w:marTop w:val="0"/>
              <w:marBottom w:val="0"/>
              <w:divBdr>
                <w:top w:val="none" w:sz="0" w:space="0" w:color="auto"/>
                <w:left w:val="none" w:sz="0" w:space="0" w:color="auto"/>
                <w:bottom w:val="none" w:sz="0" w:space="0" w:color="auto"/>
                <w:right w:val="none" w:sz="0" w:space="0" w:color="auto"/>
              </w:divBdr>
            </w:div>
            <w:div w:id="1788504763">
              <w:marLeft w:val="0"/>
              <w:marRight w:val="0"/>
              <w:marTop w:val="0"/>
              <w:marBottom w:val="0"/>
              <w:divBdr>
                <w:top w:val="none" w:sz="0" w:space="0" w:color="auto"/>
                <w:left w:val="none" w:sz="0" w:space="0" w:color="auto"/>
                <w:bottom w:val="none" w:sz="0" w:space="0" w:color="auto"/>
                <w:right w:val="none" w:sz="0" w:space="0" w:color="auto"/>
              </w:divBdr>
            </w:div>
            <w:div w:id="1930845487">
              <w:marLeft w:val="0"/>
              <w:marRight w:val="0"/>
              <w:marTop w:val="0"/>
              <w:marBottom w:val="0"/>
              <w:divBdr>
                <w:top w:val="none" w:sz="0" w:space="0" w:color="auto"/>
                <w:left w:val="none" w:sz="0" w:space="0" w:color="auto"/>
                <w:bottom w:val="none" w:sz="0" w:space="0" w:color="auto"/>
                <w:right w:val="none" w:sz="0" w:space="0" w:color="auto"/>
              </w:divBdr>
            </w:div>
            <w:div w:id="1988901666">
              <w:marLeft w:val="0"/>
              <w:marRight w:val="0"/>
              <w:marTop w:val="0"/>
              <w:marBottom w:val="0"/>
              <w:divBdr>
                <w:top w:val="none" w:sz="0" w:space="0" w:color="auto"/>
                <w:left w:val="none" w:sz="0" w:space="0" w:color="auto"/>
                <w:bottom w:val="none" w:sz="0" w:space="0" w:color="auto"/>
                <w:right w:val="none" w:sz="0" w:space="0" w:color="auto"/>
              </w:divBdr>
            </w:div>
            <w:div w:id="1997419073">
              <w:marLeft w:val="0"/>
              <w:marRight w:val="0"/>
              <w:marTop w:val="0"/>
              <w:marBottom w:val="0"/>
              <w:divBdr>
                <w:top w:val="none" w:sz="0" w:space="0" w:color="auto"/>
                <w:left w:val="none" w:sz="0" w:space="0" w:color="auto"/>
                <w:bottom w:val="none" w:sz="0" w:space="0" w:color="auto"/>
                <w:right w:val="none" w:sz="0" w:space="0" w:color="auto"/>
              </w:divBdr>
            </w:div>
            <w:div w:id="2065593789">
              <w:marLeft w:val="0"/>
              <w:marRight w:val="0"/>
              <w:marTop w:val="0"/>
              <w:marBottom w:val="0"/>
              <w:divBdr>
                <w:top w:val="none" w:sz="0" w:space="0" w:color="auto"/>
                <w:left w:val="none" w:sz="0" w:space="0" w:color="auto"/>
                <w:bottom w:val="none" w:sz="0" w:space="0" w:color="auto"/>
                <w:right w:val="none" w:sz="0" w:space="0" w:color="auto"/>
              </w:divBdr>
            </w:div>
          </w:divsChild>
        </w:div>
        <w:div w:id="853611443">
          <w:marLeft w:val="0"/>
          <w:marRight w:val="0"/>
          <w:marTop w:val="0"/>
          <w:marBottom w:val="0"/>
          <w:divBdr>
            <w:top w:val="none" w:sz="0" w:space="0" w:color="auto"/>
            <w:left w:val="none" w:sz="0" w:space="0" w:color="auto"/>
            <w:bottom w:val="none" w:sz="0" w:space="0" w:color="auto"/>
            <w:right w:val="none" w:sz="0" w:space="0" w:color="auto"/>
          </w:divBdr>
        </w:div>
        <w:div w:id="1155418944">
          <w:marLeft w:val="0"/>
          <w:marRight w:val="0"/>
          <w:marTop w:val="0"/>
          <w:marBottom w:val="0"/>
          <w:divBdr>
            <w:top w:val="none" w:sz="0" w:space="0" w:color="auto"/>
            <w:left w:val="none" w:sz="0" w:space="0" w:color="auto"/>
            <w:bottom w:val="none" w:sz="0" w:space="0" w:color="auto"/>
            <w:right w:val="none" w:sz="0" w:space="0" w:color="auto"/>
          </w:divBdr>
          <w:divsChild>
            <w:div w:id="581063419">
              <w:marLeft w:val="0"/>
              <w:marRight w:val="0"/>
              <w:marTop w:val="0"/>
              <w:marBottom w:val="0"/>
              <w:divBdr>
                <w:top w:val="none" w:sz="0" w:space="0" w:color="auto"/>
                <w:left w:val="none" w:sz="0" w:space="0" w:color="auto"/>
                <w:bottom w:val="none" w:sz="0" w:space="0" w:color="auto"/>
                <w:right w:val="none" w:sz="0" w:space="0" w:color="auto"/>
              </w:divBdr>
            </w:div>
            <w:div w:id="594901538">
              <w:marLeft w:val="0"/>
              <w:marRight w:val="0"/>
              <w:marTop w:val="0"/>
              <w:marBottom w:val="0"/>
              <w:divBdr>
                <w:top w:val="none" w:sz="0" w:space="0" w:color="auto"/>
                <w:left w:val="none" w:sz="0" w:space="0" w:color="auto"/>
                <w:bottom w:val="none" w:sz="0" w:space="0" w:color="auto"/>
                <w:right w:val="none" w:sz="0" w:space="0" w:color="auto"/>
              </w:divBdr>
            </w:div>
            <w:div w:id="620767615">
              <w:marLeft w:val="0"/>
              <w:marRight w:val="0"/>
              <w:marTop w:val="0"/>
              <w:marBottom w:val="0"/>
              <w:divBdr>
                <w:top w:val="none" w:sz="0" w:space="0" w:color="auto"/>
                <w:left w:val="none" w:sz="0" w:space="0" w:color="auto"/>
                <w:bottom w:val="none" w:sz="0" w:space="0" w:color="auto"/>
                <w:right w:val="none" w:sz="0" w:space="0" w:color="auto"/>
              </w:divBdr>
            </w:div>
            <w:div w:id="637224343">
              <w:marLeft w:val="0"/>
              <w:marRight w:val="0"/>
              <w:marTop w:val="0"/>
              <w:marBottom w:val="0"/>
              <w:divBdr>
                <w:top w:val="none" w:sz="0" w:space="0" w:color="auto"/>
                <w:left w:val="none" w:sz="0" w:space="0" w:color="auto"/>
                <w:bottom w:val="none" w:sz="0" w:space="0" w:color="auto"/>
                <w:right w:val="none" w:sz="0" w:space="0" w:color="auto"/>
              </w:divBdr>
            </w:div>
            <w:div w:id="712533394">
              <w:marLeft w:val="0"/>
              <w:marRight w:val="0"/>
              <w:marTop w:val="0"/>
              <w:marBottom w:val="0"/>
              <w:divBdr>
                <w:top w:val="none" w:sz="0" w:space="0" w:color="auto"/>
                <w:left w:val="none" w:sz="0" w:space="0" w:color="auto"/>
                <w:bottom w:val="none" w:sz="0" w:space="0" w:color="auto"/>
                <w:right w:val="none" w:sz="0" w:space="0" w:color="auto"/>
              </w:divBdr>
            </w:div>
            <w:div w:id="1042485459">
              <w:marLeft w:val="0"/>
              <w:marRight w:val="0"/>
              <w:marTop w:val="0"/>
              <w:marBottom w:val="0"/>
              <w:divBdr>
                <w:top w:val="none" w:sz="0" w:space="0" w:color="auto"/>
                <w:left w:val="none" w:sz="0" w:space="0" w:color="auto"/>
                <w:bottom w:val="none" w:sz="0" w:space="0" w:color="auto"/>
                <w:right w:val="none" w:sz="0" w:space="0" w:color="auto"/>
              </w:divBdr>
            </w:div>
            <w:div w:id="1060909936">
              <w:marLeft w:val="0"/>
              <w:marRight w:val="0"/>
              <w:marTop w:val="0"/>
              <w:marBottom w:val="0"/>
              <w:divBdr>
                <w:top w:val="none" w:sz="0" w:space="0" w:color="auto"/>
                <w:left w:val="none" w:sz="0" w:space="0" w:color="auto"/>
                <w:bottom w:val="none" w:sz="0" w:space="0" w:color="auto"/>
                <w:right w:val="none" w:sz="0" w:space="0" w:color="auto"/>
              </w:divBdr>
            </w:div>
            <w:div w:id="1225020142">
              <w:marLeft w:val="0"/>
              <w:marRight w:val="0"/>
              <w:marTop w:val="0"/>
              <w:marBottom w:val="0"/>
              <w:divBdr>
                <w:top w:val="none" w:sz="0" w:space="0" w:color="auto"/>
                <w:left w:val="none" w:sz="0" w:space="0" w:color="auto"/>
                <w:bottom w:val="none" w:sz="0" w:space="0" w:color="auto"/>
                <w:right w:val="none" w:sz="0" w:space="0" w:color="auto"/>
              </w:divBdr>
            </w:div>
            <w:div w:id="1308895935">
              <w:marLeft w:val="0"/>
              <w:marRight w:val="0"/>
              <w:marTop w:val="0"/>
              <w:marBottom w:val="0"/>
              <w:divBdr>
                <w:top w:val="none" w:sz="0" w:space="0" w:color="auto"/>
                <w:left w:val="none" w:sz="0" w:space="0" w:color="auto"/>
                <w:bottom w:val="none" w:sz="0" w:space="0" w:color="auto"/>
                <w:right w:val="none" w:sz="0" w:space="0" w:color="auto"/>
              </w:divBdr>
            </w:div>
            <w:div w:id="1367869139">
              <w:marLeft w:val="0"/>
              <w:marRight w:val="0"/>
              <w:marTop w:val="0"/>
              <w:marBottom w:val="0"/>
              <w:divBdr>
                <w:top w:val="none" w:sz="0" w:space="0" w:color="auto"/>
                <w:left w:val="none" w:sz="0" w:space="0" w:color="auto"/>
                <w:bottom w:val="none" w:sz="0" w:space="0" w:color="auto"/>
                <w:right w:val="none" w:sz="0" w:space="0" w:color="auto"/>
              </w:divBdr>
            </w:div>
            <w:div w:id="1375229442">
              <w:marLeft w:val="0"/>
              <w:marRight w:val="0"/>
              <w:marTop w:val="0"/>
              <w:marBottom w:val="0"/>
              <w:divBdr>
                <w:top w:val="none" w:sz="0" w:space="0" w:color="auto"/>
                <w:left w:val="none" w:sz="0" w:space="0" w:color="auto"/>
                <w:bottom w:val="none" w:sz="0" w:space="0" w:color="auto"/>
                <w:right w:val="none" w:sz="0" w:space="0" w:color="auto"/>
              </w:divBdr>
            </w:div>
            <w:div w:id="1479494237">
              <w:marLeft w:val="0"/>
              <w:marRight w:val="0"/>
              <w:marTop w:val="0"/>
              <w:marBottom w:val="0"/>
              <w:divBdr>
                <w:top w:val="none" w:sz="0" w:space="0" w:color="auto"/>
                <w:left w:val="none" w:sz="0" w:space="0" w:color="auto"/>
                <w:bottom w:val="none" w:sz="0" w:space="0" w:color="auto"/>
                <w:right w:val="none" w:sz="0" w:space="0" w:color="auto"/>
              </w:divBdr>
            </w:div>
            <w:div w:id="1497114605">
              <w:marLeft w:val="0"/>
              <w:marRight w:val="0"/>
              <w:marTop w:val="0"/>
              <w:marBottom w:val="0"/>
              <w:divBdr>
                <w:top w:val="none" w:sz="0" w:space="0" w:color="auto"/>
                <w:left w:val="none" w:sz="0" w:space="0" w:color="auto"/>
                <w:bottom w:val="none" w:sz="0" w:space="0" w:color="auto"/>
                <w:right w:val="none" w:sz="0" w:space="0" w:color="auto"/>
              </w:divBdr>
            </w:div>
            <w:div w:id="1498618318">
              <w:marLeft w:val="0"/>
              <w:marRight w:val="0"/>
              <w:marTop w:val="0"/>
              <w:marBottom w:val="0"/>
              <w:divBdr>
                <w:top w:val="none" w:sz="0" w:space="0" w:color="auto"/>
                <w:left w:val="none" w:sz="0" w:space="0" w:color="auto"/>
                <w:bottom w:val="none" w:sz="0" w:space="0" w:color="auto"/>
                <w:right w:val="none" w:sz="0" w:space="0" w:color="auto"/>
              </w:divBdr>
            </w:div>
            <w:div w:id="1550726313">
              <w:marLeft w:val="0"/>
              <w:marRight w:val="0"/>
              <w:marTop w:val="0"/>
              <w:marBottom w:val="0"/>
              <w:divBdr>
                <w:top w:val="none" w:sz="0" w:space="0" w:color="auto"/>
                <w:left w:val="none" w:sz="0" w:space="0" w:color="auto"/>
                <w:bottom w:val="none" w:sz="0" w:space="0" w:color="auto"/>
                <w:right w:val="none" w:sz="0" w:space="0" w:color="auto"/>
              </w:divBdr>
            </w:div>
            <w:div w:id="1657297350">
              <w:marLeft w:val="0"/>
              <w:marRight w:val="0"/>
              <w:marTop w:val="0"/>
              <w:marBottom w:val="0"/>
              <w:divBdr>
                <w:top w:val="none" w:sz="0" w:space="0" w:color="auto"/>
                <w:left w:val="none" w:sz="0" w:space="0" w:color="auto"/>
                <w:bottom w:val="none" w:sz="0" w:space="0" w:color="auto"/>
                <w:right w:val="none" w:sz="0" w:space="0" w:color="auto"/>
              </w:divBdr>
            </w:div>
            <w:div w:id="1778865790">
              <w:marLeft w:val="0"/>
              <w:marRight w:val="0"/>
              <w:marTop w:val="0"/>
              <w:marBottom w:val="0"/>
              <w:divBdr>
                <w:top w:val="none" w:sz="0" w:space="0" w:color="auto"/>
                <w:left w:val="none" w:sz="0" w:space="0" w:color="auto"/>
                <w:bottom w:val="none" w:sz="0" w:space="0" w:color="auto"/>
                <w:right w:val="none" w:sz="0" w:space="0" w:color="auto"/>
              </w:divBdr>
            </w:div>
            <w:div w:id="1799297969">
              <w:marLeft w:val="0"/>
              <w:marRight w:val="0"/>
              <w:marTop w:val="0"/>
              <w:marBottom w:val="0"/>
              <w:divBdr>
                <w:top w:val="none" w:sz="0" w:space="0" w:color="auto"/>
                <w:left w:val="none" w:sz="0" w:space="0" w:color="auto"/>
                <w:bottom w:val="none" w:sz="0" w:space="0" w:color="auto"/>
                <w:right w:val="none" w:sz="0" w:space="0" w:color="auto"/>
              </w:divBdr>
            </w:div>
            <w:div w:id="1827163813">
              <w:marLeft w:val="0"/>
              <w:marRight w:val="0"/>
              <w:marTop w:val="0"/>
              <w:marBottom w:val="0"/>
              <w:divBdr>
                <w:top w:val="none" w:sz="0" w:space="0" w:color="auto"/>
                <w:left w:val="none" w:sz="0" w:space="0" w:color="auto"/>
                <w:bottom w:val="none" w:sz="0" w:space="0" w:color="auto"/>
                <w:right w:val="none" w:sz="0" w:space="0" w:color="auto"/>
              </w:divBdr>
            </w:div>
            <w:div w:id="1858694297">
              <w:marLeft w:val="0"/>
              <w:marRight w:val="0"/>
              <w:marTop w:val="0"/>
              <w:marBottom w:val="0"/>
              <w:divBdr>
                <w:top w:val="none" w:sz="0" w:space="0" w:color="auto"/>
                <w:left w:val="none" w:sz="0" w:space="0" w:color="auto"/>
                <w:bottom w:val="none" w:sz="0" w:space="0" w:color="auto"/>
                <w:right w:val="none" w:sz="0" w:space="0" w:color="auto"/>
              </w:divBdr>
            </w:div>
            <w:div w:id="1873106869">
              <w:marLeft w:val="0"/>
              <w:marRight w:val="0"/>
              <w:marTop w:val="0"/>
              <w:marBottom w:val="0"/>
              <w:divBdr>
                <w:top w:val="none" w:sz="0" w:space="0" w:color="auto"/>
                <w:left w:val="none" w:sz="0" w:space="0" w:color="auto"/>
                <w:bottom w:val="none" w:sz="0" w:space="0" w:color="auto"/>
                <w:right w:val="none" w:sz="0" w:space="0" w:color="auto"/>
              </w:divBdr>
            </w:div>
            <w:div w:id="1891191476">
              <w:marLeft w:val="0"/>
              <w:marRight w:val="0"/>
              <w:marTop w:val="0"/>
              <w:marBottom w:val="0"/>
              <w:divBdr>
                <w:top w:val="none" w:sz="0" w:space="0" w:color="auto"/>
                <w:left w:val="none" w:sz="0" w:space="0" w:color="auto"/>
                <w:bottom w:val="none" w:sz="0" w:space="0" w:color="auto"/>
                <w:right w:val="none" w:sz="0" w:space="0" w:color="auto"/>
              </w:divBdr>
            </w:div>
            <w:div w:id="1923371383">
              <w:marLeft w:val="0"/>
              <w:marRight w:val="0"/>
              <w:marTop w:val="0"/>
              <w:marBottom w:val="0"/>
              <w:divBdr>
                <w:top w:val="none" w:sz="0" w:space="0" w:color="auto"/>
                <w:left w:val="none" w:sz="0" w:space="0" w:color="auto"/>
                <w:bottom w:val="none" w:sz="0" w:space="0" w:color="auto"/>
                <w:right w:val="none" w:sz="0" w:space="0" w:color="auto"/>
              </w:divBdr>
            </w:div>
            <w:div w:id="1927877970">
              <w:marLeft w:val="0"/>
              <w:marRight w:val="0"/>
              <w:marTop w:val="0"/>
              <w:marBottom w:val="0"/>
              <w:divBdr>
                <w:top w:val="none" w:sz="0" w:space="0" w:color="auto"/>
                <w:left w:val="none" w:sz="0" w:space="0" w:color="auto"/>
                <w:bottom w:val="none" w:sz="0" w:space="0" w:color="auto"/>
                <w:right w:val="none" w:sz="0" w:space="0" w:color="auto"/>
              </w:divBdr>
            </w:div>
            <w:div w:id="2012370545">
              <w:marLeft w:val="0"/>
              <w:marRight w:val="0"/>
              <w:marTop w:val="0"/>
              <w:marBottom w:val="0"/>
              <w:divBdr>
                <w:top w:val="none" w:sz="0" w:space="0" w:color="auto"/>
                <w:left w:val="none" w:sz="0" w:space="0" w:color="auto"/>
                <w:bottom w:val="none" w:sz="0" w:space="0" w:color="auto"/>
                <w:right w:val="none" w:sz="0" w:space="0" w:color="auto"/>
              </w:divBdr>
            </w:div>
            <w:div w:id="2073311808">
              <w:marLeft w:val="0"/>
              <w:marRight w:val="0"/>
              <w:marTop w:val="0"/>
              <w:marBottom w:val="0"/>
              <w:divBdr>
                <w:top w:val="none" w:sz="0" w:space="0" w:color="auto"/>
                <w:left w:val="none" w:sz="0" w:space="0" w:color="auto"/>
                <w:bottom w:val="none" w:sz="0" w:space="0" w:color="auto"/>
                <w:right w:val="none" w:sz="0" w:space="0" w:color="auto"/>
              </w:divBdr>
            </w:div>
            <w:div w:id="2105179928">
              <w:marLeft w:val="0"/>
              <w:marRight w:val="0"/>
              <w:marTop w:val="0"/>
              <w:marBottom w:val="0"/>
              <w:divBdr>
                <w:top w:val="none" w:sz="0" w:space="0" w:color="auto"/>
                <w:left w:val="none" w:sz="0" w:space="0" w:color="auto"/>
                <w:bottom w:val="none" w:sz="0" w:space="0" w:color="auto"/>
                <w:right w:val="none" w:sz="0" w:space="0" w:color="auto"/>
              </w:divBdr>
            </w:div>
          </w:divsChild>
        </w:div>
        <w:div w:id="1180243405">
          <w:marLeft w:val="0"/>
          <w:marRight w:val="0"/>
          <w:marTop w:val="0"/>
          <w:marBottom w:val="0"/>
          <w:divBdr>
            <w:top w:val="none" w:sz="0" w:space="0" w:color="auto"/>
            <w:left w:val="none" w:sz="0" w:space="0" w:color="auto"/>
            <w:bottom w:val="none" w:sz="0" w:space="0" w:color="auto"/>
            <w:right w:val="none" w:sz="0" w:space="0" w:color="auto"/>
          </w:divBdr>
        </w:div>
        <w:div w:id="1206988928">
          <w:marLeft w:val="0"/>
          <w:marRight w:val="0"/>
          <w:marTop w:val="0"/>
          <w:marBottom w:val="0"/>
          <w:divBdr>
            <w:top w:val="none" w:sz="0" w:space="0" w:color="auto"/>
            <w:left w:val="none" w:sz="0" w:space="0" w:color="auto"/>
            <w:bottom w:val="none" w:sz="0" w:space="0" w:color="auto"/>
            <w:right w:val="none" w:sz="0" w:space="0" w:color="auto"/>
          </w:divBdr>
          <w:divsChild>
            <w:div w:id="133180251">
              <w:marLeft w:val="0"/>
              <w:marRight w:val="0"/>
              <w:marTop w:val="0"/>
              <w:marBottom w:val="0"/>
              <w:divBdr>
                <w:top w:val="none" w:sz="0" w:space="0" w:color="auto"/>
                <w:left w:val="none" w:sz="0" w:space="0" w:color="auto"/>
                <w:bottom w:val="none" w:sz="0" w:space="0" w:color="auto"/>
                <w:right w:val="none" w:sz="0" w:space="0" w:color="auto"/>
              </w:divBdr>
            </w:div>
            <w:div w:id="274798364">
              <w:marLeft w:val="0"/>
              <w:marRight w:val="0"/>
              <w:marTop w:val="0"/>
              <w:marBottom w:val="0"/>
              <w:divBdr>
                <w:top w:val="none" w:sz="0" w:space="0" w:color="auto"/>
                <w:left w:val="none" w:sz="0" w:space="0" w:color="auto"/>
                <w:bottom w:val="none" w:sz="0" w:space="0" w:color="auto"/>
                <w:right w:val="none" w:sz="0" w:space="0" w:color="auto"/>
              </w:divBdr>
            </w:div>
            <w:div w:id="413816027">
              <w:marLeft w:val="0"/>
              <w:marRight w:val="0"/>
              <w:marTop w:val="0"/>
              <w:marBottom w:val="0"/>
              <w:divBdr>
                <w:top w:val="none" w:sz="0" w:space="0" w:color="auto"/>
                <w:left w:val="none" w:sz="0" w:space="0" w:color="auto"/>
                <w:bottom w:val="none" w:sz="0" w:space="0" w:color="auto"/>
                <w:right w:val="none" w:sz="0" w:space="0" w:color="auto"/>
              </w:divBdr>
            </w:div>
            <w:div w:id="484782142">
              <w:marLeft w:val="0"/>
              <w:marRight w:val="0"/>
              <w:marTop w:val="0"/>
              <w:marBottom w:val="0"/>
              <w:divBdr>
                <w:top w:val="none" w:sz="0" w:space="0" w:color="auto"/>
                <w:left w:val="none" w:sz="0" w:space="0" w:color="auto"/>
                <w:bottom w:val="none" w:sz="0" w:space="0" w:color="auto"/>
                <w:right w:val="none" w:sz="0" w:space="0" w:color="auto"/>
              </w:divBdr>
            </w:div>
            <w:div w:id="511841973">
              <w:marLeft w:val="0"/>
              <w:marRight w:val="0"/>
              <w:marTop w:val="0"/>
              <w:marBottom w:val="0"/>
              <w:divBdr>
                <w:top w:val="none" w:sz="0" w:space="0" w:color="auto"/>
                <w:left w:val="none" w:sz="0" w:space="0" w:color="auto"/>
                <w:bottom w:val="none" w:sz="0" w:space="0" w:color="auto"/>
                <w:right w:val="none" w:sz="0" w:space="0" w:color="auto"/>
              </w:divBdr>
            </w:div>
            <w:div w:id="600921028">
              <w:marLeft w:val="0"/>
              <w:marRight w:val="0"/>
              <w:marTop w:val="0"/>
              <w:marBottom w:val="0"/>
              <w:divBdr>
                <w:top w:val="none" w:sz="0" w:space="0" w:color="auto"/>
                <w:left w:val="none" w:sz="0" w:space="0" w:color="auto"/>
                <w:bottom w:val="none" w:sz="0" w:space="0" w:color="auto"/>
                <w:right w:val="none" w:sz="0" w:space="0" w:color="auto"/>
              </w:divBdr>
            </w:div>
            <w:div w:id="688726009">
              <w:marLeft w:val="0"/>
              <w:marRight w:val="0"/>
              <w:marTop w:val="0"/>
              <w:marBottom w:val="0"/>
              <w:divBdr>
                <w:top w:val="none" w:sz="0" w:space="0" w:color="auto"/>
                <w:left w:val="none" w:sz="0" w:space="0" w:color="auto"/>
                <w:bottom w:val="none" w:sz="0" w:space="0" w:color="auto"/>
                <w:right w:val="none" w:sz="0" w:space="0" w:color="auto"/>
              </w:divBdr>
            </w:div>
            <w:div w:id="727654959">
              <w:marLeft w:val="0"/>
              <w:marRight w:val="0"/>
              <w:marTop w:val="0"/>
              <w:marBottom w:val="0"/>
              <w:divBdr>
                <w:top w:val="none" w:sz="0" w:space="0" w:color="auto"/>
                <w:left w:val="none" w:sz="0" w:space="0" w:color="auto"/>
                <w:bottom w:val="none" w:sz="0" w:space="0" w:color="auto"/>
                <w:right w:val="none" w:sz="0" w:space="0" w:color="auto"/>
              </w:divBdr>
            </w:div>
            <w:div w:id="770709981">
              <w:marLeft w:val="0"/>
              <w:marRight w:val="0"/>
              <w:marTop w:val="0"/>
              <w:marBottom w:val="0"/>
              <w:divBdr>
                <w:top w:val="none" w:sz="0" w:space="0" w:color="auto"/>
                <w:left w:val="none" w:sz="0" w:space="0" w:color="auto"/>
                <w:bottom w:val="none" w:sz="0" w:space="0" w:color="auto"/>
                <w:right w:val="none" w:sz="0" w:space="0" w:color="auto"/>
              </w:divBdr>
            </w:div>
            <w:div w:id="934827780">
              <w:marLeft w:val="0"/>
              <w:marRight w:val="0"/>
              <w:marTop w:val="0"/>
              <w:marBottom w:val="0"/>
              <w:divBdr>
                <w:top w:val="none" w:sz="0" w:space="0" w:color="auto"/>
                <w:left w:val="none" w:sz="0" w:space="0" w:color="auto"/>
                <w:bottom w:val="none" w:sz="0" w:space="0" w:color="auto"/>
                <w:right w:val="none" w:sz="0" w:space="0" w:color="auto"/>
              </w:divBdr>
            </w:div>
            <w:div w:id="1316714431">
              <w:marLeft w:val="0"/>
              <w:marRight w:val="0"/>
              <w:marTop w:val="0"/>
              <w:marBottom w:val="0"/>
              <w:divBdr>
                <w:top w:val="none" w:sz="0" w:space="0" w:color="auto"/>
                <w:left w:val="none" w:sz="0" w:space="0" w:color="auto"/>
                <w:bottom w:val="none" w:sz="0" w:space="0" w:color="auto"/>
                <w:right w:val="none" w:sz="0" w:space="0" w:color="auto"/>
              </w:divBdr>
            </w:div>
            <w:div w:id="1404137609">
              <w:marLeft w:val="0"/>
              <w:marRight w:val="0"/>
              <w:marTop w:val="0"/>
              <w:marBottom w:val="0"/>
              <w:divBdr>
                <w:top w:val="none" w:sz="0" w:space="0" w:color="auto"/>
                <w:left w:val="none" w:sz="0" w:space="0" w:color="auto"/>
                <w:bottom w:val="none" w:sz="0" w:space="0" w:color="auto"/>
                <w:right w:val="none" w:sz="0" w:space="0" w:color="auto"/>
              </w:divBdr>
            </w:div>
            <w:div w:id="1407531060">
              <w:marLeft w:val="0"/>
              <w:marRight w:val="0"/>
              <w:marTop w:val="0"/>
              <w:marBottom w:val="0"/>
              <w:divBdr>
                <w:top w:val="none" w:sz="0" w:space="0" w:color="auto"/>
                <w:left w:val="none" w:sz="0" w:space="0" w:color="auto"/>
                <w:bottom w:val="none" w:sz="0" w:space="0" w:color="auto"/>
                <w:right w:val="none" w:sz="0" w:space="0" w:color="auto"/>
              </w:divBdr>
            </w:div>
            <w:div w:id="1525746839">
              <w:marLeft w:val="0"/>
              <w:marRight w:val="0"/>
              <w:marTop w:val="0"/>
              <w:marBottom w:val="0"/>
              <w:divBdr>
                <w:top w:val="none" w:sz="0" w:space="0" w:color="auto"/>
                <w:left w:val="none" w:sz="0" w:space="0" w:color="auto"/>
                <w:bottom w:val="none" w:sz="0" w:space="0" w:color="auto"/>
                <w:right w:val="none" w:sz="0" w:space="0" w:color="auto"/>
              </w:divBdr>
            </w:div>
            <w:div w:id="1612932130">
              <w:marLeft w:val="0"/>
              <w:marRight w:val="0"/>
              <w:marTop w:val="0"/>
              <w:marBottom w:val="0"/>
              <w:divBdr>
                <w:top w:val="none" w:sz="0" w:space="0" w:color="auto"/>
                <w:left w:val="none" w:sz="0" w:space="0" w:color="auto"/>
                <w:bottom w:val="none" w:sz="0" w:space="0" w:color="auto"/>
                <w:right w:val="none" w:sz="0" w:space="0" w:color="auto"/>
              </w:divBdr>
            </w:div>
            <w:div w:id="1619216690">
              <w:marLeft w:val="0"/>
              <w:marRight w:val="0"/>
              <w:marTop w:val="0"/>
              <w:marBottom w:val="0"/>
              <w:divBdr>
                <w:top w:val="none" w:sz="0" w:space="0" w:color="auto"/>
                <w:left w:val="none" w:sz="0" w:space="0" w:color="auto"/>
                <w:bottom w:val="none" w:sz="0" w:space="0" w:color="auto"/>
                <w:right w:val="none" w:sz="0" w:space="0" w:color="auto"/>
              </w:divBdr>
            </w:div>
            <w:div w:id="1665280532">
              <w:marLeft w:val="0"/>
              <w:marRight w:val="0"/>
              <w:marTop w:val="0"/>
              <w:marBottom w:val="0"/>
              <w:divBdr>
                <w:top w:val="none" w:sz="0" w:space="0" w:color="auto"/>
                <w:left w:val="none" w:sz="0" w:space="0" w:color="auto"/>
                <w:bottom w:val="none" w:sz="0" w:space="0" w:color="auto"/>
                <w:right w:val="none" w:sz="0" w:space="0" w:color="auto"/>
              </w:divBdr>
            </w:div>
            <w:div w:id="1901404271">
              <w:marLeft w:val="0"/>
              <w:marRight w:val="0"/>
              <w:marTop w:val="0"/>
              <w:marBottom w:val="0"/>
              <w:divBdr>
                <w:top w:val="none" w:sz="0" w:space="0" w:color="auto"/>
                <w:left w:val="none" w:sz="0" w:space="0" w:color="auto"/>
                <w:bottom w:val="none" w:sz="0" w:space="0" w:color="auto"/>
                <w:right w:val="none" w:sz="0" w:space="0" w:color="auto"/>
              </w:divBdr>
            </w:div>
            <w:div w:id="1907915765">
              <w:marLeft w:val="0"/>
              <w:marRight w:val="0"/>
              <w:marTop w:val="0"/>
              <w:marBottom w:val="0"/>
              <w:divBdr>
                <w:top w:val="none" w:sz="0" w:space="0" w:color="auto"/>
                <w:left w:val="none" w:sz="0" w:space="0" w:color="auto"/>
                <w:bottom w:val="none" w:sz="0" w:space="0" w:color="auto"/>
                <w:right w:val="none" w:sz="0" w:space="0" w:color="auto"/>
              </w:divBdr>
            </w:div>
            <w:div w:id="1987857334">
              <w:marLeft w:val="0"/>
              <w:marRight w:val="0"/>
              <w:marTop w:val="0"/>
              <w:marBottom w:val="0"/>
              <w:divBdr>
                <w:top w:val="none" w:sz="0" w:space="0" w:color="auto"/>
                <w:left w:val="none" w:sz="0" w:space="0" w:color="auto"/>
                <w:bottom w:val="none" w:sz="0" w:space="0" w:color="auto"/>
                <w:right w:val="none" w:sz="0" w:space="0" w:color="auto"/>
              </w:divBdr>
            </w:div>
            <w:div w:id="2034259027">
              <w:marLeft w:val="0"/>
              <w:marRight w:val="0"/>
              <w:marTop w:val="0"/>
              <w:marBottom w:val="0"/>
              <w:divBdr>
                <w:top w:val="none" w:sz="0" w:space="0" w:color="auto"/>
                <w:left w:val="none" w:sz="0" w:space="0" w:color="auto"/>
                <w:bottom w:val="none" w:sz="0" w:space="0" w:color="auto"/>
                <w:right w:val="none" w:sz="0" w:space="0" w:color="auto"/>
              </w:divBdr>
            </w:div>
          </w:divsChild>
        </w:div>
        <w:div w:id="1229341517">
          <w:marLeft w:val="0"/>
          <w:marRight w:val="0"/>
          <w:marTop w:val="0"/>
          <w:marBottom w:val="0"/>
          <w:divBdr>
            <w:top w:val="none" w:sz="0" w:space="0" w:color="auto"/>
            <w:left w:val="none" w:sz="0" w:space="0" w:color="auto"/>
            <w:bottom w:val="none" w:sz="0" w:space="0" w:color="auto"/>
            <w:right w:val="none" w:sz="0" w:space="0" w:color="auto"/>
          </w:divBdr>
        </w:div>
        <w:div w:id="1415937658">
          <w:marLeft w:val="0"/>
          <w:marRight w:val="0"/>
          <w:marTop w:val="0"/>
          <w:marBottom w:val="0"/>
          <w:divBdr>
            <w:top w:val="none" w:sz="0" w:space="0" w:color="auto"/>
            <w:left w:val="none" w:sz="0" w:space="0" w:color="auto"/>
            <w:bottom w:val="none" w:sz="0" w:space="0" w:color="auto"/>
            <w:right w:val="none" w:sz="0" w:space="0" w:color="auto"/>
          </w:divBdr>
        </w:div>
        <w:div w:id="1514296374">
          <w:marLeft w:val="0"/>
          <w:marRight w:val="0"/>
          <w:marTop w:val="0"/>
          <w:marBottom w:val="0"/>
          <w:divBdr>
            <w:top w:val="none" w:sz="0" w:space="0" w:color="auto"/>
            <w:left w:val="none" w:sz="0" w:space="0" w:color="auto"/>
            <w:bottom w:val="none" w:sz="0" w:space="0" w:color="auto"/>
            <w:right w:val="none" w:sz="0" w:space="0" w:color="auto"/>
          </w:divBdr>
        </w:div>
        <w:div w:id="1514683329">
          <w:marLeft w:val="0"/>
          <w:marRight w:val="0"/>
          <w:marTop w:val="0"/>
          <w:marBottom w:val="0"/>
          <w:divBdr>
            <w:top w:val="none" w:sz="0" w:space="0" w:color="auto"/>
            <w:left w:val="none" w:sz="0" w:space="0" w:color="auto"/>
            <w:bottom w:val="none" w:sz="0" w:space="0" w:color="auto"/>
            <w:right w:val="none" w:sz="0" w:space="0" w:color="auto"/>
          </w:divBdr>
        </w:div>
      </w:divsChild>
    </w:div>
    <w:div w:id="457266272">
      <w:bodyDiv w:val="1"/>
      <w:marLeft w:val="0"/>
      <w:marRight w:val="0"/>
      <w:marTop w:val="0"/>
      <w:marBottom w:val="0"/>
      <w:divBdr>
        <w:top w:val="none" w:sz="0" w:space="0" w:color="auto"/>
        <w:left w:val="none" w:sz="0" w:space="0" w:color="auto"/>
        <w:bottom w:val="none" w:sz="0" w:space="0" w:color="auto"/>
        <w:right w:val="none" w:sz="0" w:space="0" w:color="auto"/>
      </w:divBdr>
    </w:div>
    <w:div w:id="467361965">
      <w:bodyDiv w:val="1"/>
      <w:marLeft w:val="0"/>
      <w:marRight w:val="0"/>
      <w:marTop w:val="0"/>
      <w:marBottom w:val="0"/>
      <w:divBdr>
        <w:top w:val="none" w:sz="0" w:space="0" w:color="auto"/>
        <w:left w:val="none" w:sz="0" w:space="0" w:color="auto"/>
        <w:bottom w:val="none" w:sz="0" w:space="0" w:color="auto"/>
        <w:right w:val="none" w:sz="0" w:space="0" w:color="auto"/>
      </w:divBdr>
      <w:divsChild>
        <w:div w:id="165751084">
          <w:marLeft w:val="0"/>
          <w:marRight w:val="0"/>
          <w:marTop w:val="0"/>
          <w:marBottom w:val="0"/>
          <w:divBdr>
            <w:top w:val="none" w:sz="0" w:space="0" w:color="auto"/>
            <w:left w:val="none" w:sz="0" w:space="0" w:color="auto"/>
            <w:bottom w:val="none" w:sz="0" w:space="0" w:color="auto"/>
            <w:right w:val="none" w:sz="0" w:space="0" w:color="auto"/>
          </w:divBdr>
        </w:div>
        <w:div w:id="514416241">
          <w:marLeft w:val="0"/>
          <w:marRight w:val="0"/>
          <w:marTop w:val="0"/>
          <w:marBottom w:val="0"/>
          <w:divBdr>
            <w:top w:val="none" w:sz="0" w:space="0" w:color="auto"/>
            <w:left w:val="none" w:sz="0" w:space="0" w:color="auto"/>
            <w:bottom w:val="none" w:sz="0" w:space="0" w:color="auto"/>
            <w:right w:val="none" w:sz="0" w:space="0" w:color="auto"/>
          </w:divBdr>
        </w:div>
        <w:div w:id="659038786">
          <w:marLeft w:val="0"/>
          <w:marRight w:val="0"/>
          <w:marTop w:val="0"/>
          <w:marBottom w:val="0"/>
          <w:divBdr>
            <w:top w:val="none" w:sz="0" w:space="0" w:color="auto"/>
            <w:left w:val="none" w:sz="0" w:space="0" w:color="auto"/>
            <w:bottom w:val="none" w:sz="0" w:space="0" w:color="auto"/>
            <w:right w:val="none" w:sz="0" w:space="0" w:color="auto"/>
          </w:divBdr>
        </w:div>
        <w:div w:id="739013367">
          <w:marLeft w:val="0"/>
          <w:marRight w:val="0"/>
          <w:marTop w:val="0"/>
          <w:marBottom w:val="0"/>
          <w:divBdr>
            <w:top w:val="none" w:sz="0" w:space="0" w:color="auto"/>
            <w:left w:val="none" w:sz="0" w:space="0" w:color="auto"/>
            <w:bottom w:val="none" w:sz="0" w:space="0" w:color="auto"/>
            <w:right w:val="none" w:sz="0" w:space="0" w:color="auto"/>
          </w:divBdr>
        </w:div>
        <w:div w:id="1145320306">
          <w:marLeft w:val="0"/>
          <w:marRight w:val="0"/>
          <w:marTop w:val="0"/>
          <w:marBottom w:val="0"/>
          <w:divBdr>
            <w:top w:val="none" w:sz="0" w:space="0" w:color="auto"/>
            <w:left w:val="none" w:sz="0" w:space="0" w:color="auto"/>
            <w:bottom w:val="none" w:sz="0" w:space="0" w:color="auto"/>
            <w:right w:val="none" w:sz="0" w:space="0" w:color="auto"/>
          </w:divBdr>
        </w:div>
        <w:div w:id="1209222569">
          <w:marLeft w:val="0"/>
          <w:marRight w:val="0"/>
          <w:marTop w:val="0"/>
          <w:marBottom w:val="0"/>
          <w:divBdr>
            <w:top w:val="none" w:sz="0" w:space="0" w:color="auto"/>
            <w:left w:val="none" w:sz="0" w:space="0" w:color="auto"/>
            <w:bottom w:val="none" w:sz="0" w:space="0" w:color="auto"/>
            <w:right w:val="none" w:sz="0" w:space="0" w:color="auto"/>
          </w:divBdr>
        </w:div>
        <w:div w:id="1600142763">
          <w:marLeft w:val="0"/>
          <w:marRight w:val="0"/>
          <w:marTop w:val="0"/>
          <w:marBottom w:val="0"/>
          <w:divBdr>
            <w:top w:val="none" w:sz="0" w:space="0" w:color="auto"/>
            <w:left w:val="none" w:sz="0" w:space="0" w:color="auto"/>
            <w:bottom w:val="none" w:sz="0" w:space="0" w:color="auto"/>
            <w:right w:val="none" w:sz="0" w:space="0" w:color="auto"/>
          </w:divBdr>
        </w:div>
        <w:div w:id="1916625627">
          <w:marLeft w:val="0"/>
          <w:marRight w:val="0"/>
          <w:marTop w:val="0"/>
          <w:marBottom w:val="0"/>
          <w:divBdr>
            <w:top w:val="none" w:sz="0" w:space="0" w:color="auto"/>
            <w:left w:val="none" w:sz="0" w:space="0" w:color="auto"/>
            <w:bottom w:val="none" w:sz="0" w:space="0" w:color="auto"/>
            <w:right w:val="none" w:sz="0" w:space="0" w:color="auto"/>
          </w:divBdr>
        </w:div>
        <w:div w:id="2011447101">
          <w:marLeft w:val="0"/>
          <w:marRight w:val="0"/>
          <w:marTop w:val="0"/>
          <w:marBottom w:val="0"/>
          <w:divBdr>
            <w:top w:val="none" w:sz="0" w:space="0" w:color="auto"/>
            <w:left w:val="none" w:sz="0" w:space="0" w:color="auto"/>
            <w:bottom w:val="none" w:sz="0" w:space="0" w:color="auto"/>
            <w:right w:val="none" w:sz="0" w:space="0" w:color="auto"/>
          </w:divBdr>
        </w:div>
      </w:divsChild>
    </w:div>
    <w:div w:id="527571119">
      <w:bodyDiv w:val="1"/>
      <w:marLeft w:val="0"/>
      <w:marRight w:val="0"/>
      <w:marTop w:val="0"/>
      <w:marBottom w:val="0"/>
      <w:divBdr>
        <w:top w:val="none" w:sz="0" w:space="0" w:color="auto"/>
        <w:left w:val="none" w:sz="0" w:space="0" w:color="auto"/>
        <w:bottom w:val="none" w:sz="0" w:space="0" w:color="auto"/>
        <w:right w:val="none" w:sz="0" w:space="0" w:color="auto"/>
      </w:divBdr>
    </w:div>
    <w:div w:id="552734617">
      <w:bodyDiv w:val="1"/>
      <w:marLeft w:val="0"/>
      <w:marRight w:val="0"/>
      <w:marTop w:val="0"/>
      <w:marBottom w:val="0"/>
      <w:divBdr>
        <w:top w:val="none" w:sz="0" w:space="0" w:color="auto"/>
        <w:left w:val="none" w:sz="0" w:space="0" w:color="auto"/>
        <w:bottom w:val="none" w:sz="0" w:space="0" w:color="auto"/>
        <w:right w:val="none" w:sz="0" w:space="0" w:color="auto"/>
      </w:divBdr>
    </w:div>
    <w:div w:id="575819003">
      <w:bodyDiv w:val="1"/>
      <w:marLeft w:val="0"/>
      <w:marRight w:val="0"/>
      <w:marTop w:val="0"/>
      <w:marBottom w:val="0"/>
      <w:divBdr>
        <w:top w:val="none" w:sz="0" w:space="0" w:color="auto"/>
        <w:left w:val="none" w:sz="0" w:space="0" w:color="auto"/>
        <w:bottom w:val="none" w:sz="0" w:space="0" w:color="auto"/>
        <w:right w:val="none" w:sz="0" w:space="0" w:color="auto"/>
      </w:divBdr>
    </w:div>
    <w:div w:id="607977941">
      <w:bodyDiv w:val="1"/>
      <w:marLeft w:val="0"/>
      <w:marRight w:val="0"/>
      <w:marTop w:val="0"/>
      <w:marBottom w:val="0"/>
      <w:divBdr>
        <w:top w:val="none" w:sz="0" w:space="0" w:color="auto"/>
        <w:left w:val="none" w:sz="0" w:space="0" w:color="auto"/>
        <w:bottom w:val="none" w:sz="0" w:space="0" w:color="auto"/>
        <w:right w:val="none" w:sz="0" w:space="0" w:color="auto"/>
      </w:divBdr>
    </w:div>
    <w:div w:id="641278068">
      <w:bodyDiv w:val="1"/>
      <w:marLeft w:val="0"/>
      <w:marRight w:val="0"/>
      <w:marTop w:val="0"/>
      <w:marBottom w:val="0"/>
      <w:divBdr>
        <w:top w:val="none" w:sz="0" w:space="0" w:color="auto"/>
        <w:left w:val="none" w:sz="0" w:space="0" w:color="auto"/>
        <w:bottom w:val="none" w:sz="0" w:space="0" w:color="auto"/>
        <w:right w:val="none" w:sz="0" w:space="0" w:color="auto"/>
      </w:divBdr>
    </w:div>
    <w:div w:id="641426457">
      <w:bodyDiv w:val="1"/>
      <w:marLeft w:val="0"/>
      <w:marRight w:val="0"/>
      <w:marTop w:val="0"/>
      <w:marBottom w:val="0"/>
      <w:divBdr>
        <w:top w:val="none" w:sz="0" w:space="0" w:color="auto"/>
        <w:left w:val="none" w:sz="0" w:space="0" w:color="auto"/>
        <w:bottom w:val="none" w:sz="0" w:space="0" w:color="auto"/>
        <w:right w:val="none" w:sz="0" w:space="0" w:color="auto"/>
      </w:divBdr>
    </w:div>
    <w:div w:id="662664397">
      <w:bodyDiv w:val="1"/>
      <w:marLeft w:val="0"/>
      <w:marRight w:val="0"/>
      <w:marTop w:val="0"/>
      <w:marBottom w:val="0"/>
      <w:divBdr>
        <w:top w:val="none" w:sz="0" w:space="0" w:color="auto"/>
        <w:left w:val="none" w:sz="0" w:space="0" w:color="auto"/>
        <w:bottom w:val="none" w:sz="0" w:space="0" w:color="auto"/>
        <w:right w:val="none" w:sz="0" w:space="0" w:color="auto"/>
      </w:divBdr>
    </w:div>
    <w:div w:id="666908509">
      <w:bodyDiv w:val="1"/>
      <w:marLeft w:val="0"/>
      <w:marRight w:val="0"/>
      <w:marTop w:val="0"/>
      <w:marBottom w:val="0"/>
      <w:divBdr>
        <w:top w:val="none" w:sz="0" w:space="0" w:color="auto"/>
        <w:left w:val="none" w:sz="0" w:space="0" w:color="auto"/>
        <w:bottom w:val="none" w:sz="0" w:space="0" w:color="auto"/>
        <w:right w:val="none" w:sz="0" w:space="0" w:color="auto"/>
      </w:divBdr>
    </w:div>
    <w:div w:id="681247249">
      <w:bodyDiv w:val="1"/>
      <w:marLeft w:val="0"/>
      <w:marRight w:val="0"/>
      <w:marTop w:val="0"/>
      <w:marBottom w:val="0"/>
      <w:divBdr>
        <w:top w:val="none" w:sz="0" w:space="0" w:color="auto"/>
        <w:left w:val="none" w:sz="0" w:space="0" w:color="auto"/>
        <w:bottom w:val="none" w:sz="0" w:space="0" w:color="auto"/>
        <w:right w:val="none" w:sz="0" w:space="0" w:color="auto"/>
      </w:divBdr>
    </w:div>
    <w:div w:id="738672367">
      <w:bodyDiv w:val="1"/>
      <w:marLeft w:val="0"/>
      <w:marRight w:val="0"/>
      <w:marTop w:val="0"/>
      <w:marBottom w:val="0"/>
      <w:divBdr>
        <w:top w:val="none" w:sz="0" w:space="0" w:color="auto"/>
        <w:left w:val="none" w:sz="0" w:space="0" w:color="auto"/>
        <w:bottom w:val="none" w:sz="0" w:space="0" w:color="auto"/>
        <w:right w:val="none" w:sz="0" w:space="0" w:color="auto"/>
      </w:divBdr>
    </w:div>
    <w:div w:id="753477683">
      <w:bodyDiv w:val="1"/>
      <w:marLeft w:val="0"/>
      <w:marRight w:val="0"/>
      <w:marTop w:val="0"/>
      <w:marBottom w:val="0"/>
      <w:divBdr>
        <w:top w:val="none" w:sz="0" w:space="0" w:color="auto"/>
        <w:left w:val="none" w:sz="0" w:space="0" w:color="auto"/>
        <w:bottom w:val="none" w:sz="0" w:space="0" w:color="auto"/>
        <w:right w:val="none" w:sz="0" w:space="0" w:color="auto"/>
      </w:divBdr>
    </w:div>
    <w:div w:id="793256960">
      <w:bodyDiv w:val="1"/>
      <w:marLeft w:val="0"/>
      <w:marRight w:val="0"/>
      <w:marTop w:val="0"/>
      <w:marBottom w:val="0"/>
      <w:divBdr>
        <w:top w:val="none" w:sz="0" w:space="0" w:color="auto"/>
        <w:left w:val="none" w:sz="0" w:space="0" w:color="auto"/>
        <w:bottom w:val="none" w:sz="0" w:space="0" w:color="auto"/>
        <w:right w:val="none" w:sz="0" w:space="0" w:color="auto"/>
      </w:divBdr>
      <w:divsChild>
        <w:div w:id="132601396">
          <w:marLeft w:val="0"/>
          <w:marRight w:val="0"/>
          <w:marTop w:val="0"/>
          <w:marBottom w:val="0"/>
          <w:divBdr>
            <w:top w:val="none" w:sz="0" w:space="0" w:color="auto"/>
            <w:left w:val="none" w:sz="0" w:space="0" w:color="auto"/>
            <w:bottom w:val="none" w:sz="0" w:space="0" w:color="auto"/>
            <w:right w:val="none" w:sz="0" w:space="0" w:color="auto"/>
          </w:divBdr>
        </w:div>
        <w:div w:id="277612141">
          <w:marLeft w:val="0"/>
          <w:marRight w:val="0"/>
          <w:marTop w:val="0"/>
          <w:marBottom w:val="0"/>
          <w:divBdr>
            <w:top w:val="none" w:sz="0" w:space="0" w:color="auto"/>
            <w:left w:val="none" w:sz="0" w:space="0" w:color="auto"/>
            <w:bottom w:val="none" w:sz="0" w:space="0" w:color="auto"/>
            <w:right w:val="none" w:sz="0" w:space="0" w:color="auto"/>
          </w:divBdr>
        </w:div>
        <w:div w:id="300812774">
          <w:marLeft w:val="0"/>
          <w:marRight w:val="0"/>
          <w:marTop w:val="0"/>
          <w:marBottom w:val="0"/>
          <w:divBdr>
            <w:top w:val="none" w:sz="0" w:space="0" w:color="auto"/>
            <w:left w:val="none" w:sz="0" w:space="0" w:color="auto"/>
            <w:bottom w:val="none" w:sz="0" w:space="0" w:color="auto"/>
            <w:right w:val="none" w:sz="0" w:space="0" w:color="auto"/>
          </w:divBdr>
        </w:div>
        <w:div w:id="300842010">
          <w:marLeft w:val="0"/>
          <w:marRight w:val="0"/>
          <w:marTop w:val="0"/>
          <w:marBottom w:val="0"/>
          <w:divBdr>
            <w:top w:val="none" w:sz="0" w:space="0" w:color="auto"/>
            <w:left w:val="none" w:sz="0" w:space="0" w:color="auto"/>
            <w:bottom w:val="none" w:sz="0" w:space="0" w:color="auto"/>
            <w:right w:val="none" w:sz="0" w:space="0" w:color="auto"/>
          </w:divBdr>
        </w:div>
        <w:div w:id="786969077">
          <w:marLeft w:val="0"/>
          <w:marRight w:val="0"/>
          <w:marTop w:val="0"/>
          <w:marBottom w:val="0"/>
          <w:divBdr>
            <w:top w:val="none" w:sz="0" w:space="0" w:color="auto"/>
            <w:left w:val="none" w:sz="0" w:space="0" w:color="auto"/>
            <w:bottom w:val="none" w:sz="0" w:space="0" w:color="auto"/>
            <w:right w:val="none" w:sz="0" w:space="0" w:color="auto"/>
          </w:divBdr>
        </w:div>
        <w:div w:id="942490834">
          <w:marLeft w:val="0"/>
          <w:marRight w:val="0"/>
          <w:marTop w:val="0"/>
          <w:marBottom w:val="0"/>
          <w:divBdr>
            <w:top w:val="none" w:sz="0" w:space="0" w:color="auto"/>
            <w:left w:val="none" w:sz="0" w:space="0" w:color="auto"/>
            <w:bottom w:val="none" w:sz="0" w:space="0" w:color="auto"/>
            <w:right w:val="none" w:sz="0" w:space="0" w:color="auto"/>
          </w:divBdr>
        </w:div>
        <w:div w:id="1391879122">
          <w:marLeft w:val="0"/>
          <w:marRight w:val="0"/>
          <w:marTop w:val="0"/>
          <w:marBottom w:val="0"/>
          <w:divBdr>
            <w:top w:val="none" w:sz="0" w:space="0" w:color="auto"/>
            <w:left w:val="none" w:sz="0" w:space="0" w:color="auto"/>
            <w:bottom w:val="none" w:sz="0" w:space="0" w:color="auto"/>
            <w:right w:val="none" w:sz="0" w:space="0" w:color="auto"/>
          </w:divBdr>
        </w:div>
        <w:div w:id="1488980429">
          <w:marLeft w:val="0"/>
          <w:marRight w:val="0"/>
          <w:marTop w:val="0"/>
          <w:marBottom w:val="0"/>
          <w:divBdr>
            <w:top w:val="none" w:sz="0" w:space="0" w:color="auto"/>
            <w:left w:val="none" w:sz="0" w:space="0" w:color="auto"/>
            <w:bottom w:val="none" w:sz="0" w:space="0" w:color="auto"/>
            <w:right w:val="none" w:sz="0" w:space="0" w:color="auto"/>
          </w:divBdr>
        </w:div>
        <w:div w:id="1491756095">
          <w:marLeft w:val="0"/>
          <w:marRight w:val="0"/>
          <w:marTop w:val="0"/>
          <w:marBottom w:val="0"/>
          <w:divBdr>
            <w:top w:val="none" w:sz="0" w:space="0" w:color="auto"/>
            <w:left w:val="none" w:sz="0" w:space="0" w:color="auto"/>
            <w:bottom w:val="none" w:sz="0" w:space="0" w:color="auto"/>
            <w:right w:val="none" w:sz="0" w:space="0" w:color="auto"/>
          </w:divBdr>
        </w:div>
        <w:div w:id="1993751501">
          <w:marLeft w:val="0"/>
          <w:marRight w:val="0"/>
          <w:marTop w:val="0"/>
          <w:marBottom w:val="0"/>
          <w:divBdr>
            <w:top w:val="none" w:sz="0" w:space="0" w:color="auto"/>
            <w:left w:val="none" w:sz="0" w:space="0" w:color="auto"/>
            <w:bottom w:val="none" w:sz="0" w:space="0" w:color="auto"/>
            <w:right w:val="none" w:sz="0" w:space="0" w:color="auto"/>
          </w:divBdr>
        </w:div>
      </w:divsChild>
    </w:div>
    <w:div w:id="794178481">
      <w:bodyDiv w:val="1"/>
      <w:marLeft w:val="0"/>
      <w:marRight w:val="0"/>
      <w:marTop w:val="0"/>
      <w:marBottom w:val="0"/>
      <w:divBdr>
        <w:top w:val="none" w:sz="0" w:space="0" w:color="auto"/>
        <w:left w:val="none" w:sz="0" w:space="0" w:color="auto"/>
        <w:bottom w:val="none" w:sz="0" w:space="0" w:color="auto"/>
        <w:right w:val="none" w:sz="0" w:space="0" w:color="auto"/>
      </w:divBdr>
    </w:div>
    <w:div w:id="811870316">
      <w:bodyDiv w:val="1"/>
      <w:marLeft w:val="0"/>
      <w:marRight w:val="0"/>
      <w:marTop w:val="0"/>
      <w:marBottom w:val="0"/>
      <w:divBdr>
        <w:top w:val="none" w:sz="0" w:space="0" w:color="auto"/>
        <w:left w:val="none" w:sz="0" w:space="0" w:color="auto"/>
        <w:bottom w:val="none" w:sz="0" w:space="0" w:color="auto"/>
        <w:right w:val="none" w:sz="0" w:space="0" w:color="auto"/>
      </w:divBdr>
    </w:div>
    <w:div w:id="832334457">
      <w:bodyDiv w:val="1"/>
      <w:marLeft w:val="0"/>
      <w:marRight w:val="0"/>
      <w:marTop w:val="0"/>
      <w:marBottom w:val="0"/>
      <w:divBdr>
        <w:top w:val="none" w:sz="0" w:space="0" w:color="auto"/>
        <w:left w:val="none" w:sz="0" w:space="0" w:color="auto"/>
        <w:bottom w:val="none" w:sz="0" w:space="0" w:color="auto"/>
        <w:right w:val="none" w:sz="0" w:space="0" w:color="auto"/>
      </w:divBdr>
    </w:div>
    <w:div w:id="868110451">
      <w:bodyDiv w:val="1"/>
      <w:marLeft w:val="0"/>
      <w:marRight w:val="0"/>
      <w:marTop w:val="0"/>
      <w:marBottom w:val="0"/>
      <w:divBdr>
        <w:top w:val="none" w:sz="0" w:space="0" w:color="auto"/>
        <w:left w:val="none" w:sz="0" w:space="0" w:color="auto"/>
        <w:bottom w:val="none" w:sz="0" w:space="0" w:color="auto"/>
        <w:right w:val="none" w:sz="0" w:space="0" w:color="auto"/>
      </w:divBdr>
    </w:div>
    <w:div w:id="907763645">
      <w:bodyDiv w:val="1"/>
      <w:marLeft w:val="0"/>
      <w:marRight w:val="0"/>
      <w:marTop w:val="0"/>
      <w:marBottom w:val="0"/>
      <w:divBdr>
        <w:top w:val="none" w:sz="0" w:space="0" w:color="auto"/>
        <w:left w:val="none" w:sz="0" w:space="0" w:color="auto"/>
        <w:bottom w:val="none" w:sz="0" w:space="0" w:color="auto"/>
        <w:right w:val="none" w:sz="0" w:space="0" w:color="auto"/>
      </w:divBdr>
    </w:div>
    <w:div w:id="921714970">
      <w:bodyDiv w:val="1"/>
      <w:marLeft w:val="0"/>
      <w:marRight w:val="0"/>
      <w:marTop w:val="0"/>
      <w:marBottom w:val="0"/>
      <w:divBdr>
        <w:top w:val="none" w:sz="0" w:space="0" w:color="auto"/>
        <w:left w:val="none" w:sz="0" w:space="0" w:color="auto"/>
        <w:bottom w:val="none" w:sz="0" w:space="0" w:color="auto"/>
        <w:right w:val="none" w:sz="0" w:space="0" w:color="auto"/>
      </w:divBdr>
    </w:div>
    <w:div w:id="925649457">
      <w:bodyDiv w:val="1"/>
      <w:marLeft w:val="0"/>
      <w:marRight w:val="0"/>
      <w:marTop w:val="0"/>
      <w:marBottom w:val="0"/>
      <w:divBdr>
        <w:top w:val="none" w:sz="0" w:space="0" w:color="auto"/>
        <w:left w:val="none" w:sz="0" w:space="0" w:color="auto"/>
        <w:bottom w:val="none" w:sz="0" w:space="0" w:color="auto"/>
        <w:right w:val="none" w:sz="0" w:space="0" w:color="auto"/>
      </w:divBdr>
    </w:div>
    <w:div w:id="973216817">
      <w:bodyDiv w:val="1"/>
      <w:marLeft w:val="0"/>
      <w:marRight w:val="0"/>
      <w:marTop w:val="0"/>
      <w:marBottom w:val="0"/>
      <w:divBdr>
        <w:top w:val="none" w:sz="0" w:space="0" w:color="auto"/>
        <w:left w:val="none" w:sz="0" w:space="0" w:color="auto"/>
        <w:bottom w:val="none" w:sz="0" w:space="0" w:color="auto"/>
        <w:right w:val="none" w:sz="0" w:space="0" w:color="auto"/>
      </w:divBdr>
    </w:div>
    <w:div w:id="980428041">
      <w:bodyDiv w:val="1"/>
      <w:marLeft w:val="0"/>
      <w:marRight w:val="0"/>
      <w:marTop w:val="0"/>
      <w:marBottom w:val="0"/>
      <w:divBdr>
        <w:top w:val="none" w:sz="0" w:space="0" w:color="auto"/>
        <w:left w:val="none" w:sz="0" w:space="0" w:color="auto"/>
        <w:bottom w:val="none" w:sz="0" w:space="0" w:color="auto"/>
        <w:right w:val="none" w:sz="0" w:space="0" w:color="auto"/>
      </w:divBdr>
    </w:div>
    <w:div w:id="1061177919">
      <w:bodyDiv w:val="1"/>
      <w:marLeft w:val="0"/>
      <w:marRight w:val="0"/>
      <w:marTop w:val="0"/>
      <w:marBottom w:val="0"/>
      <w:divBdr>
        <w:top w:val="none" w:sz="0" w:space="0" w:color="auto"/>
        <w:left w:val="none" w:sz="0" w:space="0" w:color="auto"/>
        <w:bottom w:val="none" w:sz="0" w:space="0" w:color="auto"/>
        <w:right w:val="none" w:sz="0" w:space="0" w:color="auto"/>
      </w:divBdr>
    </w:div>
    <w:div w:id="1126698175">
      <w:bodyDiv w:val="1"/>
      <w:marLeft w:val="0"/>
      <w:marRight w:val="0"/>
      <w:marTop w:val="0"/>
      <w:marBottom w:val="0"/>
      <w:divBdr>
        <w:top w:val="none" w:sz="0" w:space="0" w:color="auto"/>
        <w:left w:val="none" w:sz="0" w:space="0" w:color="auto"/>
        <w:bottom w:val="none" w:sz="0" w:space="0" w:color="auto"/>
        <w:right w:val="none" w:sz="0" w:space="0" w:color="auto"/>
      </w:divBdr>
    </w:div>
    <w:div w:id="1132484963">
      <w:bodyDiv w:val="1"/>
      <w:marLeft w:val="0"/>
      <w:marRight w:val="0"/>
      <w:marTop w:val="0"/>
      <w:marBottom w:val="0"/>
      <w:divBdr>
        <w:top w:val="none" w:sz="0" w:space="0" w:color="auto"/>
        <w:left w:val="none" w:sz="0" w:space="0" w:color="auto"/>
        <w:bottom w:val="none" w:sz="0" w:space="0" w:color="auto"/>
        <w:right w:val="none" w:sz="0" w:space="0" w:color="auto"/>
      </w:divBdr>
    </w:div>
    <w:div w:id="1145897173">
      <w:bodyDiv w:val="1"/>
      <w:marLeft w:val="0"/>
      <w:marRight w:val="0"/>
      <w:marTop w:val="0"/>
      <w:marBottom w:val="0"/>
      <w:divBdr>
        <w:top w:val="none" w:sz="0" w:space="0" w:color="auto"/>
        <w:left w:val="none" w:sz="0" w:space="0" w:color="auto"/>
        <w:bottom w:val="none" w:sz="0" w:space="0" w:color="auto"/>
        <w:right w:val="none" w:sz="0" w:space="0" w:color="auto"/>
      </w:divBdr>
    </w:div>
    <w:div w:id="1198741267">
      <w:bodyDiv w:val="1"/>
      <w:marLeft w:val="0"/>
      <w:marRight w:val="0"/>
      <w:marTop w:val="0"/>
      <w:marBottom w:val="0"/>
      <w:divBdr>
        <w:top w:val="none" w:sz="0" w:space="0" w:color="auto"/>
        <w:left w:val="none" w:sz="0" w:space="0" w:color="auto"/>
        <w:bottom w:val="none" w:sz="0" w:space="0" w:color="auto"/>
        <w:right w:val="none" w:sz="0" w:space="0" w:color="auto"/>
      </w:divBdr>
    </w:div>
    <w:div w:id="1219823603">
      <w:bodyDiv w:val="1"/>
      <w:marLeft w:val="0"/>
      <w:marRight w:val="0"/>
      <w:marTop w:val="0"/>
      <w:marBottom w:val="0"/>
      <w:divBdr>
        <w:top w:val="none" w:sz="0" w:space="0" w:color="auto"/>
        <w:left w:val="none" w:sz="0" w:space="0" w:color="auto"/>
        <w:bottom w:val="none" w:sz="0" w:space="0" w:color="auto"/>
        <w:right w:val="none" w:sz="0" w:space="0" w:color="auto"/>
      </w:divBdr>
    </w:div>
    <w:div w:id="1297563954">
      <w:bodyDiv w:val="1"/>
      <w:marLeft w:val="0"/>
      <w:marRight w:val="0"/>
      <w:marTop w:val="0"/>
      <w:marBottom w:val="0"/>
      <w:divBdr>
        <w:top w:val="none" w:sz="0" w:space="0" w:color="auto"/>
        <w:left w:val="none" w:sz="0" w:space="0" w:color="auto"/>
        <w:bottom w:val="none" w:sz="0" w:space="0" w:color="auto"/>
        <w:right w:val="none" w:sz="0" w:space="0" w:color="auto"/>
      </w:divBdr>
    </w:div>
    <w:div w:id="1478495247">
      <w:bodyDiv w:val="1"/>
      <w:marLeft w:val="0"/>
      <w:marRight w:val="0"/>
      <w:marTop w:val="0"/>
      <w:marBottom w:val="0"/>
      <w:divBdr>
        <w:top w:val="none" w:sz="0" w:space="0" w:color="auto"/>
        <w:left w:val="none" w:sz="0" w:space="0" w:color="auto"/>
        <w:bottom w:val="none" w:sz="0" w:space="0" w:color="auto"/>
        <w:right w:val="none" w:sz="0" w:space="0" w:color="auto"/>
      </w:divBdr>
    </w:div>
    <w:div w:id="1514612601">
      <w:bodyDiv w:val="1"/>
      <w:marLeft w:val="0"/>
      <w:marRight w:val="0"/>
      <w:marTop w:val="0"/>
      <w:marBottom w:val="0"/>
      <w:divBdr>
        <w:top w:val="none" w:sz="0" w:space="0" w:color="auto"/>
        <w:left w:val="none" w:sz="0" w:space="0" w:color="auto"/>
        <w:bottom w:val="none" w:sz="0" w:space="0" w:color="auto"/>
        <w:right w:val="none" w:sz="0" w:space="0" w:color="auto"/>
      </w:divBdr>
    </w:div>
    <w:div w:id="1517500140">
      <w:bodyDiv w:val="1"/>
      <w:marLeft w:val="0"/>
      <w:marRight w:val="0"/>
      <w:marTop w:val="0"/>
      <w:marBottom w:val="0"/>
      <w:divBdr>
        <w:top w:val="none" w:sz="0" w:space="0" w:color="auto"/>
        <w:left w:val="none" w:sz="0" w:space="0" w:color="auto"/>
        <w:bottom w:val="none" w:sz="0" w:space="0" w:color="auto"/>
        <w:right w:val="none" w:sz="0" w:space="0" w:color="auto"/>
      </w:divBdr>
    </w:div>
    <w:div w:id="1603538157">
      <w:bodyDiv w:val="1"/>
      <w:marLeft w:val="0"/>
      <w:marRight w:val="0"/>
      <w:marTop w:val="0"/>
      <w:marBottom w:val="0"/>
      <w:divBdr>
        <w:top w:val="none" w:sz="0" w:space="0" w:color="auto"/>
        <w:left w:val="none" w:sz="0" w:space="0" w:color="auto"/>
        <w:bottom w:val="none" w:sz="0" w:space="0" w:color="auto"/>
        <w:right w:val="none" w:sz="0" w:space="0" w:color="auto"/>
      </w:divBdr>
    </w:div>
    <w:div w:id="1691030380">
      <w:bodyDiv w:val="1"/>
      <w:marLeft w:val="0"/>
      <w:marRight w:val="0"/>
      <w:marTop w:val="0"/>
      <w:marBottom w:val="0"/>
      <w:divBdr>
        <w:top w:val="none" w:sz="0" w:space="0" w:color="auto"/>
        <w:left w:val="none" w:sz="0" w:space="0" w:color="auto"/>
        <w:bottom w:val="none" w:sz="0" w:space="0" w:color="auto"/>
        <w:right w:val="none" w:sz="0" w:space="0" w:color="auto"/>
      </w:divBdr>
    </w:div>
    <w:div w:id="1696077799">
      <w:bodyDiv w:val="1"/>
      <w:marLeft w:val="0"/>
      <w:marRight w:val="0"/>
      <w:marTop w:val="0"/>
      <w:marBottom w:val="0"/>
      <w:divBdr>
        <w:top w:val="none" w:sz="0" w:space="0" w:color="auto"/>
        <w:left w:val="none" w:sz="0" w:space="0" w:color="auto"/>
        <w:bottom w:val="none" w:sz="0" w:space="0" w:color="auto"/>
        <w:right w:val="none" w:sz="0" w:space="0" w:color="auto"/>
      </w:divBdr>
    </w:div>
    <w:div w:id="1793555117">
      <w:bodyDiv w:val="1"/>
      <w:marLeft w:val="0"/>
      <w:marRight w:val="0"/>
      <w:marTop w:val="0"/>
      <w:marBottom w:val="0"/>
      <w:divBdr>
        <w:top w:val="none" w:sz="0" w:space="0" w:color="auto"/>
        <w:left w:val="none" w:sz="0" w:space="0" w:color="auto"/>
        <w:bottom w:val="none" w:sz="0" w:space="0" w:color="auto"/>
        <w:right w:val="none" w:sz="0" w:space="0" w:color="auto"/>
      </w:divBdr>
    </w:div>
    <w:div w:id="1802379942">
      <w:bodyDiv w:val="1"/>
      <w:marLeft w:val="0"/>
      <w:marRight w:val="0"/>
      <w:marTop w:val="0"/>
      <w:marBottom w:val="0"/>
      <w:divBdr>
        <w:top w:val="none" w:sz="0" w:space="0" w:color="auto"/>
        <w:left w:val="none" w:sz="0" w:space="0" w:color="auto"/>
        <w:bottom w:val="none" w:sz="0" w:space="0" w:color="auto"/>
        <w:right w:val="none" w:sz="0" w:space="0" w:color="auto"/>
      </w:divBdr>
    </w:div>
    <w:div w:id="1808544364">
      <w:bodyDiv w:val="1"/>
      <w:marLeft w:val="0"/>
      <w:marRight w:val="0"/>
      <w:marTop w:val="0"/>
      <w:marBottom w:val="0"/>
      <w:divBdr>
        <w:top w:val="none" w:sz="0" w:space="0" w:color="auto"/>
        <w:left w:val="none" w:sz="0" w:space="0" w:color="auto"/>
        <w:bottom w:val="none" w:sz="0" w:space="0" w:color="auto"/>
        <w:right w:val="none" w:sz="0" w:space="0" w:color="auto"/>
      </w:divBdr>
    </w:div>
    <w:div w:id="1819682898">
      <w:bodyDiv w:val="1"/>
      <w:marLeft w:val="0"/>
      <w:marRight w:val="0"/>
      <w:marTop w:val="0"/>
      <w:marBottom w:val="0"/>
      <w:divBdr>
        <w:top w:val="none" w:sz="0" w:space="0" w:color="auto"/>
        <w:left w:val="none" w:sz="0" w:space="0" w:color="auto"/>
        <w:bottom w:val="none" w:sz="0" w:space="0" w:color="auto"/>
        <w:right w:val="none" w:sz="0" w:space="0" w:color="auto"/>
      </w:divBdr>
      <w:divsChild>
        <w:div w:id="175728508">
          <w:marLeft w:val="0"/>
          <w:marRight w:val="0"/>
          <w:marTop w:val="0"/>
          <w:marBottom w:val="0"/>
          <w:divBdr>
            <w:top w:val="none" w:sz="0" w:space="0" w:color="auto"/>
            <w:left w:val="none" w:sz="0" w:space="0" w:color="auto"/>
            <w:bottom w:val="none" w:sz="0" w:space="0" w:color="auto"/>
            <w:right w:val="none" w:sz="0" w:space="0" w:color="auto"/>
          </w:divBdr>
        </w:div>
        <w:div w:id="772938390">
          <w:marLeft w:val="0"/>
          <w:marRight w:val="0"/>
          <w:marTop w:val="0"/>
          <w:marBottom w:val="0"/>
          <w:divBdr>
            <w:top w:val="none" w:sz="0" w:space="0" w:color="auto"/>
            <w:left w:val="none" w:sz="0" w:space="0" w:color="auto"/>
            <w:bottom w:val="none" w:sz="0" w:space="0" w:color="auto"/>
            <w:right w:val="none" w:sz="0" w:space="0" w:color="auto"/>
          </w:divBdr>
        </w:div>
      </w:divsChild>
    </w:div>
    <w:div w:id="1873027959">
      <w:bodyDiv w:val="1"/>
      <w:marLeft w:val="0"/>
      <w:marRight w:val="0"/>
      <w:marTop w:val="0"/>
      <w:marBottom w:val="0"/>
      <w:divBdr>
        <w:top w:val="none" w:sz="0" w:space="0" w:color="auto"/>
        <w:left w:val="none" w:sz="0" w:space="0" w:color="auto"/>
        <w:bottom w:val="none" w:sz="0" w:space="0" w:color="auto"/>
        <w:right w:val="none" w:sz="0" w:space="0" w:color="auto"/>
      </w:divBdr>
    </w:div>
    <w:div w:id="1897206867">
      <w:bodyDiv w:val="1"/>
      <w:marLeft w:val="0"/>
      <w:marRight w:val="0"/>
      <w:marTop w:val="0"/>
      <w:marBottom w:val="0"/>
      <w:divBdr>
        <w:top w:val="none" w:sz="0" w:space="0" w:color="auto"/>
        <w:left w:val="none" w:sz="0" w:space="0" w:color="auto"/>
        <w:bottom w:val="none" w:sz="0" w:space="0" w:color="auto"/>
        <w:right w:val="none" w:sz="0" w:space="0" w:color="auto"/>
      </w:divBdr>
    </w:div>
    <w:div w:id="1924875687">
      <w:bodyDiv w:val="1"/>
      <w:marLeft w:val="0"/>
      <w:marRight w:val="0"/>
      <w:marTop w:val="0"/>
      <w:marBottom w:val="0"/>
      <w:divBdr>
        <w:top w:val="none" w:sz="0" w:space="0" w:color="auto"/>
        <w:left w:val="none" w:sz="0" w:space="0" w:color="auto"/>
        <w:bottom w:val="none" w:sz="0" w:space="0" w:color="auto"/>
        <w:right w:val="none" w:sz="0" w:space="0" w:color="auto"/>
      </w:divBdr>
      <w:divsChild>
        <w:div w:id="157960424">
          <w:marLeft w:val="0"/>
          <w:marRight w:val="0"/>
          <w:marTop w:val="0"/>
          <w:marBottom w:val="0"/>
          <w:divBdr>
            <w:top w:val="none" w:sz="0" w:space="0" w:color="auto"/>
            <w:left w:val="none" w:sz="0" w:space="0" w:color="auto"/>
            <w:bottom w:val="none" w:sz="0" w:space="0" w:color="auto"/>
            <w:right w:val="none" w:sz="0" w:space="0" w:color="auto"/>
          </w:divBdr>
        </w:div>
        <w:div w:id="496505042">
          <w:marLeft w:val="0"/>
          <w:marRight w:val="0"/>
          <w:marTop w:val="0"/>
          <w:marBottom w:val="0"/>
          <w:divBdr>
            <w:top w:val="none" w:sz="0" w:space="0" w:color="auto"/>
            <w:left w:val="none" w:sz="0" w:space="0" w:color="auto"/>
            <w:bottom w:val="none" w:sz="0" w:space="0" w:color="auto"/>
            <w:right w:val="none" w:sz="0" w:space="0" w:color="auto"/>
          </w:divBdr>
        </w:div>
        <w:div w:id="566495814">
          <w:marLeft w:val="0"/>
          <w:marRight w:val="0"/>
          <w:marTop w:val="0"/>
          <w:marBottom w:val="0"/>
          <w:divBdr>
            <w:top w:val="none" w:sz="0" w:space="0" w:color="auto"/>
            <w:left w:val="none" w:sz="0" w:space="0" w:color="auto"/>
            <w:bottom w:val="none" w:sz="0" w:space="0" w:color="auto"/>
            <w:right w:val="none" w:sz="0" w:space="0" w:color="auto"/>
          </w:divBdr>
        </w:div>
        <w:div w:id="692195281">
          <w:marLeft w:val="0"/>
          <w:marRight w:val="0"/>
          <w:marTop w:val="0"/>
          <w:marBottom w:val="0"/>
          <w:divBdr>
            <w:top w:val="none" w:sz="0" w:space="0" w:color="auto"/>
            <w:left w:val="none" w:sz="0" w:space="0" w:color="auto"/>
            <w:bottom w:val="none" w:sz="0" w:space="0" w:color="auto"/>
            <w:right w:val="none" w:sz="0" w:space="0" w:color="auto"/>
          </w:divBdr>
        </w:div>
        <w:div w:id="1119226780">
          <w:marLeft w:val="0"/>
          <w:marRight w:val="0"/>
          <w:marTop w:val="0"/>
          <w:marBottom w:val="0"/>
          <w:divBdr>
            <w:top w:val="none" w:sz="0" w:space="0" w:color="auto"/>
            <w:left w:val="none" w:sz="0" w:space="0" w:color="auto"/>
            <w:bottom w:val="none" w:sz="0" w:space="0" w:color="auto"/>
            <w:right w:val="none" w:sz="0" w:space="0" w:color="auto"/>
          </w:divBdr>
          <w:divsChild>
            <w:div w:id="95103908">
              <w:marLeft w:val="0"/>
              <w:marRight w:val="0"/>
              <w:marTop w:val="0"/>
              <w:marBottom w:val="0"/>
              <w:divBdr>
                <w:top w:val="none" w:sz="0" w:space="0" w:color="auto"/>
                <w:left w:val="none" w:sz="0" w:space="0" w:color="auto"/>
                <w:bottom w:val="none" w:sz="0" w:space="0" w:color="auto"/>
                <w:right w:val="none" w:sz="0" w:space="0" w:color="auto"/>
              </w:divBdr>
            </w:div>
            <w:div w:id="151262396">
              <w:marLeft w:val="0"/>
              <w:marRight w:val="0"/>
              <w:marTop w:val="0"/>
              <w:marBottom w:val="0"/>
              <w:divBdr>
                <w:top w:val="none" w:sz="0" w:space="0" w:color="auto"/>
                <w:left w:val="none" w:sz="0" w:space="0" w:color="auto"/>
                <w:bottom w:val="none" w:sz="0" w:space="0" w:color="auto"/>
                <w:right w:val="none" w:sz="0" w:space="0" w:color="auto"/>
              </w:divBdr>
            </w:div>
            <w:div w:id="294335281">
              <w:marLeft w:val="0"/>
              <w:marRight w:val="0"/>
              <w:marTop w:val="0"/>
              <w:marBottom w:val="0"/>
              <w:divBdr>
                <w:top w:val="none" w:sz="0" w:space="0" w:color="auto"/>
                <w:left w:val="none" w:sz="0" w:space="0" w:color="auto"/>
                <w:bottom w:val="none" w:sz="0" w:space="0" w:color="auto"/>
                <w:right w:val="none" w:sz="0" w:space="0" w:color="auto"/>
              </w:divBdr>
            </w:div>
            <w:div w:id="443428991">
              <w:marLeft w:val="0"/>
              <w:marRight w:val="0"/>
              <w:marTop w:val="0"/>
              <w:marBottom w:val="0"/>
              <w:divBdr>
                <w:top w:val="none" w:sz="0" w:space="0" w:color="auto"/>
                <w:left w:val="none" w:sz="0" w:space="0" w:color="auto"/>
                <w:bottom w:val="none" w:sz="0" w:space="0" w:color="auto"/>
                <w:right w:val="none" w:sz="0" w:space="0" w:color="auto"/>
              </w:divBdr>
            </w:div>
            <w:div w:id="600601658">
              <w:marLeft w:val="0"/>
              <w:marRight w:val="0"/>
              <w:marTop w:val="0"/>
              <w:marBottom w:val="0"/>
              <w:divBdr>
                <w:top w:val="none" w:sz="0" w:space="0" w:color="auto"/>
                <w:left w:val="none" w:sz="0" w:space="0" w:color="auto"/>
                <w:bottom w:val="none" w:sz="0" w:space="0" w:color="auto"/>
                <w:right w:val="none" w:sz="0" w:space="0" w:color="auto"/>
              </w:divBdr>
            </w:div>
            <w:div w:id="962031124">
              <w:marLeft w:val="0"/>
              <w:marRight w:val="0"/>
              <w:marTop w:val="0"/>
              <w:marBottom w:val="0"/>
              <w:divBdr>
                <w:top w:val="none" w:sz="0" w:space="0" w:color="auto"/>
                <w:left w:val="none" w:sz="0" w:space="0" w:color="auto"/>
                <w:bottom w:val="none" w:sz="0" w:space="0" w:color="auto"/>
                <w:right w:val="none" w:sz="0" w:space="0" w:color="auto"/>
              </w:divBdr>
            </w:div>
            <w:div w:id="1888881399">
              <w:marLeft w:val="0"/>
              <w:marRight w:val="0"/>
              <w:marTop w:val="0"/>
              <w:marBottom w:val="0"/>
              <w:divBdr>
                <w:top w:val="none" w:sz="0" w:space="0" w:color="auto"/>
                <w:left w:val="none" w:sz="0" w:space="0" w:color="auto"/>
                <w:bottom w:val="none" w:sz="0" w:space="0" w:color="auto"/>
                <w:right w:val="none" w:sz="0" w:space="0" w:color="auto"/>
              </w:divBdr>
            </w:div>
            <w:div w:id="1955405674">
              <w:marLeft w:val="0"/>
              <w:marRight w:val="0"/>
              <w:marTop w:val="0"/>
              <w:marBottom w:val="0"/>
              <w:divBdr>
                <w:top w:val="none" w:sz="0" w:space="0" w:color="auto"/>
                <w:left w:val="none" w:sz="0" w:space="0" w:color="auto"/>
                <w:bottom w:val="none" w:sz="0" w:space="0" w:color="auto"/>
                <w:right w:val="none" w:sz="0" w:space="0" w:color="auto"/>
              </w:divBdr>
            </w:div>
            <w:div w:id="2018995891">
              <w:marLeft w:val="0"/>
              <w:marRight w:val="0"/>
              <w:marTop w:val="0"/>
              <w:marBottom w:val="0"/>
              <w:divBdr>
                <w:top w:val="none" w:sz="0" w:space="0" w:color="auto"/>
                <w:left w:val="none" w:sz="0" w:space="0" w:color="auto"/>
                <w:bottom w:val="none" w:sz="0" w:space="0" w:color="auto"/>
                <w:right w:val="none" w:sz="0" w:space="0" w:color="auto"/>
              </w:divBdr>
            </w:div>
            <w:div w:id="2134249664">
              <w:marLeft w:val="0"/>
              <w:marRight w:val="0"/>
              <w:marTop w:val="0"/>
              <w:marBottom w:val="0"/>
              <w:divBdr>
                <w:top w:val="none" w:sz="0" w:space="0" w:color="auto"/>
                <w:left w:val="none" w:sz="0" w:space="0" w:color="auto"/>
                <w:bottom w:val="none" w:sz="0" w:space="0" w:color="auto"/>
                <w:right w:val="none" w:sz="0" w:space="0" w:color="auto"/>
              </w:divBdr>
            </w:div>
          </w:divsChild>
        </w:div>
        <w:div w:id="1324242016">
          <w:marLeft w:val="0"/>
          <w:marRight w:val="0"/>
          <w:marTop w:val="0"/>
          <w:marBottom w:val="0"/>
          <w:divBdr>
            <w:top w:val="none" w:sz="0" w:space="0" w:color="auto"/>
            <w:left w:val="none" w:sz="0" w:space="0" w:color="auto"/>
            <w:bottom w:val="none" w:sz="0" w:space="0" w:color="auto"/>
            <w:right w:val="none" w:sz="0" w:space="0" w:color="auto"/>
          </w:divBdr>
          <w:divsChild>
            <w:div w:id="8026804">
              <w:marLeft w:val="0"/>
              <w:marRight w:val="0"/>
              <w:marTop w:val="0"/>
              <w:marBottom w:val="0"/>
              <w:divBdr>
                <w:top w:val="none" w:sz="0" w:space="0" w:color="auto"/>
                <w:left w:val="none" w:sz="0" w:space="0" w:color="auto"/>
                <w:bottom w:val="none" w:sz="0" w:space="0" w:color="auto"/>
                <w:right w:val="none" w:sz="0" w:space="0" w:color="auto"/>
              </w:divBdr>
            </w:div>
            <w:div w:id="75907716">
              <w:marLeft w:val="0"/>
              <w:marRight w:val="0"/>
              <w:marTop w:val="0"/>
              <w:marBottom w:val="0"/>
              <w:divBdr>
                <w:top w:val="none" w:sz="0" w:space="0" w:color="auto"/>
                <w:left w:val="none" w:sz="0" w:space="0" w:color="auto"/>
                <w:bottom w:val="none" w:sz="0" w:space="0" w:color="auto"/>
                <w:right w:val="none" w:sz="0" w:space="0" w:color="auto"/>
              </w:divBdr>
            </w:div>
            <w:div w:id="150147740">
              <w:marLeft w:val="0"/>
              <w:marRight w:val="0"/>
              <w:marTop w:val="0"/>
              <w:marBottom w:val="0"/>
              <w:divBdr>
                <w:top w:val="none" w:sz="0" w:space="0" w:color="auto"/>
                <w:left w:val="none" w:sz="0" w:space="0" w:color="auto"/>
                <w:bottom w:val="none" w:sz="0" w:space="0" w:color="auto"/>
                <w:right w:val="none" w:sz="0" w:space="0" w:color="auto"/>
              </w:divBdr>
            </w:div>
            <w:div w:id="224531529">
              <w:marLeft w:val="0"/>
              <w:marRight w:val="0"/>
              <w:marTop w:val="0"/>
              <w:marBottom w:val="0"/>
              <w:divBdr>
                <w:top w:val="none" w:sz="0" w:space="0" w:color="auto"/>
                <w:left w:val="none" w:sz="0" w:space="0" w:color="auto"/>
                <w:bottom w:val="none" w:sz="0" w:space="0" w:color="auto"/>
                <w:right w:val="none" w:sz="0" w:space="0" w:color="auto"/>
              </w:divBdr>
            </w:div>
            <w:div w:id="250941383">
              <w:marLeft w:val="0"/>
              <w:marRight w:val="0"/>
              <w:marTop w:val="0"/>
              <w:marBottom w:val="0"/>
              <w:divBdr>
                <w:top w:val="none" w:sz="0" w:space="0" w:color="auto"/>
                <w:left w:val="none" w:sz="0" w:space="0" w:color="auto"/>
                <w:bottom w:val="none" w:sz="0" w:space="0" w:color="auto"/>
                <w:right w:val="none" w:sz="0" w:space="0" w:color="auto"/>
              </w:divBdr>
            </w:div>
            <w:div w:id="488905395">
              <w:marLeft w:val="0"/>
              <w:marRight w:val="0"/>
              <w:marTop w:val="0"/>
              <w:marBottom w:val="0"/>
              <w:divBdr>
                <w:top w:val="none" w:sz="0" w:space="0" w:color="auto"/>
                <w:left w:val="none" w:sz="0" w:space="0" w:color="auto"/>
                <w:bottom w:val="none" w:sz="0" w:space="0" w:color="auto"/>
                <w:right w:val="none" w:sz="0" w:space="0" w:color="auto"/>
              </w:divBdr>
            </w:div>
            <w:div w:id="559754538">
              <w:marLeft w:val="0"/>
              <w:marRight w:val="0"/>
              <w:marTop w:val="0"/>
              <w:marBottom w:val="0"/>
              <w:divBdr>
                <w:top w:val="none" w:sz="0" w:space="0" w:color="auto"/>
                <w:left w:val="none" w:sz="0" w:space="0" w:color="auto"/>
                <w:bottom w:val="none" w:sz="0" w:space="0" w:color="auto"/>
                <w:right w:val="none" w:sz="0" w:space="0" w:color="auto"/>
              </w:divBdr>
            </w:div>
            <w:div w:id="764419447">
              <w:marLeft w:val="0"/>
              <w:marRight w:val="0"/>
              <w:marTop w:val="0"/>
              <w:marBottom w:val="0"/>
              <w:divBdr>
                <w:top w:val="none" w:sz="0" w:space="0" w:color="auto"/>
                <w:left w:val="none" w:sz="0" w:space="0" w:color="auto"/>
                <w:bottom w:val="none" w:sz="0" w:space="0" w:color="auto"/>
                <w:right w:val="none" w:sz="0" w:space="0" w:color="auto"/>
              </w:divBdr>
            </w:div>
            <w:div w:id="906450984">
              <w:marLeft w:val="0"/>
              <w:marRight w:val="0"/>
              <w:marTop w:val="0"/>
              <w:marBottom w:val="0"/>
              <w:divBdr>
                <w:top w:val="none" w:sz="0" w:space="0" w:color="auto"/>
                <w:left w:val="none" w:sz="0" w:space="0" w:color="auto"/>
                <w:bottom w:val="none" w:sz="0" w:space="0" w:color="auto"/>
                <w:right w:val="none" w:sz="0" w:space="0" w:color="auto"/>
              </w:divBdr>
            </w:div>
            <w:div w:id="1096169356">
              <w:marLeft w:val="0"/>
              <w:marRight w:val="0"/>
              <w:marTop w:val="0"/>
              <w:marBottom w:val="0"/>
              <w:divBdr>
                <w:top w:val="none" w:sz="0" w:space="0" w:color="auto"/>
                <w:left w:val="none" w:sz="0" w:space="0" w:color="auto"/>
                <w:bottom w:val="none" w:sz="0" w:space="0" w:color="auto"/>
                <w:right w:val="none" w:sz="0" w:space="0" w:color="auto"/>
              </w:divBdr>
            </w:div>
            <w:div w:id="1146166917">
              <w:marLeft w:val="0"/>
              <w:marRight w:val="0"/>
              <w:marTop w:val="0"/>
              <w:marBottom w:val="0"/>
              <w:divBdr>
                <w:top w:val="none" w:sz="0" w:space="0" w:color="auto"/>
                <w:left w:val="none" w:sz="0" w:space="0" w:color="auto"/>
                <w:bottom w:val="none" w:sz="0" w:space="0" w:color="auto"/>
                <w:right w:val="none" w:sz="0" w:space="0" w:color="auto"/>
              </w:divBdr>
            </w:div>
            <w:div w:id="1310865424">
              <w:marLeft w:val="0"/>
              <w:marRight w:val="0"/>
              <w:marTop w:val="0"/>
              <w:marBottom w:val="0"/>
              <w:divBdr>
                <w:top w:val="none" w:sz="0" w:space="0" w:color="auto"/>
                <w:left w:val="none" w:sz="0" w:space="0" w:color="auto"/>
                <w:bottom w:val="none" w:sz="0" w:space="0" w:color="auto"/>
                <w:right w:val="none" w:sz="0" w:space="0" w:color="auto"/>
              </w:divBdr>
            </w:div>
            <w:div w:id="1316495709">
              <w:marLeft w:val="0"/>
              <w:marRight w:val="0"/>
              <w:marTop w:val="0"/>
              <w:marBottom w:val="0"/>
              <w:divBdr>
                <w:top w:val="none" w:sz="0" w:space="0" w:color="auto"/>
                <w:left w:val="none" w:sz="0" w:space="0" w:color="auto"/>
                <w:bottom w:val="none" w:sz="0" w:space="0" w:color="auto"/>
                <w:right w:val="none" w:sz="0" w:space="0" w:color="auto"/>
              </w:divBdr>
            </w:div>
            <w:div w:id="1457260855">
              <w:marLeft w:val="0"/>
              <w:marRight w:val="0"/>
              <w:marTop w:val="0"/>
              <w:marBottom w:val="0"/>
              <w:divBdr>
                <w:top w:val="none" w:sz="0" w:space="0" w:color="auto"/>
                <w:left w:val="none" w:sz="0" w:space="0" w:color="auto"/>
                <w:bottom w:val="none" w:sz="0" w:space="0" w:color="auto"/>
                <w:right w:val="none" w:sz="0" w:space="0" w:color="auto"/>
              </w:divBdr>
            </w:div>
            <w:div w:id="1460494305">
              <w:marLeft w:val="0"/>
              <w:marRight w:val="0"/>
              <w:marTop w:val="0"/>
              <w:marBottom w:val="0"/>
              <w:divBdr>
                <w:top w:val="none" w:sz="0" w:space="0" w:color="auto"/>
                <w:left w:val="none" w:sz="0" w:space="0" w:color="auto"/>
                <w:bottom w:val="none" w:sz="0" w:space="0" w:color="auto"/>
                <w:right w:val="none" w:sz="0" w:space="0" w:color="auto"/>
              </w:divBdr>
            </w:div>
            <w:div w:id="1542522166">
              <w:marLeft w:val="0"/>
              <w:marRight w:val="0"/>
              <w:marTop w:val="0"/>
              <w:marBottom w:val="0"/>
              <w:divBdr>
                <w:top w:val="none" w:sz="0" w:space="0" w:color="auto"/>
                <w:left w:val="none" w:sz="0" w:space="0" w:color="auto"/>
                <w:bottom w:val="none" w:sz="0" w:space="0" w:color="auto"/>
                <w:right w:val="none" w:sz="0" w:space="0" w:color="auto"/>
              </w:divBdr>
            </w:div>
            <w:div w:id="1837379681">
              <w:marLeft w:val="0"/>
              <w:marRight w:val="0"/>
              <w:marTop w:val="0"/>
              <w:marBottom w:val="0"/>
              <w:divBdr>
                <w:top w:val="none" w:sz="0" w:space="0" w:color="auto"/>
                <w:left w:val="none" w:sz="0" w:space="0" w:color="auto"/>
                <w:bottom w:val="none" w:sz="0" w:space="0" w:color="auto"/>
                <w:right w:val="none" w:sz="0" w:space="0" w:color="auto"/>
              </w:divBdr>
            </w:div>
            <w:div w:id="1943488456">
              <w:marLeft w:val="0"/>
              <w:marRight w:val="0"/>
              <w:marTop w:val="0"/>
              <w:marBottom w:val="0"/>
              <w:divBdr>
                <w:top w:val="none" w:sz="0" w:space="0" w:color="auto"/>
                <w:left w:val="none" w:sz="0" w:space="0" w:color="auto"/>
                <w:bottom w:val="none" w:sz="0" w:space="0" w:color="auto"/>
                <w:right w:val="none" w:sz="0" w:space="0" w:color="auto"/>
              </w:divBdr>
            </w:div>
            <w:div w:id="2019379763">
              <w:marLeft w:val="0"/>
              <w:marRight w:val="0"/>
              <w:marTop w:val="0"/>
              <w:marBottom w:val="0"/>
              <w:divBdr>
                <w:top w:val="none" w:sz="0" w:space="0" w:color="auto"/>
                <w:left w:val="none" w:sz="0" w:space="0" w:color="auto"/>
                <w:bottom w:val="none" w:sz="0" w:space="0" w:color="auto"/>
                <w:right w:val="none" w:sz="0" w:space="0" w:color="auto"/>
              </w:divBdr>
            </w:div>
            <w:div w:id="2089495408">
              <w:marLeft w:val="0"/>
              <w:marRight w:val="0"/>
              <w:marTop w:val="0"/>
              <w:marBottom w:val="0"/>
              <w:divBdr>
                <w:top w:val="none" w:sz="0" w:space="0" w:color="auto"/>
                <w:left w:val="none" w:sz="0" w:space="0" w:color="auto"/>
                <w:bottom w:val="none" w:sz="0" w:space="0" w:color="auto"/>
                <w:right w:val="none" w:sz="0" w:space="0" w:color="auto"/>
              </w:divBdr>
            </w:div>
            <w:div w:id="2091609439">
              <w:marLeft w:val="0"/>
              <w:marRight w:val="0"/>
              <w:marTop w:val="0"/>
              <w:marBottom w:val="0"/>
              <w:divBdr>
                <w:top w:val="none" w:sz="0" w:space="0" w:color="auto"/>
                <w:left w:val="none" w:sz="0" w:space="0" w:color="auto"/>
                <w:bottom w:val="none" w:sz="0" w:space="0" w:color="auto"/>
                <w:right w:val="none" w:sz="0" w:space="0" w:color="auto"/>
              </w:divBdr>
            </w:div>
          </w:divsChild>
        </w:div>
        <w:div w:id="1551765815">
          <w:marLeft w:val="0"/>
          <w:marRight w:val="0"/>
          <w:marTop w:val="0"/>
          <w:marBottom w:val="0"/>
          <w:divBdr>
            <w:top w:val="none" w:sz="0" w:space="0" w:color="auto"/>
            <w:left w:val="none" w:sz="0" w:space="0" w:color="auto"/>
            <w:bottom w:val="none" w:sz="0" w:space="0" w:color="auto"/>
            <w:right w:val="none" w:sz="0" w:space="0" w:color="auto"/>
          </w:divBdr>
        </w:div>
        <w:div w:id="1594507215">
          <w:marLeft w:val="0"/>
          <w:marRight w:val="0"/>
          <w:marTop w:val="0"/>
          <w:marBottom w:val="0"/>
          <w:divBdr>
            <w:top w:val="none" w:sz="0" w:space="0" w:color="auto"/>
            <w:left w:val="none" w:sz="0" w:space="0" w:color="auto"/>
            <w:bottom w:val="none" w:sz="0" w:space="0" w:color="auto"/>
            <w:right w:val="none" w:sz="0" w:space="0" w:color="auto"/>
          </w:divBdr>
        </w:div>
        <w:div w:id="1956911987">
          <w:marLeft w:val="0"/>
          <w:marRight w:val="0"/>
          <w:marTop w:val="0"/>
          <w:marBottom w:val="0"/>
          <w:divBdr>
            <w:top w:val="none" w:sz="0" w:space="0" w:color="auto"/>
            <w:left w:val="none" w:sz="0" w:space="0" w:color="auto"/>
            <w:bottom w:val="none" w:sz="0" w:space="0" w:color="auto"/>
            <w:right w:val="none" w:sz="0" w:space="0" w:color="auto"/>
          </w:divBdr>
          <w:divsChild>
            <w:div w:id="53044611">
              <w:marLeft w:val="0"/>
              <w:marRight w:val="0"/>
              <w:marTop w:val="0"/>
              <w:marBottom w:val="0"/>
              <w:divBdr>
                <w:top w:val="none" w:sz="0" w:space="0" w:color="auto"/>
                <w:left w:val="none" w:sz="0" w:space="0" w:color="auto"/>
                <w:bottom w:val="none" w:sz="0" w:space="0" w:color="auto"/>
                <w:right w:val="none" w:sz="0" w:space="0" w:color="auto"/>
              </w:divBdr>
            </w:div>
            <w:div w:id="75828847">
              <w:marLeft w:val="0"/>
              <w:marRight w:val="0"/>
              <w:marTop w:val="0"/>
              <w:marBottom w:val="0"/>
              <w:divBdr>
                <w:top w:val="none" w:sz="0" w:space="0" w:color="auto"/>
                <w:left w:val="none" w:sz="0" w:space="0" w:color="auto"/>
                <w:bottom w:val="none" w:sz="0" w:space="0" w:color="auto"/>
                <w:right w:val="none" w:sz="0" w:space="0" w:color="auto"/>
              </w:divBdr>
            </w:div>
            <w:div w:id="87897752">
              <w:marLeft w:val="0"/>
              <w:marRight w:val="0"/>
              <w:marTop w:val="0"/>
              <w:marBottom w:val="0"/>
              <w:divBdr>
                <w:top w:val="none" w:sz="0" w:space="0" w:color="auto"/>
                <w:left w:val="none" w:sz="0" w:space="0" w:color="auto"/>
                <w:bottom w:val="none" w:sz="0" w:space="0" w:color="auto"/>
                <w:right w:val="none" w:sz="0" w:space="0" w:color="auto"/>
              </w:divBdr>
            </w:div>
            <w:div w:id="189727668">
              <w:marLeft w:val="0"/>
              <w:marRight w:val="0"/>
              <w:marTop w:val="0"/>
              <w:marBottom w:val="0"/>
              <w:divBdr>
                <w:top w:val="none" w:sz="0" w:space="0" w:color="auto"/>
                <w:left w:val="none" w:sz="0" w:space="0" w:color="auto"/>
                <w:bottom w:val="none" w:sz="0" w:space="0" w:color="auto"/>
                <w:right w:val="none" w:sz="0" w:space="0" w:color="auto"/>
              </w:divBdr>
            </w:div>
            <w:div w:id="201481131">
              <w:marLeft w:val="0"/>
              <w:marRight w:val="0"/>
              <w:marTop w:val="0"/>
              <w:marBottom w:val="0"/>
              <w:divBdr>
                <w:top w:val="none" w:sz="0" w:space="0" w:color="auto"/>
                <w:left w:val="none" w:sz="0" w:space="0" w:color="auto"/>
                <w:bottom w:val="none" w:sz="0" w:space="0" w:color="auto"/>
                <w:right w:val="none" w:sz="0" w:space="0" w:color="auto"/>
              </w:divBdr>
            </w:div>
            <w:div w:id="508914731">
              <w:marLeft w:val="0"/>
              <w:marRight w:val="0"/>
              <w:marTop w:val="0"/>
              <w:marBottom w:val="0"/>
              <w:divBdr>
                <w:top w:val="none" w:sz="0" w:space="0" w:color="auto"/>
                <w:left w:val="none" w:sz="0" w:space="0" w:color="auto"/>
                <w:bottom w:val="none" w:sz="0" w:space="0" w:color="auto"/>
                <w:right w:val="none" w:sz="0" w:space="0" w:color="auto"/>
              </w:divBdr>
            </w:div>
            <w:div w:id="622467427">
              <w:marLeft w:val="0"/>
              <w:marRight w:val="0"/>
              <w:marTop w:val="0"/>
              <w:marBottom w:val="0"/>
              <w:divBdr>
                <w:top w:val="none" w:sz="0" w:space="0" w:color="auto"/>
                <w:left w:val="none" w:sz="0" w:space="0" w:color="auto"/>
                <w:bottom w:val="none" w:sz="0" w:space="0" w:color="auto"/>
                <w:right w:val="none" w:sz="0" w:space="0" w:color="auto"/>
              </w:divBdr>
            </w:div>
            <w:div w:id="745155788">
              <w:marLeft w:val="0"/>
              <w:marRight w:val="0"/>
              <w:marTop w:val="0"/>
              <w:marBottom w:val="0"/>
              <w:divBdr>
                <w:top w:val="none" w:sz="0" w:space="0" w:color="auto"/>
                <w:left w:val="none" w:sz="0" w:space="0" w:color="auto"/>
                <w:bottom w:val="none" w:sz="0" w:space="0" w:color="auto"/>
                <w:right w:val="none" w:sz="0" w:space="0" w:color="auto"/>
              </w:divBdr>
            </w:div>
            <w:div w:id="773790672">
              <w:marLeft w:val="0"/>
              <w:marRight w:val="0"/>
              <w:marTop w:val="0"/>
              <w:marBottom w:val="0"/>
              <w:divBdr>
                <w:top w:val="none" w:sz="0" w:space="0" w:color="auto"/>
                <w:left w:val="none" w:sz="0" w:space="0" w:color="auto"/>
                <w:bottom w:val="none" w:sz="0" w:space="0" w:color="auto"/>
                <w:right w:val="none" w:sz="0" w:space="0" w:color="auto"/>
              </w:divBdr>
            </w:div>
            <w:div w:id="816384771">
              <w:marLeft w:val="0"/>
              <w:marRight w:val="0"/>
              <w:marTop w:val="0"/>
              <w:marBottom w:val="0"/>
              <w:divBdr>
                <w:top w:val="none" w:sz="0" w:space="0" w:color="auto"/>
                <w:left w:val="none" w:sz="0" w:space="0" w:color="auto"/>
                <w:bottom w:val="none" w:sz="0" w:space="0" w:color="auto"/>
                <w:right w:val="none" w:sz="0" w:space="0" w:color="auto"/>
              </w:divBdr>
            </w:div>
            <w:div w:id="1162165622">
              <w:marLeft w:val="0"/>
              <w:marRight w:val="0"/>
              <w:marTop w:val="0"/>
              <w:marBottom w:val="0"/>
              <w:divBdr>
                <w:top w:val="none" w:sz="0" w:space="0" w:color="auto"/>
                <w:left w:val="none" w:sz="0" w:space="0" w:color="auto"/>
                <w:bottom w:val="none" w:sz="0" w:space="0" w:color="auto"/>
                <w:right w:val="none" w:sz="0" w:space="0" w:color="auto"/>
              </w:divBdr>
            </w:div>
            <w:div w:id="1163662160">
              <w:marLeft w:val="0"/>
              <w:marRight w:val="0"/>
              <w:marTop w:val="0"/>
              <w:marBottom w:val="0"/>
              <w:divBdr>
                <w:top w:val="none" w:sz="0" w:space="0" w:color="auto"/>
                <w:left w:val="none" w:sz="0" w:space="0" w:color="auto"/>
                <w:bottom w:val="none" w:sz="0" w:space="0" w:color="auto"/>
                <w:right w:val="none" w:sz="0" w:space="0" w:color="auto"/>
              </w:divBdr>
            </w:div>
            <w:div w:id="1264340909">
              <w:marLeft w:val="0"/>
              <w:marRight w:val="0"/>
              <w:marTop w:val="0"/>
              <w:marBottom w:val="0"/>
              <w:divBdr>
                <w:top w:val="none" w:sz="0" w:space="0" w:color="auto"/>
                <w:left w:val="none" w:sz="0" w:space="0" w:color="auto"/>
                <w:bottom w:val="none" w:sz="0" w:space="0" w:color="auto"/>
                <w:right w:val="none" w:sz="0" w:space="0" w:color="auto"/>
              </w:divBdr>
            </w:div>
            <w:div w:id="1311400698">
              <w:marLeft w:val="0"/>
              <w:marRight w:val="0"/>
              <w:marTop w:val="0"/>
              <w:marBottom w:val="0"/>
              <w:divBdr>
                <w:top w:val="none" w:sz="0" w:space="0" w:color="auto"/>
                <w:left w:val="none" w:sz="0" w:space="0" w:color="auto"/>
                <w:bottom w:val="none" w:sz="0" w:space="0" w:color="auto"/>
                <w:right w:val="none" w:sz="0" w:space="0" w:color="auto"/>
              </w:divBdr>
            </w:div>
            <w:div w:id="1336692546">
              <w:marLeft w:val="0"/>
              <w:marRight w:val="0"/>
              <w:marTop w:val="0"/>
              <w:marBottom w:val="0"/>
              <w:divBdr>
                <w:top w:val="none" w:sz="0" w:space="0" w:color="auto"/>
                <w:left w:val="none" w:sz="0" w:space="0" w:color="auto"/>
                <w:bottom w:val="none" w:sz="0" w:space="0" w:color="auto"/>
                <w:right w:val="none" w:sz="0" w:space="0" w:color="auto"/>
              </w:divBdr>
            </w:div>
            <w:div w:id="1486900476">
              <w:marLeft w:val="0"/>
              <w:marRight w:val="0"/>
              <w:marTop w:val="0"/>
              <w:marBottom w:val="0"/>
              <w:divBdr>
                <w:top w:val="none" w:sz="0" w:space="0" w:color="auto"/>
                <w:left w:val="none" w:sz="0" w:space="0" w:color="auto"/>
                <w:bottom w:val="none" w:sz="0" w:space="0" w:color="auto"/>
                <w:right w:val="none" w:sz="0" w:space="0" w:color="auto"/>
              </w:divBdr>
            </w:div>
            <w:div w:id="1583828281">
              <w:marLeft w:val="0"/>
              <w:marRight w:val="0"/>
              <w:marTop w:val="0"/>
              <w:marBottom w:val="0"/>
              <w:divBdr>
                <w:top w:val="none" w:sz="0" w:space="0" w:color="auto"/>
                <w:left w:val="none" w:sz="0" w:space="0" w:color="auto"/>
                <w:bottom w:val="none" w:sz="0" w:space="0" w:color="auto"/>
                <w:right w:val="none" w:sz="0" w:space="0" w:color="auto"/>
              </w:divBdr>
            </w:div>
            <w:div w:id="1592467205">
              <w:marLeft w:val="0"/>
              <w:marRight w:val="0"/>
              <w:marTop w:val="0"/>
              <w:marBottom w:val="0"/>
              <w:divBdr>
                <w:top w:val="none" w:sz="0" w:space="0" w:color="auto"/>
                <w:left w:val="none" w:sz="0" w:space="0" w:color="auto"/>
                <w:bottom w:val="none" w:sz="0" w:space="0" w:color="auto"/>
                <w:right w:val="none" w:sz="0" w:space="0" w:color="auto"/>
              </w:divBdr>
            </w:div>
            <w:div w:id="1678312773">
              <w:marLeft w:val="0"/>
              <w:marRight w:val="0"/>
              <w:marTop w:val="0"/>
              <w:marBottom w:val="0"/>
              <w:divBdr>
                <w:top w:val="none" w:sz="0" w:space="0" w:color="auto"/>
                <w:left w:val="none" w:sz="0" w:space="0" w:color="auto"/>
                <w:bottom w:val="none" w:sz="0" w:space="0" w:color="auto"/>
                <w:right w:val="none" w:sz="0" w:space="0" w:color="auto"/>
              </w:divBdr>
            </w:div>
            <w:div w:id="1734815804">
              <w:marLeft w:val="0"/>
              <w:marRight w:val="0"/>
              <w:marTop w:val="0"/>
              <w:marBottom w:val="0"/>
              <w:divBdr>
                <w:top w:val="none" w:sz="0" w:space="0" w:color="auto"/>
                <w:left w:val="none" w:sz="0" w:space="0" w:color="auto"/>
                <w:bottom w:val="none" w:sz="0" w:space="0" w:color="auto"/>
                <w:right w:val="none" w:sz="0" w:space="0" w:color="auto"/>
              </w:divBdr>
            </w:div>
            <w:div w:id="1847598548">
              <w:marLeft w:val="0"/>
              <w:marRight w:val="0"/>
              <w:marTop w:val="0"/>
              <w:marBottom w:val="0"/>
              <w:divBdr>
                <w:top w:val="none" w:sz="0" w:space="0" w:color="auto"/>
                <w:left w:val="none" w:sz="0" w:space="0" w:color="auto"/>
                <w:bottom w:val="none" w:sz="0" w:space="0" w:color="auto"/>
                <w:right w:val="none" w:sz="0" w:space="0" w:color="auto"/>
              </w:divBdr>
            </w:div>
            <w:div w:id="1857036306">
              <w:marLeft w:val="0"/>
              <w:marRight w:val="0"/>
              <w:marTop w:val="0"/>
              <w:marBottom w:val="0"/>
              <w:divBdr>
                <w:top w:val="none" w:sz="0" w:space="0" w:color="auto"/>
                <w:left w:val="none" w:sz="0" w:space="0" w:color="auto"/>
                <w:bottom w:val="none" w:sz="0" w:space="0" w:color="auto"/>
                <w:right w:val="none" w:sz="0" w:space="0" w:color="auto"/>
              </w:divBdr>
            </w:div>
            <w:div w:id="1941062501">
              <w:marLeft w:val="0"/>
              <w:marRight w:val="0"/>
              <w:marTop w:val="0"/>
              <w:marBottom w:val="0"/>
              <w:divBdr>
                <w:top w:val="none" w:sz="0" w:space="0" w:color="auto"/>
                <w:left w:val="none" w:sz="0" w:space="0" w:color="auto"/>
                <w:bottom w:val="none" w:sz="0" w:space="0" w:color="auto"/>
                <w:right w:val="none" w:sz="0" w:space="0" w:color="auto"/>
              </w:divBdr>
            </w:div>
            <w:div w:id="2000038457">
              <w:marLeft w:val="0"/>
              <w:marRight w:val="0"/>
              <w:marTop w:val="0"/>
              <w:marBottom w:val="0"/>
              <w:divBdr>
                <w:top w:val="none" w:sz="0" w:space="0" w:color="auto"/>
                <w:left w:val="none" w:sz="0" w:space="0" w:color="auto"/>
                <w:bottom w:val="none" w:sz="0" w:space="0" w:color="auto"/>
                <w:right w:val="none" w:sz="0" w:space="0" w:color="auto"/>
              </w:divBdr>
            </w:div>
            <w:div w:id="2087418121">
              <w:marLeft w:val="0"/>
              <w:marRight w:val="0"/>
              <w:marTop w:val="0"/>
              <w:marBottom w:val="0"/>
              <w:divBdr>
                <w:top w:val="none" w:sz="0" w:space="0" w:color="auto"/>
                <w:left w:val="none" w:sz="0" w:space="0" w:color="auto"/>
                <w:bottom w:val="none" w:sz="0" w:space="0" w:color="auto"/>
                <w:right w:val="none" w:sz="0" w:space="0" w:color="auto"/>
              </w:divBdr>
            </w:div>
            <w:div w:id="2107847729">
              <w:marLeft w:val="0"/>
              <w:marRight w:val="0"/>
              <w:marTop w:val="0"/>
              <w:marBottom w:val="0"/>
              <w:divBdr>
                <w:top w:val="none" w:sz="0" w:space="0" w:color="auto"/>
                <w:left w:val="none" w:sz="0" w:space="0" w:color="auto"/>
                <w:bottom w:val="none" w:sz="0" w:space="0" w:color="auto"/>
                <w:right w:val="none" w:sz="0" w:space="0" w:color="auto"/>
              </w:divBdr>
            </w:div>
            <w:div w:id="2124231567">
              <w:marLeft w:val="0"/>
              <w:marRight w:val="0"/>
              <w:marTop w:val="0"/>
              <w:marBottom w:val="0"/>
              <w:divBdr>
                <w:top w:val="none" w:sz="0" w:space="0" w:color="auto"/>
                <w:left w:val="none" w:sz="0" w:space="0" w:color="auto"/>
                <w:bottom w:val="none" w:sz="0" w:space="0" w:color="auto"/>
                <w:right w:val="none" w:sz="0" w:space="0" w:color="auto"/>
              </w:divBdr>
            </w:div>
          </w:divsChild>
        </w:div>
        <w:div w:id="2065518627">
          <w:marLeft w:val="0"/>
          <w:marRight w:val="0"/>
          <w:marTop w:val="0"/>
          <w:marBottom w:val="0"/>
          <w:divBdr>
            <w:top w:val="none" w:sz="0" w:space="0" w:color="auto"/>
            <w:left w:val="none" w:sz="0" w:space="0" w:color="auto"/>
            <w:bottom w:val="none" w:sz="0" w:space="0" w:color="auto"/>
            <w:right w:val="none" w:sz="0" w:space="0" w:color="auto"/>
          </w:divBdr>
        </w:div>
        <w:div w:id="2130782635">
          <w:marLeft w:val="0"/>
          <w:marRight w:val="0"/>
          <w:marTop w:val="0"/>
          <w:marBottom w:val="0"/>
          <w:divBdr>
            <w:top w:val="none" w:sz="0" w:space="0" w:color="auto"/>
            <w:left w:val="none" w:sz="0" w:space="0" w:color="auto"/>
            <w:bottom w:val="none" w:sz="0" w:space="0" w:color="auto"/>
            <w:right w:val="none" w:sz="0" w:space="0" w:color="auto"/>
          </w:divBdr>
        </w:div>
      </w:divsChild>
    </w:div>
    <w:div w:id="1943339923">
      <w:bodyDiv w:val="1"/>
      <w:marLeft w:val="0"/>
      <w:marRight w:val="0"/>
      <w:marTop w:val="0"/>
      <w:marBottom w:val="0"/>
      <w:divBdr>
        <w:top w:val="none" w:sz="0" w:space="0" w:color="auto"/>
        <w:left w:val="none" w:sz="0" w:space="0" w:color="auto"/>
        <w:bottom w:val="none" w:sz="0" w:space="0" w:color="auto"/>
        <w:right w:val="none" w:sz="0" w:space="0" w:color="auto"/>
      </w:divBdr>
    </w:div>
    <w:div w:id="1950045641">
      <w:bodyDiv w:val="1"/>
      <w:marLeft w:val="0"/>
      <w:marRight w:val="0"/>
      <w:marTop w:val="0"/>
      <w:marBottom w:val="0"/>
      <w:divBdr>
        <w:top w:val="none" w:sz="0" w:space="0" w:color="auto"/>
        <w:left w:val="none" w:sz="0" w:space="0" w:color="auto"/>
        <w:bottom w:val="none" w:sz="0" w:space="0" w:color="auto"/>
        <w:right w:val="none" w:sz="0" w:space="0" w:color="auto"/>
      </w:divBdr>
    </w:div>
    <w:div w:id="1972859303">
      <w:bodyDiv w:val="1"/>
      <w:marLeft w:val="0"/>
      <w:marRight w:val="0"/>
      <w:marTop w:val="0"/>
      <w:marBottom w:val="0"/>
      <w:divBdr>
        <w:top w:val="none" w:sz="0" w:space="0" w:color="auto"/>
        <w:left w:val="none" w:sz="0" w:space="0" w:color="auto"/>
        <w:bottom w:val="none" w:sz="0" w:space="0" w:color="auto"/>
        <w:right w:val="none" w:sz="0" w:space="0" w:color="auto"/>
      </w:divBdr>
    </w:div>
    <w:div w:id="1976567534">
      <w:bodyDiv w:val="1"/>
      <w:marLeft w:val="0"/>
      <w:marRight w:val="0"/>
      <w:marTop w:val="0"/>
      <w:marBottom w:val="0"/>
      <w:divBdr>
        <w:top w:val="none" w:sz="0" w:space="0" w:color="auto"/>
        <w:left w:val="none" w:sz="0" w:space="0" w:color="auto"/>
        <w:bottom w:val="none" w:sz="0" w:space="0" w:color="auto"/>
        <w:right w:val="none" w:sz="0" w:space="0" w:color="auto"/>
      </w:divBdr>
    </w:div>
    <w:div w:id="1986549876">
      <w:bodyDiv w:val="1"/>
      <w:marLeft w:val="0"/>
      <w:marRight w:val="0"/>
      <w:marTop w:val="0"/>
      <w:marBottom w:val="0"/>
      <w:divBdr>
        <w:top w:val="none" w:sz="0" w:space="0" w:color="auto"/>
        <w:left w:val="none" w:sz="0" w:space="0" w:color="auto"/>
        <w:bottom w:val="none" w:sz="0" w:space="0" w:color="auto"/>
        <w:right w:val="none" w:sz="0" w:space="0" w:color="auto"/>
      </w:divBdr>
    </w:div>
    <w:div w:id="2080131771">
      <w:bodyDiv w:val="1"/>
      <w:marLeft w:val="0"/>
      <w:marRight w:val="0"/>
      <w:marTop w:val="0"/>
      <w:marBottom w:val="0"/>
      <w:divBdr>
        <w:top w:val="none" w:sz="0" w:space="0" w:color="auto"/>
        <w:left w:val="none" w:sz="0" w:space="0" w:color="auto"/>
        <w:bottom w:val="none" w:sz="0" w:space="0" w:color="auto"/>
        <w:right w:val="none" w:sz="0" w:space="0" w:color="auto"/>
      </w:divBdr>
    </w:div>
    <w:div w:id="2089693040">
      <w:bodyDiv w:val="1"/>
      <w:marLeft w:val="0"/>
      <w:marRight w:val="0"/>
      <w:marTop w:val="0"/>
      <w:marBottom w:val="0"/>
      <w:divBdr>
        <w:top w:val="none" w:sz="0" w:space="0" w:color="auto"/>
        <w:left w:val="none" w:sz="0" w:space="0" w:color="auto"/>
        <w:bottom w:val="none" w:sz="0" w:space="0" w:color="auto"/>
        <w:right w:val="none" w:sz="0" w:space="0" w:color="auto"/>
      </w:divBdr>
    </w:div>
    <w:div w:id="2108888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Y+IvQQA8vBHbs0fN6MIFuLrcLw==">CgMxLjAyCGguZ2pkZ3hzMghoLnR5amN3dDIJaC4xdDNoNXNmMg5oLjd0Y25za3pnYmk2azIOaC5oeWlwcGZpbTBycnQyDmgucHduem5hYmZsNHNvMg5oLnEyb3ltOTI2dWNmMzIOaC42Y2V3cG5ibGY0d3AyDmgubzZrejVlbmxybmI0Mg5oLnhlMTJldTltaXg2MjIJaC4yZXQ5MnAwMgloLjRkMzRvZzgyCWguMTdkcDh2dTIJaC4zcmRjcmpuMgloLjI2aW4xcmcyCWguM2R5NnZrbTIOaC54NGNtaDB4dXk0M2wyCGgubG54Yno5Mg5oLmwyMnZnMzM0MGppcjIOaC51bWs2MGY1aXA1OXoyDmgubWU2Y3ZyMmo0MjFkOAByITFPZURnNkk5aUhkT1l1blNtRVd1SUNNa25zVEh2RzZ6Uw==</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05DC5-1A32-4181-B22E-563ADCC1CA68}">
  <ds:schemaRefs>
    <ds:schemaRef ds:uri="http://schemas.microsoft.com/sharepoint/v3/contenttype/forms"/>
  </ds:schemaRefs>
</ds:datastoreItem>
</file>

<file path=customXml/itemProps2.xml><?xml version="1.0" encoding="utf-8"?>
<ds:datastoreItem xmlns:ds="http://schemas.openxmlformats.org/officeDocument/2006/customXml" ds:itemID="{1536CFF7-D09A-48E3-9DAB-80E31E28C029}">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customXml/itemProps3.xml><?xml version="1.0" encoding="utf-8"?>
<ds:datastoreItem xmlns:ds="http://schemas.openxmlformats.org/officeDocument/2006/customXml" ds:itemID="{DAC91C1F-F7BC-498A-AD6F-DC0F40EF75B9}">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BB2B0FC8-D501-4B41-9EFB-ED75EDBE7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6465</Words>
  <Characters>35560</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41942</CharactersWithSpaces>
  <SharedDoc>false</SharedDoc>
  <HLinks>
    <vt:vector size="102" baseType="variant">
      <vt:variant>
        <vt:i4>1376318</vt:i4>
      </vt:variant>
      <vt:variant>
        <vt:i4>98</vt:i4>
      </vt:variant>
      <vt:variant>
        <vt:i4>0</vt:i4>
      </vt:variant>
      <vt:variant>
        <vt:i4>5</vt:i4>
      </vt:variant>
      <vt:variant>
        <vt:lpwstr/>
      </vt:variant>
      <vt:variant>
        <vt:lpwstr>_Toc241580533</vt:lpwstr>
      </vt:variant>
      <vt:variant>
        <vt:i4>1376318</vt:i4>
      </vt:variant>
      <vt:variant>
        <vt:i4>92</vt:i4>
      </vt:variant>
      <vt:variant>
        <vt:i4>0</vt:i4>
      </vt:variant>
      <vt:variant>
        <vt:i4>5</vt:i4>
      </vt:variant>
      <vt:variant>
        <vt:lpwstr/>
      </vt:variant>
      <vt:variant>
        <vt:lpwstr>_Toc241580532</vt:lpwstr>
      </vt:variant>
      <vt:variant>
        <vt:i4>1376318</vt:i4>
      </vt:variant>
      <vt:variant>
        <vt:i4>86</vt:i4>
      </vt:variant>
      <vt:variant>
        <vt:i4>0</vt:i4>
      </vt:variant>
      <vt:variant>
        <vt:i4>5</vt:i4>
      </vt:variant>
      <vt:variant>
        <vt:lpwstr/>
      </vt:variant>
      <vt:variant>
        <vt:lpwstr>_Toc241580531</vt:lpwstr>
      </vt:variant>
      <vt:variant>
        <vt:i4>1376318</vt:i4>
      </vt:variant>
      <vt:variant>
        <vt:i4>80</vt:i4>
      </vt:variant>
      <vt:variant>
        <vt:i4>0</vt:i4>
      </vt:variant>
      <vt:variant>
        <vt:i4>5</vt:i4>
      </vt:variant>
      <vt:variant>
        <vt:lpwstr/>
      </vt:variant>
      <vt:variant>
        <vt:lpwstr>_Toc241580530</vt:lpwstr>
      </vt:variant>
      <vt:variant>
        <vt:i4>1310782</vt:i4>
      </vt:variant>
      <vt:variant>
        <vt:i4>74</vt:i4>
      </vt:variant>
      <vt:variant>
        <vt:i4>0</vt:i4>
      </vt:variant>
      <vt:variant>
        <vt:i4>5</vt:i4>
      </vt:variant>
      <vt:variant>
        <vt:lpwstr/>
      </vt:variant>
      <vt:variant>
        <vt:lpwstr>_Toc241580529</vt:lpwstr>
      </vt:variant>
      <vt:variant>
        <vt:i4>1310782</vt:i4>
      </vt:variant>
      <vt:variant>
        <vt:i4>68</vt:i4>
      </vt:variant>
      <vt:variant>
        <vt:i4>0</vt:i4>
      </vt:variant>
      <vt:variant>
        <vt:i4>5</vt:i4>
      </vt:variant>
      <vt:variant>
        <vt:lpwstr/>
      </vt:variant>
      <vt:variant>
        <vt:lpwstr>_Toc241580528</vt:lpwstr>
      </vt:variant>
      <vt:variant>
        <vt:i4>1310782</vt:i4>
      </vt:variant>
      <vt:variant>
        <vt:i4>62</vt:i4>
      </vt:variant>
      <vt:variant>
        <vt:i4>0</vt:i4>
      </vt:variant>
      <vt:variant>
        <vt:i4>5</vt:i4>
      </vt:variant>
      <vt:variant>
        <vt:lpwstr/>
      </vt:variant>
      <vt:variant>
        <vt:lpwstr>_Toc241580527</vt:lpwstr>
      </vt:variant>
      <vt:variant>
        <vt:i4>1310782</vt:i4>
      </vt:variant>
      <vt:variant>
        <vt:i4>56</vt:i4>
      </vt:variant>
      <vt:variant>
        <vt:i4>0</vt:i4>
      </vt:variant>
      <vt:variant>
        <vt:i4>5</vt:i4>
      </vt:variant>
      <vt:variant>
        <vt:lpwstr/>
      </vt:variant>
      <vt:variant>
        <vt:lpwstr>_Toc241580526</vt:lpwstr>
      </vt:variant>
      <vt:variant>
        <vt:i4>1310782</vt:i4>
      </vt:variant>
      <vt:variant>
        <vt:i4>50</vt:i4>
      </vt:variant>
      <vt:variant>
        <vt:i4>0</vt:i4>
      </vt:variant>
      <vt:variant>
        <vt:i4>5</vt:i4>
      </vt:variant>
      <vt:variant>
        <vt:lpwstr/>
      </vt:variant>
      <vt:variant>
        <vt:lpwstr>_Toc241580525</vt:lpwstr>
      </vt:variant>
      <vt:variant>
        <vt:i4>1310782</vt:i4>
      </vt:variant>
      <vt:variant>
        <vt:i4>44</vt:i4>
      </vt:variant>
      <vt:variant>
        <vt:i4>0</vt:i4>
      </vt:variant>
      <vt:variant>
        <vt:i4>5</vt:i4>
      </vt:variant>
      <vt:variant>
        <vt:lpwstr/>
      </vt:variant>
      <vt:variant>
        <vt:lpwstr>_Toc241580524</vt:lpwstr>
      </vt:variant>
      <vt:variant>
        <vt:i4>1310782</vt:i4>
      </vt:variant>
      <vt:variant>
        <vt:i4>38</vt:i4>
      </vt:variant>
      <vt:variant>
        <vt:i4>0</vt:i4>
      </vt:variant>
      <vt:variant>
        <vt:i4>5</vt:i4>
      </vt:variant>
      <vt:variant>
        <vt:lpwstr/>
      </vt:variant>
      <vt:variant>
        <vt:lpwstr>_Toc241580523</vt:lpwstr>
      </vt:variant>
      <vt:variant>
        <vt:i4>1310782</vt:i4>
      </vt:variant>
      <vt:variant>
        <vt:i4>32</vt:i4>
      </vt:variant>
      <vt:variant>
        <vt:i4>0</vt:i4>
      </vt:variant>
      <vt:variant>
        <vt:i4>5</vt:i4>
      </vt:variant>
      <vt:variant>
        <vt:lpwstr/>
      </vt:variant>
      <vt:variant>
        <vt:lpwstr>_Toc241580522</vt:lpwstr>
      </vt:variant>
      <vt:variant>
        <vt:i4>1310782</vt:i4>
      </vt:variant>
      <vt:variant>
        <vt:i4>26</vt:i4>
      </vt:variant>
      <vt:variant>
        <vt:i4>0</vt:i4>
      </vt:variant>
      <vt:variant>
        <vt:i4>5</vt:i4>
      </vt:variant>
      <vt:variant>
        <vt:lpwstr/>
      </vt:variant>
      <vt:variant>
        <vt:lpwstr>_Toc241580521</vt:lpwstr>
      </vt:variant>
      <vt:variant>
        <vt:i4>1310782</vt:i4>
      </vt:variant>
      <vt:variant>
        <vt:i4>20</vt:i4>
      </vt:variant>
      <vt:variant>
        <vt:i4>0</vt:i4>
      </vt:variant>
      <vt:variant>
        <vt:i4>5</vt:i4>
      </vt:variant>
      <vt:variant>
        <vt:lpwstr/>
      </vt:variant>
      <vt:variant>
        <vt:lpwstr>_Toc241580520</vt:lpwstr>
      </vt:variant>
      <vt:variant>
        <vt:i4>1507390</vt:i4>
      </vt:variant>
      <vt:variant>
        <vt:i4>14</vt:i4>
      </vt:variant>
      <vt:variant>
        <vt:i4>0</vt:i4>
      </vt:variant>
      <vt:variant>
        <vt:i4>5</vt:i4>
      </vt:variant>
      <vt:variant>
        <vt:lpwstr/>
      </vt:variant>
      <vt:variant>
        <vt:lpwstr>_Toc241580519</vt:lpwstr>
      </vt:variant>
      <vt:variant>
        <vt:i4>1507390</vt:i4>
      </vt:variant>
      <vt:variant>
        <vt:i4>8</vt:i4>
      </vt:variant>
      <vt:variant>
        <vt:i4>0</vt:i4>
      </vt:variant>
      <vt:variant>
        <vt:i4>5</vt:i4>
      </vt:variant>
      <vt:variant>
        <vt:lpwstr/>
      </vt:variant>
      <vt:variant>
        <vt:lpwstr>_Toc241580518</vt:lpwstr>
      </vt:variant>
      <vt:variant>
        <vt:i4>1507390</vt:i4>
      </vt:variant>
      <vt:variant>
        <vt:i4>2</vt:i4>
      </vt:variant>
      <vt:variant>
        <vt:i4>0</vt:i4>
      </vt:variant>
      <vt:variant>
        <vt:i4>5</vt:i4>
      </vt:variant>
      <vt:variant>
        <vt:lpwstr/>
      </vt:variant>
      <vt:variant>
        <vt:lpwstr>_Toc241580517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Yepez Carranza</dc:creator>
  <cp:keywords/>
  <cp:lastModifiedBy>VICTOR HUGO ARROYO SANDOVAL</cp:lastModifiedBy>
  <cp:revision>5</cp:revision>
  <cp:lastPrinted>2025-03-04T04:34:00Z</cp:lastPrinted>
  <dcterms:created xsi:type="dcterms:W3CDTF">2026-10-08T22:27:00Z</dcterms:created>
  <dcterms:modified xsi:type="dcterms:W3CDTF">2026-10-08T23:50:00Z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