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40B2A" w14:textId="77777777" w:rsidR="00AD5C9D" w:rsidRDefault="00000000">
      <w:pPr>
        <w:spacing w:after="280" w:line="360" w:lineRule="auto"/>
        <w:ind w:left="1416" w:hanging="1416"/>
        <w:jc w:val="right"/>
        <w:rPr>
          <w:rFonts w:ascii="Arial" w:eastAsia="Arial" w:hAnsi="Arial" w:cs="Arial"/>
          <w:b/>
          <w:bCs/>
          <w:sz w:val="24"/>
          <w:szCs w:val="24"/>
        </w:rPr>
      </w:pPr>
      <w:r>
        <w:rPr>
          <w:noProof/>
        </w:rPr>
        <mc:AlternateContent>
          <mc:Choice Requires="wpg">
            <w:drawing>
              <wp:anchor distT="0" distB="0" distL="114300" distR="114300" simplePos="0" relativeHeight="251658240" behindDoc="0" locked="0" layoutInCell="1" hidden="0" allowOverlap="1" wp14:anchorId="33D12297" wp14:editId="7928D67D">
                <wp:simplePos x="0" y="0"/>
                <wp:positionH relativeFrom="column">
                  <wp:posOffset>2612708</wp:posOffset>
                </wp:positionH>
                <wp:positionV relativeFrom="paragraph">
                  <wp:posOffset>-528636</wp:posOffset>
                </wp:positionV>
                <wp:extent cx="2821940" cy="3971925"/>
                <wp:effectExtent l="0" t="0" r="0" b="0"/>
                <wp:wrapNone/>
                <wp:docPr id="1612922969" name="Rectángulo 1612922969"/>
                <wp:cNvGraphicFramePr/>
                <a:graphic xmlns:a="http://schemas.openxmlformats.org/drawingml/2006/main">
                  <a:graphicData uri="http://schemas.microsoft.com/office/word/2010/wordprocessingShape">
                    <wps:wsp>
                      <wps:cNvSpPr/>
                      <wps:spPr>
                        <a:xfrm>
                          <a:off x="3939793" y="1798800"/>
                          <a:ext cx="2812415" cy="3962400"/>
                        </a:xfrm>
                        <a:prstGeom prst="rect">
                          <a:avLst/>
                        </a:prstGeom>
                        <a:noFill/>
                        <a:ln>
                          <a:noFill/>
                        </a:ln>
                      </wps:spPr>
                      <wps:txbx>
                        <w:txbxContent>
                          <w:p w14:paraId="59F5C37C" w14:textId="77777777" w:rsidR="00AD5C9D" w:rsidRDefault="00000000">
                            <w:pPr>
                              <w:spacing w:after="100" w:line="240" w:lineRule="auto"/>
                              <w:jc w:val="center"/>
                              <w:textDirection w:val="btLr"/>
                            </w:pPr>
                            <w:r>
                              <w:rPr>
                                <w:rFonts w:ascii="Arial" w:eastAsia="Arial" w:hAnsi="Arial" w:cs="Arial"/>
                                <w:b/>
                                <w:color w:val="000000"/>
                                <w:sz w:val="28"/>
                              </w:rPr>
                              <w:t>ACUERDO PLENARIO DE INCUMPLIMIENTO DE SENTENCIA</w:t>
                            </w:r>
                          </w:p>
                          <w:p w14:paraId="44595027" w14:textId="77777777" w:rsidR="00AD5C9D" w:rsidRDefault="00000000">
                            <w:pPr>
                              <w:spacing w:after="100" w:line="240" w:lineRule="auto"/>
                              <w:jc w:val="center"/>
                              <w:textDirection w:val="btLr"/>
                            </w:pPr>
                            <w:r>
                              <w:rPr>
                                <w:rFonts w:ascii="Arial" w:eastAsia="Arial" w:hAnsi="Arial" w:cs="Arial"/>
                                <w:b/>
                                <w:color w:val="000000"/>
                                <w:sz w:val="28"/>
                              </w:rPr>
                              <w:t>JUICIO PARA LA PROTECCIÓN DE LOS DERECHOS POLÍTICO-ELECTORALES DEL CIUDADANO</w:t>
                            </w:r>
                          </w:p>
                          <w:p w14:paraId="3164B56C" w14:textId="77777777" w:rsidR="00AD5C9D" w:rsidRDefault="00000000">
                            <w:pPr>
                              <w:spacing w:after="100" w:line="240" w:lineRule="auto"/>
                              <w:jc w:val="both"/>
                              <w:textDirection w:val="btLr"/>
                            </w:pPr>
                            <w:r>
                              <w:rPr>
                                <w:rFonts w:ascii="Arial" w:eastAsia="Arial" w:hAnsi="Arial" w:cs="Arial"/>
                                <w:b/>
                                <w:color w:val="000000"/>
                                <w:sz w:val="28"/>
                              </w:rPr>
                              <w:t xml:space="preserve">EXPEDIENTE: </w:t>
                            </w:r>
                            <w:r>
                              <w:rPr>
                                <w:rFonts w:ascii="Arial" w:eastAsia="Arial" w:hAnsi="Arial" w:cs="Arial"/>
                                <w:color w:val="000000"/>
                                <w:sz w:val="28"/>
                              </w:rPr>
                              <w:t>TEEM-JDC-071/2026</w:t>
                            </w:r>
                          </w:p>
                          <w:p w14:paraId="7F90AE1F" w14:textId="77777777" w:rsidR="00AD5C9D" w:rsidRDefault="00000000">
                            <w:pPr>
                              <w:spacing w:after="100" w:line="240" w:lineRule="auto"/>
                              <w:jc w:val="both"/>
                              <w:textDirection w:val="btLr"/>
                            </w:pPr>
                            <w:r>
                              <w:rPr>
                                <w:rFonts w:ascii="Arial" w:eastAsia="Arial" w:hAnsi="Arial" w:cs="Arial"/>
                                <w:b/>
                                <w:color w:val="000000"/>
                                <w:sz w:val="28"/>
                              </w:rPr>
                              <w:t xml:space="preserve">ACTORES: </w:t>
                            </w:r>
                            <w:r>
                              <w:rPr>
                                <w:rFonts w:ascii="Arial" w:eastAsia="Arial" w:hAnsi="Arial" w:cs="Arial"/>
                                <w:color w:val="000000"/>
                                <w:sz w:val="28"/>
                              </w:rPr>
                              <w:t>CÉSAR BÉJAR DÍAZ Y OTROS</w:t>
                            </w:r>
                          </w:p>
                          <w:p w14:paraId="6C74DCCF" w14:textId="77777777" w:rsidR="00AD5C9D" w:rsidRDefault="00000000">
                            <w:pPr>
                              <w:spacing w:after="100" w:line="240" w:lineRule="auto"/>
                              <w:jc w:val="both"/>
                              <w:textDirection w:val="btLr"/>
                            </w:pPr>
                            <w:r>
                              <w:rPr>
                                <w:rFonts w:ascii="Arial" w:eastAsia="Arial" w:hAnsi="Arial" w:cs="Arial"/>
                                <w:b/>
                                <w:color w:val="000000"/>
                                <w:sz w:val="28"/>
                              </w:rPr>
                              <w:t xml:space="preserve">AUTORIDAD RESPONSABLE: </w:t>
                            </w:r>
                            <w:r>
                              <w:rPr>
                                <w:rFonts w:ascii="Arial" w:eastAsia="Arial" w:hAnsi="Arial" w:cs="Arial"/>
                                <w:color w:val="000000"/>
                                <w:sz w:val="28"/>
                              </w:rPr>
                              <w:t xml:space="preserve">AYUNTAMIENTO DE TINGÜINDÍN, MICHOACÁN </w:t>
                            </w:r>
                          </w:p>
                          <w:p w14:paraId="5A47F3A6" w14:textId="77777777" w:rsidR="00AD5C9D" w:rsidRDefault="00000000">
                            <w:pPr>
                              <w:spacing w:after="100" w:line="240" w:lineRule="auto"/>
                              <w:jc w:val="both"/>
                              <w:textDirection w:val="btLr"/>
                            </w:pPr>
                            <w:r>
                              <w:rPr>
                                <w:rFonts w:ascii="Arial" w:eastAsia="Arial" w:hAnsi="Arial" w:cs="Arial"/>
                                <w:b/>
                                <w:color w:val="000000"/>
                                <w:sz w:val="28"/>
                              </w:rPr>
                              <w:t>MAGISTRADO:</w:t>
                            </w:r>
                            <w:r>
                              <w:rPr>
                                <w:rFonts w:ascii="Arial" w:eastAsia="Arial" w:hAnsi="Arial" w:cs="Arial"/>
                                <w:color w:val="000000"/>
                                <w:sz w:val="28"/>
                              </w:rPr>
                              <w:t xml:space="preserve"> ADRIÁN HERNÁNDEZ PINEDO</w:t>
                            </w:r>
                          </w:p>
                          <w:p w14:paraId="155B0A4A" w14:textId="77777777" w:rsidR="00AD5C9D" w:rsidRDefault="00000000">
                            <w:pPr>
                              <w:spacing w:after="0" w:line="240" w:lineRule="auto"/>
                              <w:jc w:val="both"/>
                              <w:textDirection w:val="btLr"/>
                            </w:pPr>
                            <w:r>
                              <w:rPr>
                                <w:rFonts w:ascii="Arial" w:eastAsia="Arial" w:hAnsi="Arial" w:cs="Arial"/>
                                <w:b/>
                                <w:color w:val="000000"/>
                                <w:sz w:val="28"/>
                              </w:rPr>
                              <w:t>SECRETARIO INSTRUCTOR Y PROYECTISTA:</w:t>
                            </w:r>
                            <w:r>
                              <w:rPr>
                                <w:rFonts w:ascii="Arial" w:eastAsia="Arial" w:hAnsi="Arial" w:cs="Arial"/>
                                <w:color w:val="000000"/>
                                <w:sz w:val="28"/>
                              </w:rPr>
                              <w:t xml:space="preserve"> ADÁN ALVARADO DOMÍNGUEZ</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2612708</wp:posOffset>
                </wp:positionH>
                <wp:positionV relativeFrom="paragraph">
                  <wp:posOffset>-528636</wp:posOffset>
                </wp:positionV>
                <wp:extent cx="2821940" cy="3971925"/>
                <wp:effectExtent b="0" l="0" r="0" t="0"/>
                <wp:wrapNone/>
                <wp:docPr id="1612922969"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821940" cy="3971925"/>
                        </a:xfrm>
                        <a:prstGeom prst="rect"/>
                        <a:ln/>
                      </pic:spPr>
                    </pic:pic>
                  </a:graphicData>
                </a:graphic>
              </wp:anchor>
            </w:drawing>
          </mc:Fallback>
        </mc:AlternateContent>
      </w:r>
    </w:p>
    <w:p w14:paraId="04FD3FE6" w14:textId="77777777" w:rsidR="00AD5C9D" w:rsidRDefault="00AD5C9D">
      <w:pPr>
        <w:spacing w:before="280" w:after="280" w:line="360" w:lineRule="auto"/>
        <w:ind w:left="1416" w:hanging="1416"/>
        <w:jc w:val="right"/>
        <w:rPr>
          <w:rFonts w:ascii="Arial" w:eastAsia="Arial" w:hAnsi="Arial" w:cs="Arial"/>
          <w:b/>
          <w:bCs/>
          <w:sz w:val="24"/>
          <w:szCs w:val="24"/>
        </w:rPr>
      </w:pPr>
    </w:p>
    <w:p w14:paraId="028914EE" w14:textId="77777777" w:rsidR="00AD5C9D" w:rsidRDefault="00AD5C9D">
      <w:pPr>
        <w:spacing w:before="280" w:after="280" w:line="360" w:lineRule="auto"/>
        <w:jc w:val="right"/>
        <w:rPr>
          <w:rFonts w:ascii="Arial" w:eastAsia="Arial" w:hAnsi="Arial" w:cs="Arial"/>
          <w:sz w:val="24"/>
          <w:szCs w:val="24"/>
        </w:rPr>
      </w:pPr>
    </w:p>
    <w:p w14:paraId="5FF48EAE" w14:textId="77777777" w:rsidR="00AD5C9D" w:rsidRDefault="00AD5C9D">
      <w:pPr>
        <w:spacing w:before="280" w:after="280" w:line="360" w:lineRule="auto"/>
        <w:jc w:val="right"/>
        <w:rPr>
          <w:rFonts w:ascii="Arial" w:eastAsia="Arial" w:hAnsi="Arial" w:cs="Arial"/>
          <w:sz w:val="24"/>
          <w:szCs w:val="24"/>
        </w:rPr>
      </w:pPr>
    </w:p>
    <w:p w14:paraId="44128719" w14:textId="77777777" w:rsidR="00AD5C9D" w:rsidRDefault="00AD5C9D">
      <w:pPr>
        <w:spacing w:before="280" w:after="280" w:line="360" w:lineRule="auto"/>
        <w:jc w:val="right"/>
        <w:rPr>
          <w:rFonts w:ascii="Arial" w:eastAsia="Arial" w:hAnsi="Arial" w:cs="Arial"/>
          <w:sz w:val="24"/>
          <w:szCs w:val="24"/>
        </w:rPr>
      </w:pPr>
    </w:p>
    <w:p w14:paraId="15D5AB6B" w14:textId="77777777" w:rsidR="00AD5C9D" w:rsidRDefault="00AD5C9D">
      <w:pPr>
        <w:spacing w:before="280" w:after="280" w:line="360" w:lineRule="auto"/>
        <w:jc w:val="right"/>
        <w:rPr>
          <w:rFonts w:ascii="Arial" w:eastAsia="Arial" w:hAnsi="Arial" w:cs="Arial"/>
          <w:sz w:val="24"/>
          <w:szCs w:val="24"/>
        </w:rPr>
      </w:pPr>
    </w:p>
    <w:p w14:paraId="411DD979" w14:textId="77777777" w:rsidR="00AD5C9D" w:rsidRDefault="00AD5C9D">
      <w:pPr>
        <w:spacing w:before="280" w:after="280" w:line="360" w:lineRule="auto"/>
        <w:jc w:val="right"/>
        <w:rPr>
          <w:rFonts w:ascii="Arial" w:eastAsia="Arial" w:hAnsi="Arial" w:cs="Arial"/>
          <w:sz w:val="24"/>
          <w:szCs w:val="24"/>
        </w:rPr>
      </w:pPr>
    </w:p>
    <w:p w14:paraId="312CDA3D" w14:textId="77777777" w:rsidR="00AD5C9D" w:rsidRDefault="00AD5C9D">
      <w:pPr>
        <w:spacing w:after="240" w:line="360" w:lineRule="auto"/>
        <w:rPr>
          <w:rFonts w:ascii="Arial" w:eastAsia="Arial" w:hAnsi="Arial" w:cs="Arial"/>
          <w:sz w:val="24"/>
          <w:szCs w:val="24"/>
        </w:rPr>
      </w:pPr>
    </w:p>
    <w:p w14:paraId="20BD237D" w14:textId="77777777" w:rsidR="00AD5C9D" w:rsidRDefault="00000000">
      <w:pPr>
        <w:spacing w:before="280" w:after="280" w:line="360" w:lineRule="auto"/>
        <w:jc w:val="right"/>
        <w:rPr>
          <w:rFonts w:ascii="Arial" w:eastAsia="Arial" w:hAnsi="Arial" w:cs="Arial"/>
          <w:sz w:val="24"/>
          <w:szCs w:val="24"/>
        </w:rPr>
      </w:pPr>
      <w:bookmarkStart w:id="0" w:name="_heading=h.dpl318xqrwlp" w:colFirst="0" w:colLast="0"/>
      <w:bookmarkEnd w:id="0"/>
      <w:r>
        <w:rPr>
          <w:rFonts w:ascii="Arial" w:eastAsia="Arial" w:hAnsi="Arial" w:cs="Arial"/>
          <w:sz w:val="24"/>
          <w:szCs w:val="24"/>
        </w:rPr>
        <w:t>Morelia, Michoacán, a ocho de octubre dos mil veintiséis</w:t>
      </w:r>
      <w:r>
        <w:rPr>
          <w:rFonts w:ascii="Arial" w:eastAsia="Arial" w:hAnsi="Arial" w:cs="Arial"/>
          <w:sz w:val="24"/>
          <w:szCs w:val="24"/>
          <w:vertAlign w:val="superscript"/>
        </w:rPr>
        <w:footnoteReference w:id="1"/>
      </w:r>
      <w:r>
        <w:rPr>
          <w:rFonts w:ascii="Arial" w:eastAsia="Arial" w:hAnsi="Arial" w:cs="Arial"/>
          <w:sz w:val="24"/>
          <w:szCs w:val="24"/>
        </w:rPr>
        <w:t>.</w:t>
      </w:r>
    </w:p>
    <w:p w14:paraId="13073746" w14:textId="77777777" w:rsidR="00AD5C9D" w:rsidRDefault="00000000">
      <w:pPr>
        <w:tabs>
          <w:tab w:val="right" w:pos="7655"/>
        </w:tabs>
        <w:spacing w:before="280" w:line="360" w:lineRule="auto"/>
        <w:jc w:val="both"/>
        <w:rPr>
          <w:rFonts w:ascii="Arial" w:eastAsia="Arial" w:hAnsi="Arial" w:cs="Arial"/>
          <w:sz w:val="24"/>
          <w:szCs w:val="24"/>
        </w:rPr>
      </w:pPr>
      <w:r>
        <w:rPr>
          <w:rFonts w:ascii="Arial" w:eastAsia="Arial" w:hAnsi="Arial" w:cs="Arial"/>
          <w:b/>
          <w:bCs/>
          <w:sz w:val="24"/>
          <w:szCs w:val="24"/>
        </w:rPr>
        <w:t xml:space="preserve">Acuerdo Plenario </w:t>
      </w:r>
      <w:r>
        <w:rPr>
          <w:rFonts w:ascii="Arial" w:eastAsia="Arial" w:hAnsi="Arial" w:cs="Arial"/>
          <w:sz w:val="24"/>
          <w:szCs w:val="24"/>
        </w:rPr>
        <w:t xml:space="preserve">que declara </w:t>
      </w:r>
      <w:r>
        <w:rPr>
          <w:rFonts w:ascii="Arial" w:eastAsia="Arial" w:hAnsi="Arial" w:cs="Arial"/>
          <w:b/>
          <w:bCs/>
          <w:sz w:val="24"/>
          <w:szCs w:val="24"/>
        </w:rPr>
        <w:t>incumplida</w:t>
      </w:r>
      <w:r>
        <w:rPr>
          <w:rFonts w:ascii="Arial" w:eastAsia="Arial" w:hAnsi="Arial" w:cs="Arial"/>
          <w:sz w:val="24"/>
          <w:szCs w:val="24"/>
        </w:rPr>
        <w:t xml:space="preserve"> la sentencia de veintisiete de agosto respecto a lo ordenado al Ayuntamiento de Tingüindín, Michoacán; y, determina su </w:t>
      </w:r>
      <w:r>
        <w:rPr>
          <w:rFonts w:ascii="Arial" w:eastAsia="Arial" w:hAnsi="Arial" w:cs="Arial"/>
          <w:b/>
          <w:bCs/>
          <w:sz w:val="24"/>
          <w:szCs w:val="24"/>
        </w:rPr>
        <w:t>cumplimiento</w:t>
      </w:r>
      <w:r>
        <w:rPr>
          <w:rFonts w:ascii="Arial" w:eastAsia="Arial" w:hAnsi="Arial" w:cs="Arial"/>
          <w:sz w:val="24"/>
          <w:szCs w:val="24"/>
        </w:rPr>
        <w:t xml:space="preserve"> respecto a lo ordenado a la Secretaría General de Acuerdos y al Sistema Michoacano de Radio y Televisión. </w:t>
      </w:r>
    </w:p>
    <w:p w14:paraId="16E02923" w14:textId="77777777" w:rsidR="00AD5C9D" w:rsidRDefault="00000000">
      <w:pPr>
        <w:keepNext/>
        <w:keepLines/>
        <w:pBdr>
          <w:top w:val="nil"/>
          <w:left w:val="nil"/>
          <w:bottom w:val="nil"/>
          <w:right w:val="nil"/>
          <w:between w:val="nil"/>
        </w:pBdr>
        <w:spacing w:before="360" w:after="28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CONTENIDO</w:t>
      </w:r>
    </w:p>
    <w:sdt>
      <w:sdtPr>
        <w:id w:val="-400900916"/>
        <w:docPartObj>
          <w:docPartGallery w:val="Table of Contents"/>
          <w:docPartUnique/>
        </w:docPartObj>
      </w:sdtPr>
      <w:sdtContent>
        <w:p w14:paraId="3096D9BD" w14:textId="77777777" w:rsidR="00AD5C9D" w:rsidRDefault="00000000">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r>
            <w:fldChar w:fldCharType="begin"/>
          </w:r>
          <w:r>
            <w:instrText xml:space="preserve"> TOC \h \u \z \t "Heading 1,1,Heading 2,2,Heading 3,3,"</w:instrText>
          </w:r>
          <w:r>
            <w:fldChar w:fldCharType="separate"/>
          </w:r>
          <w:hyperlink w:anchor="_heading=h.7q7ffixkoqo">
            <w:r w:rsidR="00AD5C9D">
              <w:rPr>
                <w:rFonts w:ascii="Arial Narrow" w:eastAsia="Arial Narrow" w:hAnsi="Arial Narrow" w:cs="Arial Narrow"/>
                <w:b/>
                <w:bCs/>
                <w:color w:val="000000"/>
                <w:sz w:val="20"/>
                <w:szCs w:val="20"/>
              </w:rPr>
              <w:t>GLOSARIO</w:t>
            </w:r>
          </w:hyperlink>
          <w:hyperlink w:anchor="_heading=h.7q7ffixkoqo">
            <w:r w:rsidR="00AD5C9D">
              <w:rPr>
                <w:rFonts w:ascii="Arial Narrow" w:eastAsia="Arial Narrow" w:hAnsi="Arial Narrow" w:cs="Arial Narrow"/>
                <w:color w:val="000000"/>
                <w:sz w:val="20"/>
                <w:szCs w:val="20"/>
              </w:rPr>
              <w:tab/>
              <w:t>1</w:t>
            </w:r>
          </w:hyperlink>
        </w:p>
        <w:p w14:paraId="262C0014" w14:textId="77777777" w:rsidR="00AD5C9D" w:rsidRDefault="00AD5C9D">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hyperlink w:anchor="_heading=h.8l6jbrwylu4f">
            <w:r>
              <w:rPr>
                <w:rFonts w:ascii="Arial Narrow" w:eastAsia="Arial Narrow" w:hAnsi="Arial Narrow" w:cs="Arial Narrow"/>
                <w:b/>
                <w:bCs/>
                <w:color w:val="000000"/>
                <w:sz w:val="20"/>
                <w:szCs w:val="20"/>
              </w:rPr>
              <w:t>I. ANTECEDENTES</w:t>
            </w:r>
          </w:hyperlink>
          <w:hyperlink w:anchor="_heading=h.8l6jbrwylu4f">
            <w:r>
              <w:rPr>
                <w:rFonts w:ascii="Arial Narrow" w:eastAsia="Arial Narrow" w:hAnsi="Arial Narrow" w:cs="Arial Narrow"/>
                <w:color w:val="000000"/>
                <w:sz w:val="20"/>
                <w:szCs w:val="20"/>
              </w:rPr>
              <w:tab/>
              <w:t>2</w:t>
            </w:r>
          </w:hyperlink>
        </w:p>
        <w:p w14:paraId="010BBFA2" w14:textId="77777777" w:rsidR="00AD5C9D" w:rsidRDefault="00AD5C9D">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hyperlink w:anchor="_heading=h.j3cascbji0ao">
            <w:r>
              <w:rPr>
                <w:rFonts w:ascii="Arial Narrow" w:eastAsia="Arial Narrow" w:hAnsi="Arial Narrow" w:cs="Arial Narrow"/>
                <w:b/>
                <w:bCs/>
                <w:color w:val="000000"/>
                <w:sz w:val="20"/>
                <w:szCs w:val="20"/>
              </w:rPr>
              <w:t>II. COMPETENCIA</w:t>
            </w:r>
          </w:hyperlink>
          <w:hyperlink w:anchor="_heading=h.j3cascbji0ao">
            <w:r>
              <w:rPr>
                <w:rFonts w:ascii="Arial Narrow" w:eastAsia="Arial Narrow" w:hAnsi="Arial Narrow" w:cs="Arial Narrow"/>
                <w:color w:val="000000"/>
                <w:sz w:val="20"/>
                <w:szCs w:val="20"/>
              </w:rPr>
              <w:tab/>
              <w:t>3</w:t>
            </w:r>
          </w:hyperlink>
        </w:p>
        <w:p w14:paraId="3AC35E74" w14:textId="77777777" w:rsidR="00AD5C9D" w:rsidRDefault="00AD5C9D">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hyperlink w:anchor="_heading=h.99z9ptje8xwu">
            <w:r>
              <w:rPr>
                <w:rFonts w:ascii="Arial Narrow" w:eastAsia="Arial Narrow" w:hAnsi="Arial Narrow" w:cs="Arial Narrow"/>
                <w:b/>
                <w:bCs/>
                <w:color w:val="000000"/>
                <w:sz w:val="20"/>
                <w:szCs w:val="20"/>
              </w:rPr>
              <w:t>III. ACTUACIÓN COLEGIADA</w:t>
            </w:r>
          </w:hyperlink>
          <w:hyperlink w:anchor="_heading=h.99z9ptje8xwu">
            <w:r>
              <w:rPr>
                <w:rFonts w:ascii="Arial Narrow" w:eastAsia="Arial Narrow" w:hAnsi="Arial Narrow" w:cs="Arial Narrow"/>
                <w:color w:val="000000"/>
                <w:sz w:val="20"/>
                <w:szCs w:val="20"/>
              </w:rPr>
              <w:tab/>
              <w:t>3</w:t>
            </w:r>
          </w:hyperlink>
        </w:p>
        <w:p w14:paraId="740B4F3F" w14:textId="77777777" w:rsidR="00AD5C9D" w:rsidRDefault="00AD5C9D">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hyperlink w:anchor="_heading=h.rn8ben9epuq7">
            <w:r>
              <w:rPr>
                <w:rFonts w:ascii="Arial Narrow" w:eastAsia="Arial Narrow" w:hAnsi="Arial Narrow" w:cs="Arial Narrow"/>
                <w:b/>
                <w:bCs/>
                <w:color w:val="000000"/>
                <w:sz w:val="20"/>
                <w:szCs w:val="20"/>
              </w:rPr>
              <w:t xml:space="preserve">IV. ANÁLISIS SOBRE EL CUMPLIMIENTO PARCIAL DE LA </w:t>
            </w:r>
          </w:hyperlink>
          <w:hyperlink w:anchor="_heading=h.rn8ben9epuq7">
            <w:r>
              <w:rPr>
                <w:rFonts w:ascii="Arial Narrow" w:eastAsia="Arial Narrow" w:hAnsi="Arial Narrow" w:cs="Arial Narrow"/>
                <w:b/>
                <w:bCs/>
                <w:i/>
                <w:iCs/>
                <w:color w:val="000000"/>
                <w:sz w:val="20"/>
                <w:szCs w:val="20"/>
              </w:rPr>
              <w:t>SENTENCIA</w:t>
            </w:r>
          </w:hyperlink>
          <w:hyperlink w:anchor="_heading=h.rn8ben9epuq7">
            <w:r>
              <w:rPr>
                <w:rFonts w:ascii="Arial Narrow" w:eastAsia="Arial Narrow" w:hAnsi="Arial Narrow" w:cs="Arial Narrow"/>
                <w:color w:val="000000"/>
                <w:sz w:val="20"/>
                <w:szCs w:val="20"/>
              </w:rPr>
              <w:tab/>
              <w:t>3</w:t>
            </w:r>
          </w:hyperlink>
        </w:p>
        <w:p w14:paraId="70EC17A6" w14:textId="24EAFC7C" w:rsidR="00AD5C9D" w:rsidRDefault="00AD5C9D">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hyperlink w:anchor="_heading=h.eh3eus8unnjk">
            <w:r>
              <w:rPr>
                <w:rFonts w:ascii="Arial Narrow" w:eastAsia="Arial Narrow" w:hAnsi="Arial Narrow" w:cs="Arial Narrow"/>
                <w:b/>
                <w:bCs/>
                <w:color w:val="000000"/>
                <w:sz w:val="20"/>
                <w:szCs w:val="20"/>
              </w:rPr>
              <w:t>V. EFECTOS</w:t>
            </w:r>
          </w:hyperlink>
          <w:hyperlink w:anchor="_heading=h.eh3eus8unnjk">
            <w:r>
              <w:rPr>
                <w:rFonts w:ascii="Arial Narrow" w:eastAsia="Arial Narrow" w:hAnsi="Arial Narrow" w:cs="Arial Narrow"/>
                <w:color w:val="000000"/>
                <w:sz w:val="20"/>
                <w:szCs w:val="20"/>
              </w:rPr>
              <w:tab/>
              <w:t>1</w:t>
            </w:r>
          </w:hyperlink>
          <w:r w:rsidR="007F380D">
            <w:t>3</w:t>
          </w:r>
        </w:p>
        <w:p w14:paraId="2C542D92" w14:textId="1B9C5219" w:rsidR="00AD5C9D" w:rsidRDefault="00AD5C9D">
          <w:pPr>
            <w:pBdr>
              <w:top w:val="nil"/>
              <w:left w:val="nil"/>
              <w:bottom w:val="nil"/>
              <w:right w:val="nil"/>
              <w:between w:val="nil"/>
            </w:pBdr>
            <w:tabs>
              <w:tab w:val="right" w:pos="8546"/>
            </w:tabs>
            <w:spacing w:after="100"/>
            <w:rPr>
              <w:rFonts w:ascii="Arial Narrow" w:eastAsia="Arial Narrow" w:hAnsi="Arial Narrow" w:cs="Arial Narrow"/>
              <w:color w:val="000000"/>
              <w:sz w:val="20"/>
              <w:szCs w:val="20"/>
            </w:rPr>
          </w:pPr>
          <w:hyperlink w:anchor="_heading=h.g19r9zdnqyno">
            <w:r>
              <w:rPr>
                <w:rFonts w:ascii="Arial Narrow" w:eastAsia="Arial Narrow" w:hAnsi="Arial Narrow" w:cs="Arial Narrow"/>
                <w:b/>
                <w:bCs/>
                <w:color w:val="000000"/>
                <w:sz w:val="20"/>
                <w:szCs w:val="20"/>
              </w:rPr>
              <w:t>VI. ACUERDA</w:t>
            </w:r>
          </w:hyperlink>
          <w:hyperlink w:anchor="_heading=h.g19r9zdnqyno">
            <w:r>
              <w:rPr>
                <w:rFonts w:ascii="Arial Narrow" w:eastAsia="Arial Narrow" w:hAnsi="Arial Narrow" w:cs="Arial Narrow"/>
                <w:color w:val="000000"/>
                <w:sz w:val="20"/>
                <w:szCs w:val="20"/>
              </w:rPr>
              <w:tab/>
              <w:t>1</w:t>
            </w:r>
          </w:hyperlink>
          <w:r w:rsidR="007F380D">
            <w:t>4</w:t>
          </w:r>
        </w:p>
        <w:p w14:paraId="34651407" w14:textId="77777777" w:rsidR="00AD5C9D" w:rsidRDefault="00000000">
          <w:pPr>
            <w:spacing w:line="240" w:lineRule="auto"/>
            <w:jc w:val="both"/>
          </w:pPr>
          <w:r>
            <w:fldChar w:fldCharType="end"/>
          </w:r>
        </w:p>
      </w:sdtContent>
    </w:sdt>
    <w:p w14:paraId="24BE3027" w14:textId="77777777" w:rsidR="00AD5C9D" w:rsidRDefault="00000000">
      <w:pPr>
        <w:pStyle w:val="Ttulo2"/>
        <w:spacing w:after="280" w:line="360" w:lineRule="auto"/>
        <w:jc w:val="center"/>
        <w:rPr>
          <w:rFonts w:ascii="Arial" w:eastAsia="Arial" w:hAnsi="Arial" w:cs="Arial"/>
          <w:b/>
          <w:bCs/>
          <w:color w:val="000000"/>
          <w:sz w:val="24"/>
          <w:szCs w:val="24"/>
        </w:rPr>
      </w:pPr>
      <w:bookmarkStart w:id="1" w:name="_heading=h.7q7ffixkoqo" w:colFirst="0" w:colLast="0"/>
      <w:bookmarkEnd w:id="1"/>
      <w:r>
        <w:rPr>
          <w:rFonts w:ascii="Arial" w:eastAsia="Arial" w:hAnsi="Arial" w:cs="Arial"/>
          <w:b/>
          <w:bCs/>
          <w:color w:val="000000"/>
          <w:sz w:val="24"/>
          <w:szCs w:val="24"/>
        </w:rPr>
        <w:t>GLOSARIO</w:t>
      </w:r>
    </w:p>
    <w:tbl>
      <w:tblPr>
        <w:tblStyle w:val="a"/>
        <w:tblpPr w:leftFromText="141" w:rightFromText="141" w:vertAnchor="text" w:tblpX="-844" w:tblpY="1"/>
        <w:tblW w:w="85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5"/>
        <w:gridCol w:w="6091"/>
      </w:tblGrid>
      <w:tr w:rsidR="00AD5C9D" w14:paraId="23BABF21" w14:textId="77777777">
        <w:trPr>
          <w:trHeight w:val="195"/>
        </w:trPr>
        <w:tc>
          <w:tcPr>
            <w:tcW w:w="2455" w:type="dxa"/>
          </w:tcPr>
          <w:p w14:paraId="2F4A1951"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Ayuntamiento:</w:t>
            </w:r>
          </w:p>
        </w:tc>
        <w:tc>
          <w:tcPr>
            <w:tcW w:w="6091" w:type="dxa"/>
          </w:tcPr>
          <w:p w14:paraId="48BA0766"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Ayuntamiento de Tingüindín, Michoacán.</w:t>
            </w:r>
          </w:p>
        </w:tc>
      </w:tr>
      <w:tr w:rsidR="00AD5C9D" w14:paraId="66FC97B5" w14:textId="77777777">
        <w:trPr>
          <w:trHeight w:val="195"/>
        </w:trPr>
        <w:tc>
          <w:tcPr>
            <w:tcW w:w="2455" w:type="dxa"/>
          </w:tcPr>
          <w:p w14:paraId="4E431E1E"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Código Electoral:</w:t>
            </w:r>
          </w:p>
        </w:tc>
        <w:tc>
          <w:tcPr>
            <w:tcW w:w="6091" w:type="dxa"/>
          </w:tcPr>
          <w:p w14:paraId="7FE74986"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Código Electoral del Estado de Michoacán de Ocampo. </w:t>
            </w:r>
          </w:p>
        </w:tc>
      </w:tr>
      <w:tr w:rsidR="00AD5C9D" w14:paraId="1B828AEC" w14:textId="77777777">
        <w:trPr>
          <w:trHeight w:val="195"/>
        </w:trPr>
        <w:tc>
          <w:tcPr>
            <w:tcW w:w="2455" w:type="dxa"/>
          </w:tcPr>
          <w:p w14:paraId="0354E8AE"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Comunidad:</w:t>
            </w:r>
          </w:p>
        </w:tc>
        <w:tc>
          <w:tcPr>
            <w:tcW w:w="6091" w:type="dxa"/>
          </w:tcPr>
          <w:p w14:paraId="6B6EFA3B"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Comunidad indígena de </w:t>
            </w:r>
            <w:proofErr w:type="spellStart"/>
            <w:r>
              <w:rPr>
                <w:rFonts w:ascii="Arial Narrow" w:eastAsia="Arial Narrow" w:hAnsi="Arial Narrow" w:cs="Arial Narrow"/>
                <w:color w:val="000000"/>
                <w:sz w:val="22"/>
                <w:szCs w:val="22"/>
              </w:rPr>
              <w:t>Xhániro</w:t>
            </w:r>
            <w:proofErr w:type="spellEnd"/>
            <w:r>
              <w:rPr>
                <w:rFonts w:ascii="Arial Narrow" w:eastAsia="Arial Narrow" w:hAnsi="Arial Narrow" w:cs="Arial Narrow"/>
                <w:color w:val="000000"/>
                <w:sz w:val="22"/>
                <w:szCs w:val="22"/>
              </w:rPr>
              <w:t>.</w:t>
            </w:r>
          </w:p>
        </w:tc>
      </w:tr>
      <w:tr w:rsidR="00AD5C9D" w14:paraId="5FD36D3B" w14:textId="77777777">
        <w:trPr>
          <w:trHeight w:val="195"/>
        </w:trPr>
        <w:tc>
          <w:tcPr>
            <w:tcW w:w="2455" w:type="dxa"/>
          </w:tcPr>
          <w:p w14:paraId="7A182FE9"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Constitución Federal:</w:t>
            </w:r>
          </w:p>
        </w:tc>
        <w:tc>
          <w:tcPr>
            <w:tcW w:w="6091" w:type="dxa"/>
          </w:tcPr>
          <w:p w14:paraId="0CF2F5FC"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Constitución Política de los Estados Unidos Mexicanos.</w:t>
            </w:r>
          </w:p>
        </w:tc>
      </w:tr>
      <w:tr w:rsidR="00AD5C9D" w14:paraId="45182685" w14:textId="77777777">
        <w:trPr>
          <w:trHeight w:val="195"/>
        </w:trPr>
        <w:tc>
          <w:tcPr>
            <w:tcW w:w="2455" w:type="dxa"/>
          </w:tcPr>
          <w:p w14:paraId="4D126279"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Constitución Local:</w:t>
            </w:r>
          </w:p>
        </w:tc>
        <w:tc>
          <w:tcPr>
            <w:tcW w:w="6091" w:type="dxa"/>
          </w:tcPr>
          <w:p w14:paraId="5558A754"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Constitución Política del Estado Libre y Soberano de Michoacán de Ocampo.</w:t>
            </w:r>
          </w:p>
        </w:tc>
      </w:tr>
      <w:tr w:rsidR="00AD5C9D" w14:paraId="40708A97" w14:textId="77777777">
        <w:trPr>
          <w:trHeight w:val="307"/>
        </w:trPr>
        <w:tc>
          <w:tcPr>
            <w:tcW w:w="2455" w:type="dxa"/>
          </w:tcPr>
          <w:p w14:paraId="4A8A9076"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Ley de Justicia Electoral:</w:t>
            </w:r>
          </w:p>
        </w:tc>
        <w:tc>
          <w:tcPr>
            <w:tcW w:w="6091" w:type="dxa"/>
          </w:tcPr>
          <w:p w14:paraId="40D4D808"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Ley de Justicia en Materia Electoral y de Participación Ciudadana del Estado de Michoacán de Ocampo.</w:t>
            </w:r>
          </w:p>
        </w:tc>
      </w:tr>
      <w:tr w:rsidR="00AD5C9D" w14:paraId="5EC27B25" w14:textId="77777777">
        <w:trPr>
          <w:trHeight w:val="307"/>
        </w:trPr>
        <w:tc>
          <w:tcPr>
            <w:tcW w:w="2455" w:type="dxa"/>
          </w:tcPr>
          <w:p w14:paraId="38819AF9"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lastRenderedPageBreak/>
              <w:t>Parte actora:</w:t>
            </w:r>
          </w:p>
        </w:tc>
        <w:tc>
          <w:tcPr>
            <w:tcW w:w="6091" w:type="dxa"/>
          </w:tcPr>
          <w:p w14:paraId="5F230D4F"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César Béjar Díaz, Rosa Ana Pérez Barragán, Israel Huerta Quintero, Rommel Béjar Díaz y Gamaniel Rumbo Jacintos.</w:t>
            </w:r>
          </w:p>
        </w:tc>
      </w:tr>
      <w:tr w:rsidR="00AD5C9D" w14:paraId="0E38BAF3" w14:textId="77777777">
        <w:trPr>
          <w:trHeight w:val="307"/>
        </w:trPr>
        <w:tc>
          <w:tcPr>
            <w:tcW w:w="2455" w:type="dxa"/>
          </w:tcPr>
          <w:p w14:paraId="65FB2669"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 xml:space="preserve">Tribunal Electoral </w:t>
            </w:r>
            <w:r>
              <w:rPr>
                <w:rFonts w:ascii="Arial Narrow" w:eastAsia="Arial Narrow" w:hAnsi="Arial Narrow" w:cs="Arial Narrow"/>
                <w:b/>
                <w:bCs/>
                <w:color w:val="000000"/>
                <w:sz w:val="22"/>
                <w:szCs w:val="22"/>
              </w:rPr>
              <w:t>y/o</w:t>
            </w:r>
            <w:r>
              <w:rPr>
                <w:rFonts w:ascii="Arial Narrow" w:eastAsia="Arial Narrow" w:hAnsi="Arial Narrow" w:cs="Arial Narrow"/>
                <w:color w:val="000000"/>
                <w:sz w:val="22"/>
                <w:szCs w:val="22"/>
              </w:rPr>
              <w:t xml:space="preserve"> </w:t>
            </w:r>
            <w:r>
              <w:rPr>
                <w:rFonts w:ascii="Arial Narrow" w:eastAsia="Arial Narrow" w:hAnsi="Arial Narrow" w:cs="Arial Narrow"/>
                <w:b/>
                <w:bCs/>
                <w:i/>
                <w:iCs/>
                <w:color w:val="000000"/>
                <w:sz w:val="22"/>
                <w:szCs w:val="22"/>
              </w:rPr>
              <w:t>órgano jurisdiccional:</w:t>
            </w:r>
          </w:p>
        </w:tc>
        <w:tc>
          <w:tcPr>
            <w:tcW w:w="6091" w:type="dxa"/>
          </w:tcPr>
          <w:p w14:paraId="6EFD8087"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Tribunal Electoral del Estado de Michoacán.</w:t>
            </w:r>
          </w:p>
        </w:tc>
      </w:tr>
      <w:tr w:rsidR="00AD5C9D" w14:paraId="199444EA" w14:textId="77777777">
        <w:trPr>
          <w:trHeight w:val="125"/>
        </w:trPr>
        <w:tc>
          <w:tcPr>
            <w:tcW w:w="2455" w:type="dxa"/>
          </w:tcPr>
          <w:p w14:paraId="3168B227"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Sala Superior:</w:t>
            </w:r>
          </w:p>
        </w:tc>
        <w:tc>
          <w:tcPr>
            <w:tcW w:w="6091" w:type="dxa"/>
          </w:tcPr>
          <w:p w14:paraId="18874CA6"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Sala Superior del Tribunal Electoral del Poder Judicial de la Federación.</w:t>
            </w:r>
          </w:p>
        </w:tc>
      </w:tr>
      <w:tr w:rsidR="00AD5C9D" w14:paraId="7F4EC3AF" w14:textId="77777777">
        <w:trPr>
          <w:trHeight w:val="125"/>
        </w:trPr>
        <w:tc>
          <w:tcPr>
            <w:tcW w:w="2455" w:type="dxa"/>
          </w:tcPr>
          <w:p w14:paraId="682478DB"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Sala Toluca:</w:t>
            </w:r>
          </w:p>
        </w:tc>
        <w:tc>
          <w:tcPr>
            <w:tcW w:w="6091" w:type="dxa"/>
          </w:tcPr>
          <w:p w14:paraId="5A3D5E12"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Sala Regional del Tribunal Electoral del Poder Judicial de la Federación, de la Quinta Circunscripción Plurinominal, con sede en Toluca de Lerdo, Estado de México.</w:t>
            </w:r>
          </w:p>
        </w:tc>
      </w:tr>
      <w:tr w:rsidR="00AD5C9D" w14:paraId="59E4BE34" w14:textId="77777777">
        <w:trPr>
          <w:trHeight w:val="125"/>
        </w:trPr>
        <w:tc>
          <w:tcPr>
            <w:tcW w:w="2455" w:type="dxa"/>
          </w:tcPr>
          <w:p w14:paraId="0BB6070A"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Secretaría de Finanzas:</w:t>
            </w:r>
          </w:p>
        </w:tc>
        <w:tc>
          <w:tcPr>
            <w:tcW w:w="6091" w:type="dxa"/>
          </w:tcPr>
          <w:p w14:paraId="6138C4DA"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Secretaría de Finanzas y Administración del Estado de Michoacán.</w:t>
            </w:r>
          </w:p>
        </w:tc>
      </w:tr>
      <w:tr w:rsidR="00AD5C9D" w14:paraId="1A307EC5" w14:textId="77777777">
        <w:trPr>
          <w:trHeight w:val="125"/>
        </w:trPr>
        <w:tc>
          <w:tcPr>
            <w:tcW w:w="2455" w:type="dxa"/>
          </w:tcPr>
          <w:p w14:paraId="3761B705"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Sentencia:</w:t>
            </w:r>
          </w:p>
        </w:tc>
        <w:tc>
          <w:tcPr>
            <w:tcW w:w="6091" w:type="dxa"/>
          </w:tcPr>
          <w:p w14:paraId="3AB70466"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Sentencia que resolvió el presente juicio.</w:t>
            </w:r>
          </w:p>
        </w:tc>
      </w:tr>
      <w:tr w:rsidR="00AD5C9D" w14:paraId="43C534C8" w14:textId="77777777">
        <w:trPr>
          <w:trHeight w:val="125"/>
        </w:trPr>
        <w:tc>
          <w:tcPr>
            <w:tcW w:w="2455" w:type="dxa"/>
          </w:tcPr>
          <w:p w14:paraId="517C0A81"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b/>
                <w:bCs/>
                <w:i/>
                <w:iCs/>
                <w:color w:val="000000"/>
                <w:sz w:val="22"/>
                <w:szCs w:val="22"/>
              </w:rPr>
            </w:pPr>
            <w:r>
              <w:rPr>
                <w:rFonts w:ascii="Arial Narrow" w:eastAsia="Arial Narrow" w:hAnsi="Arial Narrow" w:cs="Arial Narrow"/>
                <w:b/>
                <w:bCs/>
                <w:i/>
                <w:iCs/>
                <w:color w:val="000000"/>
                <w:sz w:val="22"/>
                <w:szCs w:val="22"/>
              </w:rPr>
              <w:t>SMRT:</w:t>
            </w:r>
          </w:p>
        </w:tc>
        <w:tc>
          <w:tcPr>
            <w:tcW w:w="6091" w:type="dxa"/>
          </w:tcPr>
          <w:p w14:paraId="1EABE6E2" w14:textId="77777777" w:rsidR="00AD5C9D" w:rsidRDefault="00000000">
            <w:pPr>
              <w:pBdr>
                <w:top w:val="nil"/>
                <w:left w:val="nil"/>
                <w:bottom w:val="nil"/>
                <w:right w:val="nil"/>
                <w:between w:val="nil"/>
              </w:pBdr>
              <w:spacing w:after="120" w:line="259" w:lineRule="auto"/>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Sistema Michoacano de Radio y Televisión.</w:t>
            </w:r>
          </w:p>
        </w:tc>
      </w:tr>
    </w:tbl>
    <w:p w14:paraId="7F86BDD6" w14:textId="77777777" w:rsidR="00AD5C9D" w:rsidRDefault="00AD5C9D"/>
    <w:p w14:paraId="6F2DAB22" w14:textId="77777777" w:rsidR="00AD5C9D" w:rsidRDefault="00000000">
      <w:pPr>
        <w:pStyle w:val="Ttulo2"/>
        <w:spacing w:before="280" w:after="280" w:line="360" w:lineRule="auto"/>
        <w:jc w:val="center"/>
        <w:rPr>
          <w:rFonts w:ascii="Arial" w:eastAsia="Arial" w:hAnsi="Arial" w:cs="Arial"/>
          <w:b/>
          <w:bCs/>
          <w:color w:val="000000"/>
          <w:sz w:val="24"/>
          <w:szCs w:val="24"/>
        </w:rPr>
      </w:pPr>
      <w:bookmarkStart w:id="2" w:name="_heading=h.8l6jbrwylu4f" w:colFirst="0" w:colLast="0"/>
      <w:bookmarkEnd w:id="2"/>
      <w:r>
        <w:rPr>
          <w:rFonts w:ascii="Arial" w:eastAsia="Arial" w:hAnsi="Arial" w:cs="Arial"/>
          <w:b/>
          <w:bCs/>
          <w:color w:val="000000"/>
          <w:sz w:val="24"/>
          <w:szCs w:val="24"/>
        </w:rPr>
        <w:t>I. ANTECEDENTES</w:t>
      </w:r>
    </w:p>
    <w:p w14:paraId="460B22E0" w14:textId="77777777" w:rsidR="00AD5C9D" w:rsidRDefault="00000000">
      <w:pPr>
        <w:spacing w:before="280" w:after="280" w:line="360" w:lineRule="auto"/>
        <w:jc w:val="both"/>
        <w:rPr>
          <w:rFonts w:ascii="Arial" w:eastAsia="Arial" w:hAnsi="Arial" w:cs="Arial"/>
          <w:sz w:val="24"/>
          <w:szCs w:val="24"/>
        </w:rPr>
      </w:pPr>
      <w:bookmarkStart w:id="3" w:name="_heading=h.67a255pv8y2" w:colFirst="0" w:colLast="0"/>
      <w:bookmarkEnd w:id="3"/>
      <w:r>
        <w:rPr>
          <w:rFonts w:ascii="Arial" w:eastAsia="Arial" w:hAnsi="Arial" w:cs="Arial"/>
          <w:b/>
          <w:bCs/>
          <w:sz w:val="24"/>
          <w:szCs w:val="24"/>
        </w:rPr>
        <w:t xml:space="preserve">1.1. </w:t>
      </w:r>
      <w:r>
        <w:rPr>
          <w:rFonts w:ascii="Arial" w:eastAsia="Arial" w:hAnsi="Arial" w:cs="Arial"/>
          <w:b/>
          <w:bCs/>
          <w:i/>
          <w:iCs/>
          <w:sz w:val="24"/>
          <w:szCs w:val="24"/>
        </w:rPr>
        <w:t xml:space="preserve">Sentencia. </w:t>
      </w:r>
      <w:r>
        <w:rPr>
          <w:rFonts w:ascii="Arial" w:eastAsia="Arial" w:hAnsi="Arial" w:cs="Arial"/>
          <w:sz w:val="24"/>
          <w:szCs w:val="24"/>
        </w:rPr>
        <w:t xml:space="preserve">El veintisiete de agosto, este </w:t>
      </w:r>
      <w:r>
        <w:rPr>
          <w:rFonts w:ascii="Arial" w:eastAsia="Arial" w:hAnsi="Arial" w:cs="Arial"/>
          <w:i/>
          <w:iCs/>
          <w:sz w:val="24"/>
          <w:szCs w:val="24"/>
        </w:rPr>
        <w:t xml:space="preserve">órgano jurisdiccional </w:t>
      </w:r>
      <w:r>
        <w:rPr>
          <w:rFonts w:ascii="Arial" w:eastAsia="Arial" w:hAnsi="Arial" w:cs="Arial"/>
          <w:sz w:val="24"/>
          <w:szCs w:val="24"/>
        </w:rPr>
        <w:t xml:space="preserve">dictó </w:t>
      </w:r>
      <w:r>
        <w:rPr>
          <w:rFonts w:ascii="Arial" w:eastAsia="Arial" w:hAnsi="Arial" w:cs="Arial"/>
          <w:i/>
          <w:iCs/>
          <w:sz w:val="24"/>
          <w:szCs w:val="24"/>
        </w:rPr>
        <w:t>sentencia</w:t>
      </w:r>
      <w:r>
        <w:rPr>
          <w:rFonts w:ascii="Arial" w:eastAsia="Arial" w:hAnsi="Arial" w:cs="Arial"/>
          <w:sz w:val="24"/>
          <w:szCs w:val="24"/>
        </w:rPr>
        <w:t xml:space="preserve">, en la que determinó declarar fundado lo reclamado por la </w:t>
      </w:r>
      <w:r>
        <w:rPr>
          <w:rFonts w:ascii="Arial" w:eastAsia="Arial" w:hAnsi="Arial" w:cs="Arial"/>
          <w:i/>
          <w:iCs/>
          <w:sz w:val="24"/>
          <w:szCs w:val="24"/>
        </w:rPr>
        <w:t>parte</w:t>
      </w:r>
      <w:r>
        <w:rPr>
          <w:rFonts w:ascii="Arial" w:eastAsia="Arial" w:hAnsi="Arial" w:cs="Arial"/>
          <w:sz w:val="24"/>
          <w:szCs w:val="24"/>
        </w:rPr>
        <w:t xml:space="preserve"> </w:t>
      </w:r>
      <w:r>
        <w:rPr>
          <w:rFonts w:ascii="Arial" w:eastAsia="Arial" w:hAnsi="Arial" w:cs="Arial"/>
          <w:i/>
          <w:iCs/>
          <w:sz w:val="24"/>
          <w:szCs w:val="24"/>
        </w:rPr>
        <w:t xml:space="preserve">actora </w:t>
      </w:r>
      <w:r>
        <w:rPr>
          <w:rFonts w:ascii="Arial" w:eastAsia="Arial" w:hAnsi="Arial" w:cs="Arial"/>
          <w:sz w:val="24"/>
          <w:szCs w:val="24"/>
        </w:rPr>
        <w:t xml:space="preserve">respecto de la omisión atribuida al </w:t>
      </w:r>
      <w:r>
        <w:rPr>
          <w:rFonts w:ascii="Arial" w:eastAsia="Arial" w:hAnsi="Arial" w:cs="Arial"/>
          <w:i/>
          <w:iCs/>
          <w:sz w:val="24"/>
          <w:szCs w:val="24"/>
        </w:rPr>
        <w:t>Ayuntamiento</w:t>
      </w:r>
      <w:r>
        <w:rPr>
          <w:rFonts w:ascii="Arial" w:eastAsia="Arial" w:hAnsi="Arial" w:cs="Arial"/>
          <w:sz w:val="24"/>
          <w:szCs w:val="24"/>
        </w:rPr>
        <w:t xml:space="preserve">. </w:t>
      </w:r>
    </w:p>
    <w:p w14:paraId="3445B807"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 xml:space="preserve">1.2. Notificación de la </w:t>
      </w:r>
      <w:r>
        <w:rPr>
          <w:rFonts w:ascii="Arial" w:eastAsia="Arial" w:hAnsi="Arial" w:cs="Arial"/>
          <w:b/>
          <w:bCs/>
          <w:i/>
          <w:iCs/>
          <w:sz w:val="24"/>
          <w:szCs w:val="24"/>
        </w:rPr>
        <w:t xml:space="preserve">sentencia. </w:t>
      </w:r>
      <w:r>
        <w:rPr>
          <w:rFonts w:ascii="Arial" w:eastAsia="Arial" w:hAnsi="Arial" w:cs="Arial"/>
          <w:sz w:val="24"/>
          <w:szCs w:val="24"/>
        </w:rPr>
        <w:t xml:space="preserve">El veintiocho y treinta y uno de agosto se notificó la </w:t>
      </w:r>
      <w:r>
        <w:rPr>
          <w:rFonts w:ascii="Arial" w:eastAsia="Arial" w:hAnsi="Arial" w:cs="Arial"/>
          <w:i/>
          <w:iCs/>
          <w:sz w:val="24"/>
          <w:szCs w:val="24"/>
        </w:rPr>
        <w:t>sentencia</w:t>
      </w:r>
      <w:r>
        <w:rPr>
          <w:rFonts w:ascii="Arial" w:eastAsia="Arial" w:hAnsi="Arial" w:cs="Arial"/>
          <w:sz w:val="24"/>
          <w:szCs w:val="24"/>
        </w:rPr>
        <w:t xml:space="preserve"> a la autoridad vinculada y a las partes, respectivamente</w:t>
      </w:r>
      <w:r>
        <w:rPr>
          <w:rFonts w:ascii="Arial" w:eastAsia="Arial" w:hAnsi="Arial" w:cs="Arial"/>
          <w:vertAlign w:val="superscript"/>
        </w:rPr>
        <w:footnoteReference w:id="2"/>
      </w:r>
      <w:r>
        <w:rPr>
          <w:rFonts w:ascii="Arial" w:eastAsia="Arial" w:hAnsi="Arial" w:cs="Arial"/>
          <w:sz w:val="24"/>
          <w:szCs w:val="24"/>
        </w:rPr>
        <w:t>.</w:t>
      </w:r>
    </w:p>
    <w:p w14:paraId="71B1B769" w14:textId="77777777" w:rsidR="00AD5C9D" w:rsidRDefault="00000000">
      <w:pPr>
        <w:spacing w:before="280" w:after="280" w:line="360" w:lineRule="auto"/>
        <w:jc w:val="both"/>
        <w:rPr>
          <w:rFonts w:ascii="Arial" w:eastAsia="Arial" w:hAnsi="Arial" w:cs="Arial"/>
          <w:i/>
          <w:iCs/>
          <w:sz w:val="24"/>
          <w:szCs w:val="24"/>
        </w:rPr>
      </w:pPr>
      <w:r>
        <w:rPr>
          <w:rFonts w:ascii="Arial" w:eastAsia="Arial" w:hAnsi="Arial" w:cs="Arial"/>
          <w:b/>
          <w:bCs/>
          <w:sz w:val="24"/>
          <w:szCs w:val="24"/>
        </w:rPr>
        <w:t xml:space="preserve">1.3. Recepción. </w:t>
      </w:r>
      <w:r>
        <w:rPr>
          <w:rFonts w:ascii="Arial" w:eastAsia="Arial" w:hAnsi="Arial" w:cs="Arial"/>
          <w:sz w:val="24"/>
          <w:szCs w:val="24"/>
        </w:rPr>
        <w:t xml:space="preserve">Mediante proveído de catorce de septiembre, se recibió el expediente en la ponencia instructora, así como diversa documentación remitida por el </w:t>
      </w:r>
      <w:r>
        <w:rPr>
          <w:rFonts w:ascii="Arial" w:eastAsia="Arial" w:hAnsi="Arial" w:cs="Arial"/>
          <w:i/>
          <w:iCs/>
          <w:sz w:val="24"/>
          <w:szCs w:val="24"/>
        </w:rPr>
        <w:t>SMRT</w:t>
      </w:r>
      <w:r>
        <w:rPr>
          <w:rFonts w:ascii="Arial" w:eastAsia="Arial" w:hAnsi="Arial" w:cs="Arial"/>
          <w:sz w:val="24"/>
          <w:szCs w:val="24"/>
        </w:rPr>
        <w:t xml:space="preserve">, relacionada con el cumplimiento de lo ordenado en la </w:t>
      </w:r>
      <w:r>
        <w:rPr>
          <w:rFonts w:ascii="Arial" w:eastAsia="Arial" w:hAnsi="Arial" w:cs="Arial"/>
          <w:i/>
          <w:iCs/>
          <w:sz w:val="24"/>
          <w:szCs w:val="24"/>
        </w:rPr>
        <w:t>sentencia</w:t>
      </w:r>
      <w:r>
        <w:rPr>
          <w:rFonts w:ascii="Arial" w:eastAsia="Arial" w:hAnsi="Arial" w:cs="Arial"/>
          <w:sz w:val="24"/>
          <w:szCs w:val="24"/>
          <w:vertAlign w:val="superscript"/>
        </w:rPr>
        <w:footnoteReference w:id="3"/>
      </w:r>
      <w:r>
        <w:rPr>
          <w:rFonts w:ascii="Arial" w:eastAsia="Arial" w:hAnsi="Arial" w:cs="Arial"/>
          <w:i/>
          <w:iCs/>
          <w:sz w:val="24"/>
          <w:szCs w:val="24"/>
        </w:rPr>
        <w:t xml:space="preserve">. </w:t>
      </w:r>
    </w:p>
    <w:p w14:paraId="49D6334D"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 xml:space="preserve">1.4. Requerimiento. </w:t>
      </w:r>
      <w:r>
        <w:rPr>
          <w:rFonts w:ascii="Arial" w:eastAsia="Arial" w:hAnsi="Arial" w:cs="Arial"/>
          <w:sz w:val="24"/>
          <w:szCs w:val="24"/>
        </w:rPr>
        <w:t xml:space="preserve">Por acuerdo de veintidós de septiembre, se requirió al </w:t>
      </w:r>
      <w:r>
        <w:rPr>
          <w:rFonts w:ascii="Arial" w:eastAsia="Arial" w:hAnsi="Arial" w:cs="Arial"/>
          <w:i/>
          <w:iCs/>
          <w:sz w:val="24"/>
          <w:szCs w:val="24"/>
        </w:rPr>
        <w:t>Ayuntamiento</w:t>
      </w:r>
      <w:r>
        <w:rPr>
          <w:rFonts w:ascii="Arial" w:eastAsia="Arial" w:hAnsi="Arial" w:cs="Arial"/>
          <w:sz w:val="24"/>
          <w:szCs w:val="24"/>
        </w:rPr>
        <w:t xml:space="preserve"> para que remitiera a este </w:t>
      </w:r>
      <w:r>
        <w:rPr>
          <w:rFonts w:ascii="Arial" w:eastAsia="Arial" w:hAnsi="Arial" w:cs="Arial"/>
          <w:i/>
          <w:iCs/>
          <w:sz w:val="24"/>
          <w:szCs w:val="24"/>
        </w:rPr>
        <w:t xml:space="preserve">Tribunal Electoral </w:t>
      </w:r>
      <w:r>
        <w:rPr>
          <w:rFonts w:ascii="Arial" w:eastAsia="Arial" w:hAnsi="Arial" w:cs="Arial"/>
          <w:sz w:val="24"/>
          <w:szCs w:val="24"/>
        </w:rPr>
        <w:t xml:space="preserve">diversa documentación relativa al cumplimiento de lo determinado en la </w:t>
      </w:r>
      <w:r>
        <w:rPr>
          <w:rFonts w:ascii="Arial" w:eastAsia="Arial" w:hAnsi="Arial" w:cs="Arial"/>
          <w:i/>
          <w:iCs/>
          <w:sz w:val="24"/>
          <w:szCs w:val="24"/>
        </w:rPr>
        <w:t>sentencia</w:t>
      </w:r>
      <w:r>
        <w:rPr>
          <w:rFonts w:ascii="Arial" w:eastAsia="Arial" w:hAnsi="Arial" w:cs="Arial"/>
          <w:vertAlign w:val="superscript"/>
        </w:rPr>
        <w:footnoteReference w:id="4"/>
      </w:r>
      <w:r>
        <w:rPr>
          <w:rFonts w:ascii="Arial" w:eastAsia="Arial" w:hAnsi="Arial" w:cs="Arial"/>
          <w:sz w:val="24"/>
          <w:szCs w:val="24"/>
        </w:rPr>
        <w:t>.</w:t>
      </w:r>
    </w:p>
    <w:p w14:paraId="397AEA10" w14:textId="77777777" w:rsidR="00AD5C9D" w:rsidRDefault="00000000">
      <w:pPr>
        <w:spacing w:before="280" w:after="280" w:line="360" w:lineRule="auto"/>
        <w:jc w:val="both"/>
        <w:rPr>
          <w:rFonts w:ascii="Arial" w:eastAsia="Arial" w:hAnsi="Arial" w:cs="Arial"/>
          <w:i/>
          <w:iCs/>
          <w:sz w:val="24"/>
          <w:szCs w:val="24"/>
        </w:rPr>
      </w:pPr>
      <w:r>
        <w:rPr>
          <w:rFonts w:ascii="Arial" w:eastAsia="Arial" w:hAnsi="Arial" w:cs="Arial"/>
          <w:b/>
          <w:bCs/>
          <w:sz w:val="24"/>
          <w:szCs w:val="24"/>
        </w:rPr>
        <w:t xml:space="preserve">1.5. Recepción. </w:t>
      </w:r>
      <w:r>
        <w:rPr>
          <w:rFonts w:ascii="Arial" w:eastAsia="Arial" w:hAnsi="Arial" w:cs="Arial"/>
          <w:sz w:val="24"/>
          <w:szCs w:val="24"/>
        </w:rPr>
        <w:t xml:space="preserve">Mediante auto de veinticinco de septiembre, se tuvo por recibida diversa documentación remitida por el </w:t>
      </w:r>
      <w:r>
        <w:rPr>
          <w:rFonts w:ascii="Arial" w:eastAsia="Arial" w:hAnsi="Arial" w:cs="Arial"/>
          <w:i/>
          <w:iCs/>
          <w:sz w:val="24"/>
          <w:szCs w:val="24"/>
        </w:rPr>
        <w:t>Ayuntamiento</w:t>
      </w:r>
      <w:r>
        <w:rPr>
          <w:rFonts w:ascii="Arial" w:eastAsia="Arial" w:hAnsi="Arial" w:cs="Arial"/>
          <w:sz w:val="24"/>
          <w:szCs w:val="24"/>
        </w:rPr>
        <w:t xml:space="preserve">, a través de la cual realizó manifestaciones respecto a lo ordenado en la </w:t>
      </w:r>
      <w:r>
        <w:rPr>
          <w:rFonts w:ascii="Arial" w:eastAsia="Arial" w:hAnsi="Arial" w:cs="Arial"/>
          <w:i/>
          <w:iCs/>
          <w:sz w:val="24"/>
          <w:szCs w:val="24"/>
        </w:rPr>
        <w:t xml:space="preserve">sentencia. </w:t>
      </w:r>
    </w:p>
    <w:p w14:paraId="3B724087" w14:textId="77777777" w:rsidR="00AD5C9D" w:rsidRDefault="00000000">
      <w:pPr>
        <w:spacing w:before="280" w:after="280" w:line="360" w:lineRule="auto"/>
        <w:jc w:val="both"/>
        <w:rPr>
          <w:rFonts w:ascii="Arial" w:eastAsia="Arial" w:hAnsi="Arial" w:cs="Arial"/>
          <w:i/>
          <w:iCs/>
          <w:sz w:val="24"/>
          <w:szCs w:val="24"/>
        </w:rPr>
      </w:pPr>
      <w:r>
        <w:rPr>
          <w:rFonts w:ascii="Arial" w:eastAsia="Arial" w:hAnsi="Arial" w:cs="Arial"/>
          <w:b/>
          <w:bCs/>
          <w:sz w:val="24"/>
          <w:szCs w:val="24"/>
        </w:rPr>
        <w:t xml:space="preserve">1.6. Recepción de documentación. </w:t>
      </w:r>
      <w:r>
        <w:rPr>
          <w:rFonts w:ascii="Arial" w:eastAsia="Arial" w:hAnsi="Arial" w:cs="Arial"/>
          <w:sz w:val="24"/>
          <w:szCs w:val="24"/>
        </w:rPr>
        <w:t xml:space="preserve">Por acuerdo de veintinueve de septiembre, se recibió diversa documentación remitida por el </w:t>
      </w:r>
      <w:r>
        <w:rPr>
          <w:rFonts w:ascii="Arial" w:eastAsia="Arial" w:hAnsi="Arial" w:cs="Arial"/>
          <w:i/>
          <w:iCs/>
          <w:sz w:val="24"/>
          <w:szCs w:val="24"/>
        </w:rPr>
        <w:t>Ayuntamiento</w:t>
      </w:r>
      <w:r>
        <w:rPr>
          <w:rFonts w:ascii="Arial" w:eastAsia="Arial" w:hAnsi="Arial" w:cs="Arial"/>
          <w:sz w:val="24"/>
          <w:szCs w:val="24"/>
        </w:rPr>
        <w:t xml:space="preserve"> relativa al cumplimiento de </w:t>
      </w:r>
      <w:r>
        <w:rPr>
          <w:rFonts w:ascii="Arial" w:eastAsia="Arial" w:hAnsi="Arial" w:cs="Arial"/>
          <w:i/>
          <w:iCs/>
          <w:sz w:val="24"/>
          <w:szCs w:val="24"/>
        </w:rPr>
        <w:t>sentencia</w:t>
      </w:r>
      <w:r>
        <w:rPr>
          <w:rFonts w:ascii="Arial" w:eastAsia="Arial" w:hAnsi="Arial" w:cs="Arial"/>
          <w:vertAlign w:val="superscript"/>
        </w:rPr>
        <w:footnoteReference w:id="5"/>
      </w:r>
      <w:r>
        <w:rPr>
          <w:rFonts w:ascii="Arial" w:eastAsia="Arial" w:hAnsi="Arial" w:cs="Arial"/>
          <w:i/>
          <w:iCs/>
          <w:sz w:val="24"/>
          <w:szCs w:val="24"/>
        </w:rPr>
        <w:t xml:space="preserve">. </w:t>
      </w:r>
    </w:p>
    <w:p w14:paraId="29225748"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lastRenderedPageBreak/>
        <w:t xml:space="preserve">1.7. Vista. </w:t>
      </w:r>
      <w:r>
        <w:rPr>
          <w:rFonts w:ascii="Arial" w:eastAsia="Arial" w:hAnsi="Arial" w:cs="Arial"/>
          <w:sz w:val="24"/>
          <w:szCs w:val="24"/>
        </w:rPr>
        <w:t xml:space="preserve">Mediante auto de uno de octubre, se ordenó dar vista a la </w:t>
      </w:r>
      <w:r>
        <w:rPr>
          <w:rFonts w:ascii="Arial" w:eastAsia="Arial" w:hAnsi="Arial" w:cs="Arial"/>
          <w:i/>
          <w:iCs/>
          <w:sz w:val="24"/>
          <w:szCs w:val="24"/>
        </w:rPr>
        <w:t xml:space="preserve">parte actora, </w:t>
      </w:r>
      <w:r>
        <w:rPr>
          <w:rFonts w:ascii="Arial" w:eastAsia="Arial" w:hAnsi="Arial" w:cs="Arial"/>
          <w:sz w:val="24"/>
          <w:szCs w:val="24"/>
        </w:rPr>
        <w:t>para que dentro de un plazo de dos días hábiles manifestara lo que a su derecho conviniera.</w:t>
      </w:r>
    </w:p>
    <w:p w14:paraId="257B2FA3" w14:textId="77777777" w:rsidR="00AD5C9D" w:rsidRDefault="00000000">
      <w:pPr>
        <w:pBdr>
          <w:top w:val="nil"/>
          <w:left w:val="nil"/>
          <w:bottom w:val="nil"/>
          <w:right w:val="nil"/>
          <w:between w:val="nil"/>
        </w:pBdr>
        <w:spacing w:before="280" w:after="280" w:line="360" w:lineRule="auto"/>
        <w:jc w:val="both"/>
        <w:rPr>
          <w:rFonts w:ascii="Arial" w:eastAsia="Arial" w:hAnsi="Arial" w:cs="Arial"/>
          <w:color w:val="000000"/>
          <w:sz w:val="24"/>
          <w:szCs w:val="24"/>
        </w:rPr>
      </w:pPr>
      <w:r>
        <w:rPr>
          <w:rFonts w:ascii="Arial" w:eastAsia="Arial" w:hAnsi="Arial" w:cs="Arial"/>
          <w:b/>
          <w:bCs/>
          <w:color w:val="000000"/>
          <w:sz w:val="24"/>
          <w:szCs w:val="24"/>
        </w:rPr>
        <w:t xml:space="preserve">1.8. Preclusión de vista y remisión de constancias. </w:t>
      </w:r>
      <w:r>
        <w:rPr>
          <w:rFonts w:ascii="Arial" w:eastAsia="Arial" w:hAnsi="Arial" w:cs="Arial"/>
          <w:color w:val="000000"/>
          <w:sz w:val="24"/>
          <w:szCs w:val="24"/>
        </w:rPr>
        <w:t xml:space="preserve">Por acuerdo de ocho de octubre, se tuvo por precluido el derecho de la </w:t>
      </w:r>
      <w:r>
        <w:rPr>
          <w:rFonts w:ascii="Arial" w:eastAsia="Arial" w:hAnsi="Arial" w:cs="Arial"/>
          <w:i/>
          <w:iCs/>
          <w:color w:val="000000"/>
          <w:sz w:val="24"/>
          <w:szCs w:val="24"/>
        </w:rPr>
        <w:t>parte actora</w:t>
      </w:r>
      <w:r>
        <w:rPr>
          <w:rFonts w:ascii="Arial" w:eastAsia="Arial" w:hAnsi="Arial" w:cs="Arial"/>
          <w:color w:val="000000"/>
          <w:sz w:val="24"/>
          <w:szCs w:val="24"/>
        </w:rPr>
        <w:t xml:space="preserve"> para desahogar la vista otorgada; asimismo, se tuvieron por recibidas diversas constancias por parte de la </w:t>
      </w:r>
      <w:proofErr w:type="gramStart"/>
      <w:r>
        <w:rPr>
          <w:rFonts w:ascii="Arial" w:eastAsia="Arial" w:hAnsi="Arial" w:cs="Arial"/>
          <w:color w:val="000000"/>
          <w:sz w:val="24"/>
          <w:szCs w:val="24"/>
        </w:rPr>
        <w:t>Presidenta</w:t>
      </w:r>
      <w:proofErr w:type="gramEnd"/>
      <w:r>
        <w:rPr>
          <w:rFonts w:ascii="Arial" w:eastAsia="Arial" w:hAnsi="Arial" w:cs="Arial"/>
          <w:color w:val="000000"/>
          <w:sz w:val="24"/>
          <w:szCs w:val="24"/>
        </w:rPr>
        <w:t xml:space="preserve"> y Síndico Municipal, ambos del </w:t>
      </w:r>
      <w:r>
        <w:rPr>
          <w:rFonts w:ascii="Arial" w:eastAsia="Arial" w:hAnsi="Arial" w:cs="Arial"/>
          <w:i/>
          <w:iCs/>
          <w:color w:val="000000"/>
          <w:sz w:val="24"/>
          <w:szCs w:val="24"/>
        </w:rPr>
        <w:t>Ayuntamiento</w:t>
      </w:r>
      <w:r>
        <w:rPr>
          <w:rFonts w:ascii="Arial" w:eastAsia="Arial" w:hAnsi="Arial" w:cs="Arial"/>
          <w:color w:val="000000"/>
          <w:sz w:val="24"/>
          <w:szCs w:val="24"/>
          <w:vertAlign w:val="superscript"/>
        </w:rPr>
        <w:footnoteReference w:id="6"/>
      </w:r>
      <w:r>
        <w:rPr>
          <w:rFonts w:ascii="Arial" w:eastAsia="Arial" w:hAnsi="Arial" w:cs="Arial"/>
          <w:color w:val="000000"/>
          <w:sz w:val="24"/>
          <w:szCs w:val="24"/>
        </w:rPr>
        <w:t>.</w:t>
      </w:r>
    </w:p>
    <w:p w14:paraId="01DF48D3" w14:textId="77777777" w:rsidR="00AD5C9D" w:rsidRDefault="00000000">
      <w:pPr>
        <w:pStyle w:val="Ttulo1"/>
        <w:spacing w:after="280" w:line="360" w:lineRule="auto"/>
        <w:jc w:val="center"/>
        <w:rPr>
          <w:rFonts w:ascii="Arial" w:eastAsia="Arial" w:hAnsi="Arial" w:cs="Arial"/>
          <w:b/>
          <w:bCs/>
          <w:color w:val="000000"/>
          <w:sz w:val="24"/>
          <w:szCs w:val="24"/>
        </w:rPr>
      </w:pPr>
      <w:bookmarkStart w:id="4" w:name="_heading=h.j3cascbji0ao" w:colFirst="0" w:colLast="0"/>
      <w:bookmarkEnd w:id="4"/>
      <w:r>
        <w:rPr>
          <w:rFonts w:ascii="Arial" w:eastAsia="Arial" w:hAnsi="Arial" w:cs="Arial"/>
          <w:b/>
          <w:bCs/>
          <w:color w:val="000000"/>
          <w:sz w:val="26"/>
          <w:szCs w:val="26"/>
        </w:rPr>
        <w:t xml:space="preserve">II. </w:t>
      </w:r>
      <w:r>
        <w:rPr>
          <w:rFonts w:ascii="Arial" w:eastAsia="Arial" w:hAnsi="Arial" w:cs="Arial"/>
          <w:b/>
          <w:bCs/>
          <w:color w:val="000000"/>
          <w:sz w:val="24"/>
          <w:szCs w:val="24"/>
        </w:rPr>
        <w:t xml:space="preserve">COMPETENCIA </w:t>
      </w:r>
    </w:p>
    <w:p w14:paraId="6DF97A80" w14:textId="77777777" w:rsidR="00AD5C9D" w:rsidRDefault="00000000">
      <w:pPr>
        <w:pBdr>
          <w:top w:val="nil"/>
          <w:left w:val="nil"/>
          <w:bottom w:val="nil"/>
          <w:right w:val="nil"/>
          <w:between w:val="nil"/>
        </w:pBdr>
        <w:spacing w:before="280" w:after="28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El Pleno del </w:t>
      </w:r>
      <w:r>
        <w:rPr>
          <w:rFonts w:ascii="Arial" w:eastAsia="Arial" w:hAnsi="Arial" w:cs="Arial"/>
          <w:i/>
          <w:iCs/>
          <w:color w:val="000000"/>
          <w:sz w:val="24"/>
          <w:szCs w:val="24"/>
        </w:rPr>
        <w:t xml:space="preserve">Tribunal Electoral </w:t>
      </w:r>
      <w:r>
        <w:rPr>
          <w:rFonts w:ascii="Arial" w:eastAsia="Arial" w:hAnsi="Arial" w:cs="Arial"/>
          <w:color w:val="000000"/>
          <w:sz w:val="24"/>
          <w:szCs w:val="24"/>
        </w:rPr>
        <w:t>es competente para conocer y acordar sobre el cumplimiento de una sentencia que dictó, debido a que la función de los tribunales no se limita a conocer y resolver las controversias de manera pronta, completa e imparcial, sino también se encarga de vigilar y proveer lo necesario para garantizar la plena ejecución de sus resoluciones.</w:t>
      </w:r>
    </w:p>
    <w:p w14:paraId="16DD7505" w14:textId="77777777" w:rsidR="00AD5C9D" w:rsidRDefault="00000000">
      <w:pPr>
        <w:spacing w:before="280" w:after="280" w:line="360" w:lineRule="auto"/>
        <w:jc w:val="both"/>
        <w:rPr>
          <w:rFonts w:ascii="Arial" w:eastAsia="Arial" w:hAnsi="Arial" w:cs="Arial"/>
          <w:color w:val="000000"/>
          <w:sz w:val="24"/>
          <w:szCs w:val="24"/>
        </w:rPr>
      </w:pPr>
      <w:r>
        <w:rPr>
          <w:rFonts w:ascii="Arial" w:eastAsia="Arial" w:hAnsi="Arial" w:cs="Arial"/>
          <w:color w:val="000000"/>
          <w:sz w:val="24"/>
          <w:szCs w:val="24"/>
        </w:rPr>
        <w:t xml:space="preserve">Lo anterior, con fundamento en los artículos 98 A de la </w:t>
      </w:r>
      <w:r>
        <w:rPr>
          <w:rFonts w:ascii="Arial" w:eastAsia="Arial" w:hAnsi="Arial" w:cs="Arial"/>
          <w:i/>
          <w:iCs/>
          <w:color w:val="000000"/>
          <w:sz w:val="24"/>
          <w:szCs w:val="24"/>
        </w:rPr>
        <w:t>Constitución Local</w:t>
      </w:r>
      <w:r>
        <w:rPr>
          <w:rFonts w:ascii="Arial" w:eastAsia="Arial" w:hAnsi="Arial" w:cs="Arial"/>
          <w:color w:val="000000"/>
          <w:sz w:val="24"/>
          <w:szCs w:val="24"/>
        </w:rPr>
        <w:t xml:space="preserve">.; 60, 64, fracción XIII y 66, fracciones II, III y X, del </w:t>
      </w:r>
      <w:r>
        <w:rPr>
          <w:rFonts w:ascii="Arial" w:eastAsia="Arial" w:hAnsi="Arial" w:cs="Arial"/>
          <w:i/>
          <w:iCs/>
          <w:color w:val="000000"/>
          <w:sz w:val="24"/>
          <w:szCs w:val="24"/>
        </w:rPr>
        <w:t>Código Electoral</w:t>
      </w:r>
      <w:r>
        <w:rPr>
          <w:rFonts w:ascii="Arial" w:eastAsia="Arial" w:hAnsi="Arial" w:cs="Arial"/>
          <w:color w:val="000000"/>
          <w:sz w:val="24"/>
          <w:szCs w:val="24"/>
        </w:rPr>
        <w:t xml:space="preserve">; así como el 5 de la </w:t>
      </w:r>
      <w:r>
        <w:rPr>
          <w:rFonts w:ascii="Arial" w:eastAsia="Arial" w:hAnsi="Arial" w:cs="Arial"/>
          <w:i/>
          <w:iCs/>
          <w:color w:val="000000"/>
          <w:sz w:val="24"/>
          <w:szCs w:val="24"/>
        </w:rPr>
        <w:t>Ley de Justicia Electoral</w:t>
      </w:r>
      <w:r>
        <w:rPr>
          <w:rFonts w:ascii="Arial" w:eastAsia="Arial" w:hAnsi="Arial" w:cs="Arial"/>
          <w:color w:val="000000"/>
          <w:sz w:val="24"/>
          <w:szCs w:val="24"/>
          <w:vertAlign w:val="superscript"/>
        </w:rPr>
        <w:footnoteReference w:id="7"/>
      </w:r>
      <w:r>
        <w:rPr>
          <w:rFonts w:ascii="Arial" w:eastAsia="Arial" w:hAnsi="Arial" w:cs="Arial"/>
          <w:color w:val="000000"/>
          <w:sz w:val="24"/>
          <w:szCs w:val="24"/>
        </w:rPr>
        <w:t>.</w:t>
      </w:r>
    </w:p>
    <w:p w14:paraId="48DEF63D" w14:textId="77777777" w:rsidR="00AD5C9D" w:rsidRDefault="00000000">
      <w:pPr>
        <w:spacing w:before="280" w:after="280" w:line="360" w:lineRule="auto"/>
        <w:jc w:val="center"/>
        <w:rPr>
          <w:rFonts w:ascii="Arial" w:eastAsia="Arial" w:hAnsi="Arial" w:cs="Arial"/>
          <w:b/>
          <w:bCs/>
          <w:color w:val="000000"/>
          <w:sz w:val="24"/>
          <w:szCs w:val="24"/>
        </w:rPr>
      </w:pPr>
      <w:bookmarkStart w:id="5" w:name="_heading=h.99z9ptje8xwu" w:colFirst="0" w:colLast="0"/>
      <w:bookmarkEnd w:id="5"/>
      <w:r>
        <w:rPr>
          <w:rFonts w:ascii="Arial" w:eastAsia="Arial" w:hAnsi="Arial" w:cs="Arial"/>
          <w:b/>
          <w:bCs/>
          <w:color w:val="000000"/>
          <w:sz w:val="24"/>
          <w:szCs w:val="24"/>
        </w:rPr>
        <w:t>III. ACTUACIÓN COLEGIADA</w:t>
      </w:r>
    </w:p>
    <w:p w14:paraId="2C996F8F" w14:textId="77777777" w:rsidR="00AD5C9D" w:rsidRDefault="00000000">
      <w:pPr>
        <w:spacing w:before="280" w:after="280" w:line="360" w:lineRule="auto"/>
        <w:jc w:val="both"/>
        <w:rPr>
          <w:rFonts w:ascii="Arial" w:eastAsia="Arial" w:hAnsi="Arial" w:cs="Arial"/>
          <w:sz w:val="24"/>
          <w:szCs w:val="24"/>
        </w:rPr>
      </w:pPr>
      <w:bookmarkStart w:id="6" w:name="_heading=h.va7yh9qkvtva" w:colFirst="0" w:colLast="0"/>
      <w:bookmarkEnd w:id="6"/>
      <w:r>
        <w:rPr>
          <w:rFonts w:ascii="Arial" w:eastAsia="Arial" w:hAnsi="Arial" w:cs="Arial"/>
          <w:sz w:val="24"/>
          <w:szCs w:val="24"/>
        </w:rPr>
        <w:t xml:space="preserve">La materia sobre la que versa la determinación que se emite, compete a este </w:t>
      </w:r>
      <w:r>
        <w:rPr>
          <w:rFonts w:ascii="Arial" w:eastAsia="Arial" w:hAnsi="Arial" w:cs="Arial"/>
          <w:i/>
          <w:iCs/>
          <w:sz w:val="24"/>
          <w:szCs w:val="24"/>
        </w:rPr>
        <w:t>Tribunal Electoral</w:t>
      </w:r>
      <w:r>
        <w:rPr>
          <w:rFonts w:ascii="Arial" w:eastAsia="Arial" w:hAnsi="Arial" w:cs="Arial"/>
          <w:sz w:val="24"/>
          <w:szCs w:val="24"/>
        </w:rPr>
        <w:t xml:space="preserve"> mediante actuación colegiada y plenaria, debido a que en el caso habrá de determinarse sobre el cumplimiento a la </w:t>
      </w:r>
      <w:r>
        <w:rPr>
          <w:rFonts w:ascii="Arial" w:eastAsia="Arial" w:hAnsi="Arial" w:cs="Arial"/>
          <w:i/>
          <w:iCs/>
          <w:sz w:val="24"/>
          <w:szCs w:val="24"/>
        </w:rPr>
        <w:t>sentencia</w:t>
      </w:r>
      <w:r>
        <w:rPr>
          <w:rFonts w:ascii="Arial" w:eastAsia="Arial" w:hAnsi="Arial" w:cs="Arial"/>
          <w:sz w:val="24"/>
          <w:szCs w:val="24"/>
        </w:rPr>
        <w:t xml:space="preserve"> emitida por el Pleno de este </w:t>
      </w:r>
      <w:r>
        <w:rPr>
          <w:rFonts w:ascii="Arial" w:eastAsia="Arial" w:hAnsi="Arial" w:cs="Arial"/>
          <w:i/>
          <w:iCs/>
          <w:sz w:val="24"/>
          <w:szCs w:val="24"/>
        </w:rPr>
        <w:t>órgano jurisdiccional</w:t>
      </w:r>
      <w:r>
        <w:rPr>
          <w:rFonts w:ascii="Arial" w:eastAsia="Arial" w:hAnsi="Arial" w:cs="Arial"/>
          <w:sz w:val="24"/>
          <w:szCs w:val="24"/>
        </w:rPr>
        <w:t>.</w:t>
      </w:r>
    </w:p>
    <w:p w14:paraId="15597BEC"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Por tanto, lo que se determine no constituye un acuerdo ordinario de mero trámite que corresponda a las magistraturas en lo individual, debido a que, como se dijo, se trata de una determinación sobre el cumplimiento a una sentencia dictada dentro de un juicio de la ciudadanía; por ello se estima que se debe estar a la regla señalada en la tesis de jurisprudencia 11/99 de rubro “</w:t>
      </w:r>
      <w:r>
        <w:rPr>
          <w:rFonts w:ascii="Arial" w:eastAsia="Arial" w:hAnsi="Arial" w:cs="Arial"/>
          <w:b/>
          <w:bCs/>
          <w:i/>
          <w:iCs/>
          <w:sz w:val="24"/>
          <w:szCs w:val="24"/>
        </w:rPr>
        <w:t xml:space="preserve">MEDIOS DE IMPUGNACIÓN. LAS RESOLUCIONES O ACTUACIONES QUE IMPLIQUEN UNA MODIFICACIÓN EN LA SUSTANCIACIÓN DEL PROCEDIMIENTO </w:t>
      </w:r>
      <w:r>
        <w:rPr>
          <w:rFonts w:ascii="Arial" w:eastAsia="Arial" w:hAnsi="Arial" w:cs="Arial"/>
          <w:b/>
          <w:bCs/>
          <w:i/>
          <w:iCs/>
          <w:sz w:val="24"/>
          <w:szCs w:val="24"/>
        </w:rPr>
        <w:lastRenderedPageBreak/>
        <w:t>ORDINARIO, SON COMPETENCIA DE LA SALA SUPERIOR Y NO DEL MAGISTRADO INSTRUCTOR</w:t>
      </w:r>
      <w:r>
        <w:rPr>
          <w:rFonts w:ascii="Arial" w:eastAsia="Arial" w:hAnsi="Arial" w:cs="Arial"/>
          <w:b/>
          <w:bCs/>
          <w:sz w:val="24"/>
          <w:szCs w:val="24"/>
        </w:rPr>
        <w:t>”</w:t>
      </w:r>
      <w:r>
        <w:rPr>
          <w:rFonts w:ascii="Arial" w:eastAsia="Arial" w:hAnsi="Arial" w:cs="Arial"/>
          <w:sz w:val="24"/>
          <w:szCs w:val="24"/>
          <w:vertAlign w:val="superscript"/>
        </w:rPr>
        <w:footnoteReference w:id="8"/>
      </w:r>
      <w:r>
        <w:rPr>
          <w:rFonts w:ascii="Arial" w:eastAsia="Arial" w:hAnsi="Arial" w:cs="Arial"/>
          <w:sz w:val="24"/>
          <w:szCs w:val="24"/>
        </w:rPr>
        <w:t>.</w:t>
      </w:r>
    </w:p>
    <w:p w14:paraId="24F3BE57" w14:textId="77777777" w:rsidR="00AD5C9D" w:rsidRDefault="00000000">
      <w:pPr>
        <w:spacing w:before="280" w:after="280" w:line="360" w:lineRule="auto"/>
        <w:jc w:val="center"/>
        <w:rPr>
          <w:rFonts w:ascii="Arial" w:eastAsia="Arial" w:hAnsi="Arial" w:cs="Arial"/>
          <w:b/>
          <w:bCs/>
          <w:color w:val="000000"/>
          <w:sz w:val="24"/>
          <w:szCs w:val="24"/>
        </w:rPr>
      </w:pPr>
      <w:bookmarkStart w:id="7" w:name="_heading=h.rn8ben9epuq7" w:colFirst="0" w:colLast="0"/>
      <w:bookmarkEnd w:id="7"/>
      <w:r>
        <w:rPr>
          <w:rFonts w:ascii="Arial" w:eastAsia="Arial" w:hAnsi="Arial" w:cs="Arial"/>
          <w:b/>
          <w:bCs/>
          <w:color w:val="000000"/>
          <w:sz w:val="24"/>
          <w:szCs w:val="24"/>
        </w:rPr>
        <w:t xml:space="preserve">IV. ANÁLISIS SOBRE EL CUMPLIMIENTO PARCIAL DE LA </w:t>
      </w:r>
      <w:r>
        <w:rPr>
          <w:rFonts w:ascii="Arial" w:eastAsia="Arial" w:hAnsi="Arial" w:cs="Arial"/>
          <w:b/>
          <w:bCs/>
          <w:i/>
          <w:iCs/>
          <w:color w:val="000000"/>
          <w:sz w:val="24"/>
          <w:szCs w:val="24"/>
        </w:rPr>
        <w:t>SENTENCIA</w:t>
      </w:r>
    </w:p>
    <w:p w14:paraId="35D9CC86" w14:textId="77777777" w:rsidR="00AD5C9D" w:rsidRDefault="00000000">
      <w:pPr>
        <w:numPr>
          <w:ilvl w:val="0"/>
          <w:numId w:val="5"/>
        </w:numPr>
        <w:spacing w:before="280" w:after="280" w:line="360" w:lineRule="auto"/>
        <w:jc w:val="center"/>
        <w:rPr>
          <w:rFonts w:ascii="Arial" w:eastAsia="Arial" w:hAnsi="Arial" w:cs="Arial"/>
          <w:b/>
          <w:bCs/>
          <w:sz w:val="24"/>
          <w:szCs w:val="24"/>
        </w:rPr>
      </w:pPr>
      <w:r>
        <w:rPr>
          <w:rFonts w:ascii="Arial" w:eastAsia="Arial" w:hAnsi="Arial" w:cs="Arial"/>
          <w:b/>
          <w:bCs/>
          <w:sz w:val="24"/>
          <w:szCs w:val="24"/>
        </w:rPr>
        <w:t>Efectos ordenados</w:t>
      </w:r>
    </w:p>
    <w:p w14:paraId="7F87FE01"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 la </w:t>
      </w:r>
      <w:r>
        <w:rPr>
          <w:rFonts w:ascii="Arial" w:eastAsia="Arial" w:hAnsi="Arial" w:cs="Arial"/>
          <w:i/>
          <w:iCs/>
          <w:sz w:val="24"/>
          <w:szCs w:val="24"/>
        </w:rPr>
        <w:t>sentencia</w:t>
      </w:r>
      <w:r>
        <w:rPr>
          <w:rFonts w:ascii="Arial" w:eastAsia="Arial" w:hAnsi="Arial" w:cs="Arial"/>
          <w:sz w:val="24"/>
          <w:szCs w:val="24"/>
        </w:rPr>
        <w:t xml:space="preserve"> se vinculó a diversas autoridades a cumplir con las acciones ordenadas, como se precisa enseguida: </w:t>
      </w:r>
    </w:p>
    <w:p w14:paraId="1F285797"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A. A la Secretaría General de Acuerdos del </w:t>
      </w:r>
      <w:r>
        <w:rPr>
          <w:rFonts w:ascii="Arial" w:eastAsia="Arial" w:hAnsi="Arial" w:cs="Arial"/>
          <w:b/>
          <w:bCs/>
          <w:i/>
          <w:iCs/>
          <w:sz w:val="24"/>
          <w:szCs w:val="24"/>
        </w:rPr>
        <w:t>Tribunal Electoral</w:t>
      </w:r>
      <w:r>
        <w:rPr>
          <w:rFonts w:ascii="Arial" w:eastAsia="Arial" w:hAnsi="Arial" w:cs="Arial"/>
          <w:b/>
          <w:bCs/>
          <w:sz w:val="24"/>
          <w:szCs w:val="24"/>
        </w:rPr>
        <w:t>:</w:t>
      </w:r>
    </w:p>
    <w:p w14:paraId="69B4ECA2" w14:textId="77777777" w:rsidR="00AD5C9D" w:rsidRDefault="00000000">
      <w:pPr>
        <w:numPr>
          <w:ilvl w:val="0"/>
          <w:numId w:val="3"/>
        </w:numPr>
        <w:spacing w:before="280" w:after="280" w:line="360" w:lineRule="auto"/>
        <w:jc w:val="both"/>
        <w:rPr>
          <w:sz w:val="24"/>
          <w:szCs w:val="24"/>
        </w:rPr>
      </w:pPr>
      <w:r>
        <w:rPr>
          <w:rFonts w:ascii="Arial" w:eastAsia="Arial" w:hAnsi="Arial" w:cs="Arial"/>
          <w:sz w:val="24"/>
          <w:szCs w:val="24"/>
        </w:rPr>
        <w:t xml:space="preserve">Que </w:t>
      </w:r>
      <w:r>
        <w:rPr>
          <w:rFonts w:ascii="Arial" w:eastAsia="Arial" w:hAnsi="Arial" w:cs="Arial"/>
          <w:b/>
          <w:bCs/>
          <w:sz w:val="24"/>
          <w:szCs w:val="24"/>
        </w:rPr>
        <w:t>a la brevedad posible</w:t>
      </w:r>
      <w:r>
        <w:rPr>
          <w:rFonts w:ascii="Arial" w:eastAsia="Arial" w:hAnsi="Arial" w:cs="Arial"/>
          <w:sz w:val="24"/>
          <w:szCs w:val="24"/>
        </w:rPr>
        <w:t xml:space="preserve"> obtuviera la traducción en lengua purépecha del resumen y puntos resolutivos de la </w:t>
      </w:r>
      <w:r>
        <w:rPr>
          <w:rFonts w:ascii="Arial" w:eastAsia="Arial" w:hAnsi="Arial" w:cs="Arial"/>
          <w:i/>
          <w:iCs/>
          <w:sz w:val="24"/>
          <w:szCs w:val="24"/>
        </w:rPr>
        <w:t>sentencia</w:t>
      </w:r>
      <w:r>
        <w:rPr>
          <w:rFonts w:ascii="Arial" w:eastAsia="Arial" w:hAnsi="Arial" w:cs="Arial"/>
          <w:sz w:val="24"/>
          <w:szCs w:val="24"/>
        </w:rPr>
        <w:t xml:space="preserve"> y realizara lo conducente para que el </w:t>
      </w:r>
      <w:r>
        <w:rPr>
          <w:rFonts w:ascii="Arial" w:eastAsia="Arial" w:hAnsi="Arial" w:cs="Arial"/>
          <w:i/>
          <w:iCs/>
          <w:sz w:val="24"/>
          <w:szCs w:val="24"/>
        </w:rPr>
        <w:t>SMRT</w:t>
      </w:r>
      <w:r>
        <w:rPr>
          <w:rFonts w:ascii="Arial" w:eastAsia="Arial" w:hAnsi="Arial" w:cs="Arial"/>
          <w:sz w:val="24"/>
          <w:szCs w:val="24"/>
        </w:rPr>
        <w:t xml:space="preserve">, así como el </w:t>
      </w:r>
      <w:r>
        <w:rPr>
          <w:rFonts w:ascii="Arial" w:eastAsia="Arial" w:hAnsi="Arial" w:cs="Arial"/>
          <w:i/>
          <w:iCs/>
          <w:sz w:val="24"/>
          <w:szCs w:val="24"/>
        </w:rPr>
        <w:t>Ayuntamiento</w:t>
      </w:r>
      <w:r>
        <w:rPr>
          <w:rFonts w:ascii="Arial" w:eastAsia="Arial" w:hAnsi="Arial" w:cs="Arial"/>
          <w:sz w:val="24"/>
          <w:szCs w:val="24"/>
        </w:rPr>
        <w:t xml:space="preserve">, coadyuvaran en su difusión tanto en español como en purépecha. </w:t>
      </w:r>
    </w:p>
    <w:p w14:paraId="5CE6E634"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B. Al </w:t>
      </w:r>
      <w:r>
        <w:rPr>
          <w:rFonts w:ascii="Arial" w:eastAsia="Arial" w:hAnsi="Arial" w:cs="Arial"/>
          <w:b/>
          <w:bCs/>
          <w:i/>
          <w:iCs/>
          <w:sz w:val="24"/>
          <w:szCs w:val="24"/>
        </w:rPr>
        <w:t>SMRT</w:t>
      </w:r>
      <w:r>
        <w:rPr>
          <w:rFonts w:ascii="Arial" w:eastAsia="Arial" w:hAnsi="Arial" w:cs="Arial"/>
          <w:b/>
          <w:bCs/>
          <w:sz w:val="24"/>
          <w:szCs w:val="24"/>
        </w:rPr>
        <w:t xml:space="preserve">: </w:t>
      </w:r>
    </w:p>
    <w:p w14:paraId="211A538D" w14:textId="77777777" w:rsidR="00AD5C9D" w:rsidRDefault="00000000">
      <w:pPr>
        <w:numPr>
          <w:ilvl w:val="0"/>
          <w:numId w:val="3"/>
        </w:numPr>
        <w:spacing w:before="280" w:after="0" w:line="360" w:lineRule="auto"/>
        <w:jc w:val="both"/>
        <w:rPr>
          <w:sz w:val="24"/>
          <w:szCs w:val="24"/>
        </w:rPr>
      </w:pPr>
      <w:r>
        <w:rPr>
          <w:rFonts w:ascii="Arial" w:eastAsia="Arial" w:hAnsi="Arial" w:cs="Arial"/>
          <w:sz w:val="24"/>
          <w:szCs w:val="24"/>
        </w:rPr>
        <w:t xml:space="preserve">Realizar la difusión tanto en español como en purépecha del resumen y puntos resolutivos de la </w:t>
      </w:r>
      <w:r>
        <w:rPr>
          <w:rFonts w:ascii="Arial" w:eastAsia="Arial" w:hAnsi="Arial" w:cs="Arial"/>
          <w:i/>
          <w:iCs/>
          <w:sz w:val="24"/>
          <w:szCs w:val="24"/>
        </w:rPr>
        <w:t>sentencia</w:t>
      </w:r>
      <w:r>
        <w:rPr>
          <w:rFonts w:ascii="Arial" w:eastAsia="Arial" w:hAnsi="Arial" w:cs="Arial"/>
          <w:sz w:val="24"/>
          <w:szCs w:val="24"/>
        </w:rPr>
        <w:t xml:space="preserve"> por un plazo de </w:t>
      </w:r>
      <w:r>
        <w:rPr>
          <w:rFonts w:ascii="Arial" w:eastAsia="Arial" w:hAnsi="Arial" w:cs="Arial"/>
          <w:b/>
          <w:bCs/>
          <w:sz w:val="24"/>
          <w:szCs w:val="24"/>
        </w:rPr>
        <w:t>tres días naturales</w:t>
      </w:r>
      <w:r>
        <w:rPr>
          <w:rFonts w:ascii="Arial" w:eastAsia="Arial" w:hAnsi="Arial" w:cs="Arial"/>
          <w:sz w:val="24"/>
          <w:szCs w:val="24"/>
        </w:rPr>
        <w:t xml:space="preserve"> dentro de la </w:t>
      </w:r>
      <w:r>
        <w:rPr>
          <w:rFonts w:ascii="Arial" w:eastAsia="Arial" w:hAnsi="Arial" w:cs="Arial"/>
          <w:i/>
          <w:iCs/>
          <w:sz w:val="24"/>
          <w:szCs w:val="24"/>
        </w:rPr>
        <w:t>comunidad</w:t>
      </w:r>
      <w:r>
        <w:rPr>
          <w:rFonts w:ascii="Arial" w:eastAsia="Arial" w:hAnsi="Arial" w:cs="Arial"/>
          <w:sz w:val="24"/>
          <w:szCs w:val="24"/>
        </w:rPr>
        <w:t xml:space="preserve">, mediante sus distintas frecuencias de radio con cobertura en esa localidad. </w:t>
      </w:r>
    </w:p>
    <w:p w14:paraId="0A0408F7" w14:textId="77777777" w:rsidR="00AD5C9D" w:rsidRDefault="00000000">
      <w:pPr>
        <w:numPr>
          <w:ilvl w:val="0"/>
          <w:numId w:val="3"/>
        </w:numPr>
        <w:spacing w:after="280" w:line="360" w:lineRule="auto"/>
        <w:jc w:val="both"/>
        <w:rPr>
          <w:sz w:val="24"/>
          <w:szCs w:val="24"/>
        </w:rPr>
      </w:pPr>
      <w:r>
        <w:rPr>
          <w:rFonts w:ascii="Arial" w:eastAsia="Arial" w:hAnsi="Arial" w:cs="Arial"/>
          <w:sz w:val="24"/>
          <w:szCs w:val="24"/>
        </w:rPr>
        <w:t xml:space="preserve">Una vez realizado lo anterior, informar a este </w:t>
      </w:r>
      <w:r>
        <w:rPr>
          <w:rFonts w:ascii="Arial" w:eastAsia="Arial" w:hAnsi="Arial" w:cs="Arial"/>
          <w:i/>
          <w:iCs/>
          <w:sz w:val="24"/>
          <w:szCs w:val="24"/>
        </w:rPr>
        <w:t>órgano jurisdiccional</w:t>
      </w:r>
      <w:r>
        <w:rPr>
          <w:rFonts w:ascii="Arial" w:eastAsia="Arial" w:hAnsi="Arial" w:cs="Arial"/>
          <w:sz w:val="24"/>
          <w:szCs w:val="24"/>
        </w:rPr>
        <w:t xml:space="preserve"> dentro de los </w:t>
      </w:r>
      <w:r>
        <w:rPr>
          <w:rFonts w:ascii="Arial" w:eastAsia="Arial" w:hAnsi="Arial" w:cs="Arial"/>
          <w:b/>
          <w:bCs/>
          <w:sz w:val="24"/>
          <w:szCs w:val="24"/>
        </w:rPr>
        <w:t>tres días hábiles</w:t>
      </w:r>
      <w:r>
        <w:rPr>
          <w:rFonts w:ascii="Arial" w:eastAsia="Arial" w:hAnsi="Arial" w:cs="Arial"/>
          <w:sz w:val="24"/>
          <w:szCs w:val="24"/>
        </w:rPr>
        <w:t xml:space="preserve"> siguientes. </w:t>
      </w:r>
    </w:p>
    <w:p w14:paraId="57D89CCF"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C. Al </w:t>
      </w:r>
      <w:r>
        <w:rPr>
          <w:rFonts w:ascii="Arial" w:eastAsia="Arial" w:hAnsi="Arial" w:cs="Arial"/>
          <w:b/>
          <w:bCs/>
          <w:i/>
          <w:iCs/>
          <w:sz w:val="24"/>
          <w:szCs w:val="24"/>
        </w:rPr>
        <w:t>Ayuntamiento</w:t>
      </w:r>
      <w:r>
        <w:rPr>
          <w:rFonts w:ascii="Arial" w:eastAsia="Arial" w:hAnsi="Arial" w:cs="Arial"/>
          <w:b/>
          <w:bCs/>
          <w:sz w:val="24"/>
          <w:szCs w:val="24"/>
        </w:rPr>
        <w:t>:</w:t>
      </w:r>
    </w:p>
    <w:p w14:paraId="2C048A11" w14:textId="77777777" w:rsidR="00AD5C9D" w:rsidRDefault="00000000">
      <w:pPr>
        <w:spacing w:before="280" w:after="280" w:line="360" w:lineRule="auto"/>
        <w:jc w:val="both"/>
        <w:rPr>
          <w:rFonts w:ascii="Arial" w:eastAsia="Arial" w:hAnsi="Arial" w:cs="Arial"/>
          <w:sz w:val="24"/>
          <w:szCs w:val="24"/>
          <w:u w:val="single"/>
        </w:rPr>
      </w:pPr>
      <w:r>
        <w:rPr>
          <w:rFonts w:ascii="Arial" w:eastAsia="Arial" w:hAnsi="Arial" w:cs="Arial"/>
          <w:sz w:val="24"/>
          <w:szCs w:val="24"/>
          <w:u w:val="single"/>
        </w:rPr>
        <w:t>Difusión</w:t>
      </w:r>
    </w:p>
    <w:p w14:paraId="453171FC" w14:textId="77777777" w:rsidR="00AD5C9D" w:rsidRDefault="00000000">
      <w:pPr>
        <w:numPr>
          <w:ilvl w:val="0"/>
          <w:numId w:val="4"/>
        </w:numPr>
        <w:spacing w:before="280" w:after="0" w:line="360" w:lineRule="auto"/>
        <w:jc w:val="both"/>
        <w:rPr>
          <w:sz w:val="24"/>
          <w:szCs w:val="24"/>
        </w:rPr>
      </w:pPr>
      <w:r>
        <w:rPr>
          <w:rFonts w:ascii="Arial" w:eastAsia="Arial" w:hAnsi="Arial" w:cs="Arial"/>
          <w:sz w:val="24"/>
          <w:szCs w:val="24"/>
        </w:rPr>
        <w:t xml:space="preserve">Realizar la difusión tanto en español como en purépecha del resumen y puntos resolutivos de la </w:t>
      </w:r>
      <w:r>
        <w:rPr>
          <w:rFonts w:ascii="Arial" w:eastAsia="Arial" w:hAnsi="Arial" w:cs="Arial"/>
          <w:i/>
          <w:iCs/>
          <w:sz w:val="24"/>
          <w:szCs w:val="24"/>
        </w:rPr>
        <w:t>sentencia</w:t>
      </w:r>
      <w:r>
        <w:rPr>
          <w:rFonts w:ascii="Arial" w:eastAsia="Arial" w:hAnsi="Arial" w:cs="Arial"/>
          <w:sz w:val="24"/>
          <w:szCs w:val="24"/>
        </w:rPr>
        <w:t xml:space="preserve"> por un plazo de </w:t>
      </w:r>
      <w:r>
        <w:rPr>
          <w:rFonts w:ascii="Arial" w:eastAsia="Arial" w:hAnsi="Arial" w:cs="Arial"/>
          <w:b/>
          <w:bCs/>
          <w:sz w:val="24"/>
          <w:szCs w:val="24"/>
        </w:rPr>
        <w:t>tres días naturales</w:t>
      </w:r>
      <w:r>
        <w:rPr>
          <w:rFonts w:ascii="Arial" w:eastAsia="Arial" w:hAnsi="Arial" w:cs="Arial"/>
          <w:sz w:val="24"/>
          <w:szCs w:val="24"/>
        </w:rPr>
        <w:t xml:space="preserve"> dentro de la </w:t>
      </w:r>
      <w:r>
        <w:rPr>
          <w:rFonts w:ascii="Arial" w:eastAsia="Arial" w:hAnsi="Arial" w:cs="Arial"/>
          <w:i/>
          <w:iCs/>
          <w:sz w:val="24"/>
          <w:szCs w:val="24"/>
        </w:rPr>
        <w:t>comunidad</w:t>
      </w:r>
      <w:r>
        <w:rPr>
          <w:rFonts w:ascii="Arial" w:eastAsia="Arial" w:hAnsi="Arial" w:cs="Arial"/>
          <w:sz w:val="24"/>
          <w:szCs w:val="24"/>
        </w:rPr>
        <w:t>, a través de los medios acostumbrados y reconocidos por sus habitantes, o cualquier otro medio que garantizara la difusión entre sus integrantes.</w:t>
      </w:r>
    </w:p>
    <w:p w14:paraId="14EEB926" w14:textId="77777777" w:rsidR="00AD5C9D" w:rsidRDefault="00000000">
      <w:pPr>
        <w:numPr>
          <w:ilvl w:val="0"/>
          <w:numId w:val="4"/>
        </w:numPr>
        <w:spacing w:after="280" w:line="360" w:lineRule="auto"/>
        <w:jc w:val="both"/>
        <w:rPr>
          <w:sz w:val="24"/>
          <w:szCs w:val="24"/>
        </w:rPr>
      </w:pPr>
      <w:r>
        <w:rPr>
          <w:rFonts w:ascii="Arial" w:eastAsia="Arial" w:hAnsi="Arial" w:cs="Arial"/>
          <w:sz w:val="24"/>
          <w:szCs w:val="24"/>
        </w:rPr>
        <w:t xml:space="preserve">Una vez realizado lo anterior, informar a este </w:t>
      </w:r>
      <w:r>
        <w:rPr>
          <w:rFonts w:ascii="Arial" w:eastAsia="Arial" w:hAnsi="Arial" w:cs="Arial"/>
          <w:i/>
          <w:iCs/>
          <w:sz w:val="24"/>
          <w:szCs w:val="24"/>
        </w:rPr>
        <w:t>órgano jurisdiccional</w:t>
      </w:r>
      <w:r>
        <w:rPr>
          <w:rFonts w:ascii="Arial" w:eastAsia="Arial" w:hAnsi="Arial" w:cs="Arial"/>
          <w:sz w:val="24"/>
          <w:szCs w:val="24"/>
        </w:rPr>
        <w:t xml:space="preserve"> dentro de los </w:t>
      </w:r>
      <w:r>
        <w:rPr>
          <w:rFonts w:ascii="Arial" w:eastAsia="Arial" w:hAnsi="Arial" w:cs="Arial"/>
          <w:b/>
          <w:bCs/>
          <w:sz w:val="24"/>
          <w:szCs w:val="24"/>
        </w:rPr>
        <w:t>tres días hábiles</w:t>
      </w:r>
      <w:r>
        <w:rPr>
          <w:rFonts w:ascii="Arial" w:eastAsia="Arial" w:hAnsi="Arial" w:cs="Arial"/>
          <w:sz w:val="24"/>
          <w:szCs w:val="24"/>
        </w:rPr>
        <w:t xml:space="preserve"> siguientes.</w:t>
      </w:r>
    </w:p>
    <w:p w14:paraId="2541B029" w14:textId="77777777" w:rsidR="00AD5C9D" w:rsidRDefault="00000000">
      <w:pPr>
        <w:spacing w:before="280" w:after="280" w:line="360" w:lineRule="auto"/>
        <w:jc w:val="both"/>
        <w:rPr>
          <w:rFonts w:ascii="Arial" w:eastAsia="Arial" w:hAnsi="Arial" w:cs="Arial"/>
          <w:sz w:val="24"/>
          <w:szCs w:val="24"/>
          <w:u w:val="single"/>
        </w:rPr>
      </w:pPr>
      <w:r>
        <w:rPr>
          <w:rFonts w:ascii="Arial" w:eastAsia="Arial" w:hAnsi="Arial" w:cs="Arial"/>
          <w:sz w:val="24"/>
          <w:szCs w:val="24"/>
          <w:u w:val="single"/>
        </w:rPr>
        <w:t>Celebración de sesión para autorizar la transferencia de recursos</w:t>
      </w:r>
    </w:p>
    <w:p w14:paraId="640FE810" w14:textId="77777777" w:rsidR="00AD5C9D" w:rsidRDefault="00000000">
      <w:pPr>
        <w:numPr>
          <w:ilvl w:val="0"/>
          <w:numId w:val="4"/>
        </w:numPr>
        <w:spacing w:before="280" w:after="280" w:line="360" w:lineRule="auto"/>
        <w:jc w:val="both"/>
        <w:rPr>
          <w:sz w:val="24"/>
          <w:szCs w:val="24"/>
        </w:rPr>
      </w:pPr>
      <w:r>
        <w:rPr>
          <w:rFonts w:ascii="Arial" w:eastAsia="Arial" w:hAnsi="Arial" w:cs="Arial"/>
          <w:sz w:val="24"/>
          <w:szCs w:val="24"/>
        </w:rPr>
        <w:lastRenderedPageBreak/>
        <w:t xml:space="preserve">Dentro del plazo de </w:t>
      </w:r>
      <w:r>
        <w:rPr>
          <w:rFonts w:ascii="Arial" w:eastAsia="Arial" w:hAnsi="Arial" w:cs="Arial"/>
          <w:b/>
          <w:bCs/>
          <w:sz w:val="24"/>
          <w:szCs w:val="24"/>
        </w:rPr>
        <w:t>seis días hábiles</w:t>
      </w:r>
      <w:r>
        <w:rPr>
          <w:rFonts w:ascii="Arial" w:eastAsia="Arial" w:hAnsi="Arial" w:cs="Arial"/>
          <w:sz w:val="24"/>
          <w:szCs w:val="24"/>
        </w:rPr>
        <w:t xml:space="preserve"> posteriores a la notificación de la </w:t>
      </w:r>
      <w:r>
        <w:rPr>
          <w:rFonts w:ascii="Arial" w:eastAsia="Arial" w:hAnsi="Arial" w:cs="Arial"/>
          <w:i/>
          <w:iCs/>
          <w:sz w:val="24"/>
          <w:szCs w:val="24"/>
        </w:rPr>
        <w:t xml:space="preserve">sentencia </w:t>
      </w:r>
      <w:r>
        <w:rPr>
          <w:rFonts w:ascii="Arial" w:eastAsia="Arial" w:hAnsi="Arial" w:cs="Arial"/>
          <w:sz w:val="24"/>
          <w:szCs w:val="24"/>
        </w:rPr>
        <w:t xml:space="preserve">debía celebrar sesión en la que autorizara la transferencia de recursos a la </w:t>
      </w:r>
      <w:r>
        <w:rPr>
          <w:rFonts w:ascii="Arial" w:eastAsia="Arial" w:hAnsi="Arial" w:cs="Arial"/>
          <w:i/>
          <w:iCs/>
          <w:sz w:val="24"/>
          <w:szCs w:val="24"/>
        </w:rPr>
        <w:t>comunidad</w:t>
      </w:r>
      <w:r>
        <w:rPr>
          <w:rFonts w:ascii="Arial" w:eastAsia="Arial" w:hAnsi="Arial" w:cs="Arial"/>
          <w:sz w:val="24"/>
          <w:szCs w:val="24"/>
        </w:rPr>
        <w:t xml:space="preserve"> en los términos aprobados en la consulta de once de enero, en cuya acta que se levantara de esa sesión, se debía cumplir con los siguientes parámetros:</w:t>
      </w:r>
    </w:p>
    <w:p w14:paraId="51469F7A" w14:textId="77777777" w:rsidR="00AD5C9D" w:rsidRDefault="00000000">
      <w:pPr>
        <w:numPr>
          <w:ilvl w:val="0"/>
          <w:numId w:val="1"/>
        </w:numPr>
        <w:spacing w:before="280" w:after="0" w:line="360" w:lineRule="auto"/>
        <w:ind w:left="1210"/>
        <w:jc w:val="both"/>
        <w:rPr>
          <w:rFonts w:ascii="Arial" w:eastAsia="Arial" w:hAnsi="Arial" w:cs="Arial"/>
          <w:i/>
          <w:iCs/>
          <w:sz w:val="24"/>
          <w:szCs w:val="24"/>
        </w:rPr>
      </w:pPr>
      <w:r>
        <w:rPr>
          <w:rFonts w:ascii="Arial" w:eastAsia="Arial" w:hAnsi="Arial" w:cs="Arial"/>
          <w:i/>
          <w:iCs/>
          <w:sz w:val="24"/>
          <w:szCs w:val="24"/>
        </w:rPr>
        <w:t>Autorización dirigida al titular de la Secretaría de Finanzas para realizar la transferencia de recursos que corresponden a la comunidad;</w:t>
      </w:r>
    </w:p>
    <w:p w14:paraId="1D60FA37" w14:textId="77777777" w:rsidR="00AD5C9D" w:rsidRDefault="00000000">
      <w:pPr>
        <w:numPr>
          <w:ilvl w:val="0"/>
          <w:numId w:val="1"/>
        </w:numPr>
        <w:spacing w:after="0" w:line="360" w:lineRule="auto"/>
        <w:ind w:left="1210"/>
        <w:jc w:val="both"/>
        <w:rPr>
          <w:rFonts w:ascii="Arial" w:eastAsia="Arial" w:hAnsi="Arial" w:cs="Arial"/>
          <w:i/>
          <w:iCs/>
          <w:sz w:val="24"/>
          <w:szCs w:val="24"/>
        </w:rPr>
      </w:pPr>
      <w:r>
        <w:rPr>
          <w:rFonts w:ascii="Arial" w:eastAsia="Arial" w:hAnsi="Arial" w:cs="Arial"/>
          <w:i/>
          <w:iCs/>
          <w:sz w:val="24"/>
          <w:szCs w:val="24"/>
        </w:rPr>
        <w:t>Transferencia de funciones y responsabilidades del Ayuntamiento de Tingüindín hacia la comunidad para el ejercicio del presupuesto directo; y,</w:t>
      </w:r>
    </w:p>
    <w:p w14:paraId="2C6BE33A" w14:textId="77777777" w:rsidR="00AD5C9D" w:rsidRDefault="00000000">
      <w:pPr>
        <w:numPr>
          <w:ilvl w:val="0"/>
          <w:numId w:val="1"/>
        </w:numPr>
        <w:spacing w:after="280" w:line="360" w:lineRule="auto"/>
        <w:ind w:left="1210"/>
        <w:jc w:val="both"/>
        <w:rPr>
          <w:rFonts w:ascii="Arial" w:eastAsia="Arial" w:hAnsi="Arial" w:cs="Arial"/>
          <w:i/>
          <w:iCs/>
          <w:sz w:val="24"/>
          <w:szCs w:val="24"/>
        </w:rPr>
      </w:pPr>
      <w:r>
        <w:rPr>
          <w:rFonts w:ascii="Arial" w:eastAsia="Arial" w:hAnsi="Arial" w:cs="Arial"/>
          <w:i/>
          <w:iCs/>
          <w:sz w:val="24"/>
          <w:szCs w:val="24"/>
        </w:rPr>
        <w:t xml:space="preserve">Temporalidad en la cual surtirá efectos la transferencia, vinculada a la próxima ministración de recursos o al momento en que se acredite el cumplimiento de los requisitos fiscales correspondientes. </w:t>
      </w:r>
    </w:p>
    <w:p w14:paraId="41F8FA57"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Posteriormente, una vez aprobada la autorización, dentro del plazo de </w:t>
      </w:r>
      <w:r>
        <w:rPr>
          <w:rFonts w:ascii="Arial" w:eastAsia="Arial" w:hAnsi="Arial" w:cs="Arial"/>
          <w:b/>
          <w:bCs/>
          <w:sz w:val="24"/>
          <w:szCs w:val="24"/>
        </w:rPr>
        <w:t>seis días hábiles</w:t>
      </w:r>
      <w:r>
        <w:rPr>
          <w:rFonts w:ascii="Arial" w:eastAsia="Arial" w:hAnsi="Arial" w:cs="Arial"/>
          <w:sz w:val="24"/>
          <w:szCs w:val="24"/>
        </w:rPr>
        <w:t xml:space="preserve"> siguientes, debía notificar a la </w:t>
      </w:r>
      <w:r>
        <w:rPr>
          <w:rFonts w:ascii="Arial" w:eastAsia="Arial" w:hAnsi="Arial" w:cs="Arial"/>
          <w:i/>
          <w:iCs/>
          <w:sz w:val="24"/>
          <w:szCs w:val="24"/>
        </w:rPr>
        <w:t>Secretaría de Finanzas</w:t>
      </w:r>
      <w:r>
        <w:rPr>
          <w:rFonts w:ascii="Arial" w:eastAsia="Arial" w:hAnsi="Arial" w:cs="Arial"/>
          <w:sz w:val="24"/>
          <w:szCs w:val="24"/>
        </w:rPr>
        <w:t xml:space="preserve"> esa determinación; y, en el plazo de </w:t>
      </w:r>
      <w:r>
        <w:rPr>
          <w:rFonts w:ascii="Arial" w:eastAsia="Arial" w:hAnsi="Arial" w:cs="Arial"/>
          <w:b/>
          <w:bCs/>
          <w:sz w:val="24"/>
          <w:szCs w:val="24"/>
        </w:rPr>
        <w:t>dos días hábiles</w:t>
      </w:r>
      <w:r>
        <w:rPr>
          <w:rFonts w:ascii="Arial" w:eastAsia="Arial" w:hAnsi="Arial" w:cs="Arial"/>
          <w:sz w:val="24"/>
          <w:szCs w:val="24"/>
        </w:rPr>
        <w:t xml:space="preserve"> siguientes, debía remitir a este </w:t>
      </w:r>
      <w:r>
        <w:rPr>
          <w:rFonts w:ascii="Arial" w:eastAsia="Arial" w:hAnsi="Arial" w:cs="Arial"/>
          <w:i/>
          <w:iCs/>
          <w:sz w:val="24"/>
          <w:szCs w:val="24"/>
        </w:rPr>
        <w:t>Tribunal Electoral</w:t>
      </w:r>
      <w:r>
        <w:rPr>
          <w:rFonts w:ascii="Arial" w:eastAsia="Arial" w:hAnsi="Arial" w:cs="Arial"/>
          <w:sz w:val="24"/>
          <w:szCs w:val="24"/>
        </w:rPr>
        <w:t xml:space="preserve"> la documentación con la que se acreditara el cumplimiento a lo ordenado.</w:t>
      </w:r>
    </w:p>
    <w:p w14:paraId="07A8C662" w14:textId="77777777" w:rsidR="00AD5C9D" w:rsidRDefault="00000000">
      <w:pPr>
        <w:numPr>
          <w:ilvl w:val="0"/>
          <w:numId w:val="5"/>
        </w:numPr>
        <w:spacing w:before="280" w:after="280" w:line="360" w:lineRule="auto"/>
        <w:jc w:val="center"/>
        <w:rPr>
          <w:rFonts w:ascii="Arial" w:eastAsia="Arial" w:hAnsi="Arial" w:cs="Arial"/>
          <w:b/>
          <w:bCs/>
          <w:sz w:val="24"/>
          <w:szCs w:val="24"/>
        </w:rPr>
      </w:pPr>
      <w:r>
        <w:rPr>
          <w:rFonts w:ascii="Arial" w:eastAsia="Arial" w:hAnsi="Arial" w:cs="Arial"/>
          <w:b/>
          <w:bCs/>
          <w:sz w:val="24"/>
          <w:szCs w:val="24"/>
        </w:rPr>
        <w:t>Constancias relativas al cumplimiento</w:t>
      </w:r>
    </w:p>
    <w:p w14:paraId="70CF4ADB"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De las constancias que obran en el expediente se advierte que las autoridades vinculadas allegaron diversas constancias relacionadas con el cumplimiento de la </w:t>
      </w:r>
      <w:r>
        <w:rPr>
          <w:rFonts w:ascii="Arial" w:eastAsia="Arial" w:hAnsi="Arial" w:cs="Arial"/>
          <w:i/>
          <w:iCs/>
          <w:sz w:val="24"/>
          <w:szCs w:val="24"/>
        </w:rPr>
        <w:t>sentencia</w:t>
      </w:r>
      <w:r>
        <w:rPr>
          <w:rFonts w:ascii="Arial" w:eastAsia="Arial" w:hAnsi="Arial" w:cs="Arial"/>
          <w:sz w:val="24"/>
          <w:szCs w:val="24"/>
        </w:rPr>
        <w:t xml:space="preserve"> mientras que otras fueron recabadas por esta autoridad, mismas que se precisan a continuación: </w:t>
      </w:r>
    </w:p>
    <w:p w14:paraId="5B77A8AC"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A) Secretaría General de Acuerdos de este </w:t>
      </w:r>
      <w:r>
        <w:rPr>
          <w:rFonts w:ascii="Arial" w:eastAsia="Arial" w:hAnsi="Arial" w:cs="Arial"/>
          <w:b/>
          <w:bCs/>
          <w:i/>
          <w:iCs/>
          <w:sz w:val="24"/>
          <w:szCs w:val="24"/>
        </w:rPr>
        <w:t>Tribunal Electoral</w:t>
      </w:r>
    </w:p>
    <w:p w14:paraId="188EA4BB" w14:textId="77777777" w:rsidR="00AD5C9D" w:rsidRDefault="00000000">
      <w:pPr>
        <w:numPr>
          <w:ilvl w:val="0"/>
          <w:numId w:val="6"/>
        </w:numPr>
        <w:spacing w:before="280" w:after="0" w:line="360" w:lineRule="auto"/>
        <w:ind w:left="723"/>
        <w:jc w:val="both"/>
        <w:rPr>
          <w:rFonts w:ascii="Arial" w:eastAsia="Arial" w:hAnsi="Arial" w:cs="Arial"/>
          <w:sz w:val="24"/>
          <w:szCs w:val="24"/>
        </w:rPr>
      </w:pPr>
      <w:r>
        <w:rPr>
          <w:rFonts w:ascii="Arial" w:eastAsia="Arial" w:hAnsi="Arial" w:cs="Arial"/>
          <w:sz w:val="24"/>
          <w:szCs w:val="24"/>
        </w:rPr>
        <w:t xml:space="preserve">Acuse del oficio TEEM-SGA-1785/2026 de veintiocho de agosto, mediante el cual el </w:t>
      </w:r>
      <w:proofErr w:type="gramStart"/>
      <w:r>
        <w:rPr>
          <w:rFonts w:ascii="Arial" w:eastAsia="Arial" w:hAnsi="Arial" w:cs="Arial"/>
          <w:sz w:val="24"/>
          <w:szCs w:val="24"/>
        </w:rPr>
        <w:t>Secretario General</w:t>
      </w:r>
      <w:proofErr w:type="gramEnd"/>
      <w:r>
        <w:rPr>
          <w:rFonts w:ascii="Arial" w:eastAsia="Arial" w:hAnsi="Arial" w:cs="Arial"/>
          <w:sz w:val="24"/>
          <w:szCs w:val="24"/>
        </w:rPr>
        <w:t xml:space="preserve"> de Acuerdos solicita al Coordinador de Comunicación Social de este </w:t>
      </w:r>
      <w:r>
        <w:rPr>
          <w:rFonts w:ascii="Arial" w:eastAsia="Arial" w:hAnsi="Arial" w:cs="Arial"/>
          <w:i/>
          <w:iCs/>
          <w:sz w:val="24"/>
          <w:szCs w:val="24"/>
        </w:rPr>
        <w:t>órgano jurisdiccional</w:t>
      </w:r>
      <w:r>
        <w:rPr>
          <w:rFonts w:ascii="Arial" w:eastAsia="Arial" w:hAnsi="Arial" w:cs="Arial"/>
          <w:sz w:val="24"/>
          <w:szCs w:val="24"/>
        </w:rPr>
        <w:t xml:space="preserve"> la realización de la grabación del resumen de la </w:t>
      </w:r>
      <w:r>
        <w:rPr>
          <w:rFonts w:ascii="Arial" w:eastAsia="Arial" w:hAnsi="Arial" w:cs="Arial"/>
          <w:i/>
          <w:iCs/>
          <w:sz w:val="24"/>
          <w:szCs w:val="24"/>
        </w:rPr>
        <w:t>sentencia</w:t>
      </w:r>
      <w:r>
        <w:rPr>
          <w:rFonts w:ascii="Arial" w:eastAsia="Arial" w:hAnsi="Arial" w:cs="Arial"/>
          <w:sz w:val="24"/>
          <w:szCs w:val="24"/>
        </w:rPr>
        <w:t xml:space="preserve"> y de los puntos resolutivos para efecto de ordenar su difusión</w:t>
      </w:r>
      <w:r>
        <w:rPr>
          <w:rFonts w:ascii="Arial" w:eastAsia="Arial" w:hAnsi="Arial" w:cs="Arial"/>
          <w:sz w:val="24"/>
          <w:szCs w:val="24"/>
          <w:vertAlign w:val="superscript"/>
        </w:rPr>
        <w:footnoteReference w:id="9"/>
      </w:r>
      <w:r>
        <w:rPr>
          <w:rFonts w:ascii="Arial" w:eastAsia="Arial" w:hAnsi="Arial" w:cs="Arial"/>
          <w:sz w:val="24"/>
          <w:szCs w:val="24"/>
        </w:rPr>
        <w:t xml:space="preserve">. </w:t>
      </w:r>
    </w:p>
    <w:p w14:paraId="33525008" w14:textId="77777777" w:rsidR="00AD5C9D" w:rsidRDefault="00000000">
      <w:pPr>
        <w:numPr>
          <w:ilvl w:val="0"/>
          <w:numId w:val="6"/>
        </w:numPr>
        <w:spacing w:after="0" w:line="360" w:lineRule="auto"/>
        <w:ind w:left="723"/>
        <w:jc w:val="both"/>
        <w:rPr>
          <w:rFonts w:ascii="Arial" w:eastAsia="Arial" w:hAnsi="Arial" w:cs="Arial"/>
          <w:sz w:val="24"/>
          <w:szCs w:val="24"/>
        </w:rPr>
      </w:pPr>
      <w:r>
        <w:rPr>
          <w:rFonts w:ascii="Arial" w:eastAsia="Arial" w:hAnsi="Arial" w:cs="Arial"/>
          <w:sz w:val="24"/>
          <w:szCs w:val="24"/>
        </w:rPr>
        <w:t xml:space="preserve">Acuse del oficio TEEM-SGA-1784/2026 de veintiocho de agosto, a través del cual el </w:t>
      </w:r>
      <w:proofErr w:type="gramStart"/>
      <w:r>
        <w:rPr>
          <w:rFonts w:ascii="Arial" w:eastAsia="Arial" w:hAnsi="Arial" w:cs="Arial"/>
          <w:sz w:val="24"/>
          <w:szCs w:val="24"/>
        </w:rPr>
        <w:t>Secretario General</w:t>
      </w:r>
      <w:proofErr w:type="gramEnd"/>
      <w:r>
        <w:rPr>
          <w:rFonts w:ascii="Arial" w:eastAsia="Arial" w:hAnsi="Arial" w:cs="Arial"/>
          <w:sz w:val="24"/>
          <w:szCs w:val="24"/>
        </w:rPr>
        <w:t xml:space="preserve"> de Acuerdos solicita a un perito certificado en interpretación oral de lengua indígena, realizar la traducción del </w:t>
      </w:r>
      <w:r>
        <w:rPr>
          <w:rFonts w:ascii="Arial" w:eastAsia="Arial" w:hAnsi="Arial" w:cs="Arial"/>
          <w:sz w:val="24"/>
          <w:szCs w:val="24"/>
        </w:rPr>
        <w:lastRenderedPageBreak/>
        <w:t xml:space="preserve">español a la lengua purépecha del resumen de la </w:t>
      </w:r>
      <w:r>
        <w:rPr>
          <w:rFonts w:ascii="Arial" w:eastAsia="Arial" w:hAnsi="Arial" w:cs="Arial"/>
          <w:i/>
          <w:iCs/>
          <w:sz w:val="24"/>
          <w:szCs w:val="24"/>
        </w:rPr>
        <w:t>sentencia</w:t>
      </w:r>
      <w:r>
        <w:rPr>
          <w:rFonts w:ascii="Arial" w:eastAsia="Arial" w:hAnsi="Arial" w:cs="Arial"/>
          <w:sz w:val="24"/>
          <w:szCs w:val="24"/>
        </w:rPr>
        <w:t xml:space="preserve"> y de los puntos resolutivos</w:t>
      </w:r>
      <w:r>
        <w:rPr>
          <w:rFonts w:ascii="Arial" w:eastAsia="Arial" w:hAnsi="Arial" w:cs="Arial"/>
          <w:sz w:val="24"/>
          <w:szCs w:val="24"/>
          <w:vertAlign w:val="superscript"/>
        </w:rPr>
        <w:footnoteReference w:id="10"/>
      </w:r>
      <w:r>
        <w:rPr>
          <w:rFonts w:ascii="Arial" w:eastAsia="Arial" w:hAnsi="Arial" w:cs="Arial"/>
          <w:sz w:val="24"/>
          <w:szCs w:val="24"/>
        </w:rPr>
        <w:t xml:space="preserve">. </w:t>
      </w:r>
    </w:p>
    <w:p w14:paraId="77D52249" w14:textId="77777777" w:rsidR="00AD5C9D" w:rsidRDefault="00000000">
      <w:pPr>
        <w:numPr>
          <w:ilvl w:val="0"/>
          <w:numId w:val="6"/>
        </w:numPr>
        <w:spacing w:after="0" w:line="360" w:lineRule="auto"/>
        <w:ind w:left="723"/>
        <w:jc w:val="both"/>
        <w:rPr>
          <w:rFonts w:ascii="Arial" w:eastAsia="Arial" w:hAnsi="Arial" w:cs="Arial"/>
          <w:sz w:val="24"/>
          <w:szCs w:val="24"/>
        </w:rPr>
      </w:pPr>
      <w:r>
        <w:rPr>
          <w:rFonts w:ascii="Arial" w:eastAsia="Arial" w:hAnsi="Arial" w:cs="Arial"/>
          <w:sz w:val="24"/>
          <w:szCs w:val="24"/>
        </w:rPr>
        <w:t xml:space="preserve">Oficio recibido el treinta y uno de agosto, suscrito por el perito traductor mediante el cual remite la versión física y electrónica de la traducción del resumen de la </w:t>
      </w:r>
      <w:r>
        <w:rPr>
          <w:rFonts w:ascii="Arial" w:eastAsia="Arial" w:hAnsi="Arial" w:cs="Arial"/>
          <w:i/>
          <w:iCs/>
          <w:sz w:val="24"/>
          <w:szCs w:val="24"/>
        </w:rPr>
        <w:t>sentencia</w:t>
      </w:r>
      <w:r>
        <w:rPr>
          <w:rFonts w:ascii="Arial" w:eastAsia="Arial" w:hAnsi="Arial" w:cs="Arial"/>
          <w:sz w:val="24"/>
          <w:szCs w:val="24"/>
        </w:rPr>
        <w:t xml:space="preserve"> y puntos resolutivos</w:t>
      </w:r>
      <w:r>
        <w:rPr>
          <w:rFonts w:ascii="Arial" w:eastAsia="Arial" w:hAnsi="Arial" w:cs="Arial"/>
          <w:sz w:val="24"/>
          <w:szCs w:val="24"/>
          <w:vertAlign w:val="superscript"/>
        </w:rPr>
        <w:footnoteReference w:id="11"/>
      </w:r>
      <w:r>
        <w:rPr>
          <w:rFonts w:ascii="Arial" w:eastAsia="Arial" w:hAnsi="Arial" w:cs="Arial"/>
          <w:sz w:val="24"/>
          <w:szCs w:val="24"/>
        </w:rPr>
        <w:t xml:space="preserve">. </w:t>
      </w:r>
    </w:p>
    <w:p w14:paraId="4691537D" w14:textId="77777777" w:rsidR="00AD5C9D" w:rsidRDefault="00000000">
      <w:pPr>
        <w:numPr>
          <w:ilvl w:val="0"/>
          <w:numId w:val="6"/>
        </w:numPr>
        <w:spacing w:after="0" w:line="360" w:lineRule="auto"/>
        <w:ind w:left="723"/>
        <w:jc w:val="both"/>
        <w:rPr>
          <w:rFonts w:ascii="Arial" w:eastAsia="Arial" w:hAnsi="Arial" w:cs="Arial"/>
          <w:sz w:val="24"/>
          <w:szCs w:val="24"/>
        </w:rPr>
      </w:pPr>
      <w:r>
        <w:rPr>
          <w:rFonts w:ascii="Arial" w:eastAsia="Arial" w:hAnsi="Arial" w:cs="Arial"/>
          <w:sz w:val="24"/>
          <w:szCs w:val="24"/>
        </w:rPr>
        <w:t xml:space="preserve">Impresión del correo electrónico enviado el treinta y uno de agosto, de la cuenta </w:t>
      </w:r>
      <w:hyperlink r:id="rId10">
        <w:r w:rsidR="00AD5C9D">
          <w:rPr>
            <w:rFonts w:ascii="Arial" w:eastAsia="Arial" w:hAnsi="Arial" w:cs="Arial"/>
            <w:color w:val="467886"/>
            <w:sz w:val="24"/>
            <w:szCs w:val="24"/>
            <w:u w:val="single"/>
          </w:rPr>
          <w:t>actuarios@teemcorreo.org.mx</w:t>
        </w:r>
      </w:hyperlink>
      <w:r>
        <w:rPr>
          <w:rFonts w:ascii="Arial" w:eastAsia="Arial" w:hAnsi="Arial" w:cs="Arial"/>
          <w:sz w:val="24"/>
          <w:szCs w:val="24"/>
        </w:rPr>
        <w:t xml:space="preserve"> a la diversa </w:t>
      </w:r>
      <w:hyperlink r:id="rId11">
        <w:r w:rsidR="00AD5C9D">
          <w:rPr>
            <w:rFonts w:ascii="Arial" w:eastAsia="Arial" w:hAnsi="Arial" w:cs="Arial"/>
            <w:color w:val="467886"/>
            <w:sz w:val="24"/>
            <w:szCs w:val="24"/>
            <w:u w:val="single"/>
          </w:rPr>
          <w:t>presidencia.tng@gmail.com</w:t>
        </w:r>
      </w:hyperlink>
      <w:r>
        <w:rPr>
          <w:rFonts w:ascii="Arial" w:eastAsia="Arial" w:hAnsi="Arial" w:cs="Arial"/>
          <w:sz w:val="24"/>
          <w:szCs w:val="24"/>
        </w:rPr>
        <w:t xml:space="preserve">, a través del cual se notifica la </w:t>
      </w:r>
      <w:r>
        <w:rPr>
          <w:rFonts w:ascii="Arial" w:eastAsia="Arial" w:hAnsi="Arial" w:cs="Arial"/>
          <w:i/>
          <w:iCs/>
          <w:sz w:val="24"/>
          <w:szCs w:val="24"/>
        </w:rPr>
        <w:t>sentencia</w:t>
      </w:r>
      <w:r>
        <w:rPr>
          <w:rFonts w:ascii="Arial" w:eastAsia="Arial" w:hAnsi="Arial" w:cs="Arial"/>
          <w:sz w:val="24"/>
          <w:szCs w:val="24"/>
        </w:rPr>
        <w:t xml:space="preserve"> y se envían el resumen oficial y puntos resolutivos de la misma</w:t>
      </w:r>
      <w:r>
        <w:rPr>
          <w:rFonts w:ascii="Arial" w:eastAsia="Arial" w:hAnsi="Arial" w:cs="Arial"/>
          <w:sz w:val="24"/>
          <w:szCs w:val="24"/>
          <w:vertAlign w:val="superscript"/>
        </w:rPr>
        <w:footnoteReference w:id="12"/>
      </w:r>
      <w:r>
        <w:rPr>
          <w:rFonts w:ascii="Arial" w:eastAsia="Arial" w:hAnsi="Arial" w:cs="Arial"/>
          <w:sz w:val="24"/>
          <w:szCs w:val="24"/>
        </w:rPr>
        <w:t xml:space="preserve">. </w:t>
      </w:r>
    </w:p>
    <w:p w14:paraId="503CBDBF" w14:textId="77777777" w:rsidR="00AD5C9D" w:rsidRDefault="00000000">
      <w:pPr>
        <w:numPr>
          <w:ilvl w:val="0"/>
          <w:numId w:val="6"/>
        </w:numPr>
        <w:spacing w:after="280" w:line="360" w:lineRule="auto"/>
        <w:ind w:left="723"/>
        <w:jc w:val="both"/>
        <w:rPr>
          <w:rFonts w:ascii="Arial" w:eastAsia="Arial" w:hAnsi="Arial" w:cs="Arial"/>
          <w:sz w:val="24"/>
          <w:szCs w:val="24"/>
        </w:rPr>
      </w:pPr>
      <w:r>
        <w:rPr>
          <w:rFonts w:ascii="Arial" w:eastAsia="Arial" w:hAnsi="Arial" w:cs="Arial"/>
          <w:sz w:val="24"/>
          <w:szCs w:val="24"/>
        </w:rPr>
        <w:t xml:space="preserve">Acuse del oficio TEEM-SGA-1794/2026 de treinta y uno de agosto, por el cual el </w:t>
      </w:r>
      <w:proofErr w:type="gramStart"/>
      <w:r>
        <w:rPr>
          <w:rFonts w:ascii="Arial" w:eastAsia="Arial" w:hAnsi="Arial" w:cs="Arial"/>
          <w:sz w:val="24"/>
          <w:szCs w:val="24"/>
        </w:rPr>
        <w:t>Secretario General</w:t>
      </w:r>
      <w:proofErr w:type="gramEnd"/>
      <w:r>
        <w:rPr>
          <w:rFonts w:ascii="Arial" w:eastAsia="Arial" w:hAnsi="Arial" w:cs="Arial"/>
          <w:sz w:val="24"/>
          <w:szCs w:val="24"/>
        </w:rPr>
        <w:t xml:space="preserve"> de Acuerdos remite el resumen oficial y puntos resolutivos de la </w:t>
      </w:r>
      <w:r>
        <w:rPr>
          <w:rFonts w:ascii="Arial" w:eastAsia="Arial" w:hAnsi="Arial" w:cs="Arial"/>
          <w:i/>
          <w:iCs/>
          <w:sz w:val="24"/>
          <w:szCs w:val="24"/>
        </w:rPr>
        <w:t>sentencia</w:t>
      </w:r>
      <w:r>
        <w:rPr>
          <w:rFonts w:ascii="Arial" w:eastAsia="Arial" w:hAnsi="Arial" w:cs="Arial"/>
          <w:sz w:val="24"/>
          <w:szCs w:val="24"/>
        </w:rPr>
        <w:t xml:space="preserve">, en español y purépecha, en formato </w:t>
      </w:r>
      <w:proofErr w:type="gramStart"/>
      <w:r>
        <w:rPr>
          <w:rFonts w:ascii="Arial" w:eastAsia="Arial" w:hAnsi="Arial" w:cs="Arial"/>
          <w:sz w:val="24"/>
          <w:szCs w:val="24"/>
        </w:rPr>
        <w:t>impreso</w:t>
      </w:r>
      <w:proofErr w:type="gramEnd"/>
      <w:r>
        <w:rPr>
          <w:rFonts w:ascii="Arial" w:eastAsia="Arial" w:hAnsi="Arial" w:cs="Arial"/>
          <w:sz w:val="24"/>
          <w:szCs w:val="24"/>
        </w:rPr>
        <w:t xml:space="preserve"> así como digital, para su difusión</w:t>
      </w:r>
      <w:r>
        <w:rPr>
          <w:rFonts w:ascii="Arial" w:eastAsia="Arial" w:hAnsi="Arial" w:cs="Arial"/>
          <w:sz w:val="24"/>
          <w:szCs w:val="24"/>
          <w:vertAlign w:val="superscript"/>
        </w:rPr>
        <w:footnoteReference w:id="13"/>
      </w:r>
      <w:r>
        <w:rPr>
          <w:rFonts w:ascii="Arial" w:eastAsia="Arial" w:hAnsi="Arial" w:cs="Arial"/>
          <w:sz w:val="24"/>
          <w:szCs w:val="24"/>
        </w:rPr>
        <w:t xml:space="preserve">. </w:t>
      </w:r>
    </w:p>
    <w:p w14:paraId="45483256"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Medios de prueba a los que se les concede valor probatorio pleno en términos de lo dispuesto en los artículos 16, fracción I; 17, fracción III y 22, fracción II de la </w:t>
      </w:r>
      <w:r>
        <w:rPr>
          <w:rFonts w:ascii="Arial" w:eastAsia="Arial" w:hAnsi="Arial" w:cs="Arial"/>
          <w:i/>
          <w:iCs/>
          <w:sz w:val="24"/>
          <w:szCs w:val="24"/>
        </w:rPr>
        <w:t>Ley de Justicia Electoral</w:t>
      </w:r>
      <w:r>
        <w:rPr>
          <w:rFonts w:ascii="Arial" w:eastAsia="Arial" w:hAnsi="Arial" w:cs="Arial"/>
          <w:sz w:val="24"/>
          <w:szCs w:val="24"/>
        </w:rPr>
        <w:t xml:space="preserve">, al tratarse de documentales públicas expedidas por autoridades en el ámbito de sus atribuciones. </w:t>
      </w:r>
    </w:p>
    <w:p w14:paraId="7DBFE0EF"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B) </w:t>
      </w:r>
      <w:r>
        <w:rPr>
          <w:rFonts w:ascii="Arial" w:eastAsia="Arial" w:hAnsi="Arial" w:cs="Arial"/>
          <w:b/>
          <w:bCs/>
          <w:i/>
          <w:iCs/>
          <w:sz w:val="24"/>
          <w:szCs w:val="24"/>
        </w:rPr>
        <w:t>SMRT</w:t>
      </w:r>
    </w:p>
    <w:p w14:paraId="45252CE8"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Oficio DG-68/2026, de catorce de septiembre, a través del cual el </w:t>
      </w:r>
      <w:proofErr w:type="gramStart"/>
      <w:r>
        <w:rPr>
          <w:rFonts w:ascii="Arial" w:eastAsia="Arial" w:hAnsi="Arial" w:cs="Arial"/>
          <w:sz w:val="24"/>
          <w:szCs w:val="24"/>
        </w:rPr>
        <w:t>Director General</w:t>
      </w:r>
      <w:proofErr w:type="gramEnd"/>
      <w:r>
        <w:rPr>
          <w:rFonts w:ascii="Arial" w:eastAsia="Arial" w:hAnsi="Arial" w:cs="Arial"/>
          <w:sz w:val="24"/>
          <w:szCs w:val="24"/>
        </w:rPr>
        <w:t xml:space="preserve"> del </w:t>
      </w:r>
      <w:r>
        <w:rPr>
          <w:rFonts w:ascii="Arial" w:eastAsia="Arial" w:hAnsi="Arial" w:cs="Arial"/>
          <w:i/>
          <w:iCs/>
          <w:sz w:val="24"/>
          <w:szCs w:val="24"/>
        </w:rPr>
        <w:t>SMRT</w:t>
      </w:r>
      <w:r>
        <w:rPr>
          <w:rFonts w:ascii="Arial" w:eastAsia="Arial" w:hAnsi="Arial" w:cs="Arial"/>
          <w:sz w:val="24"/>
          <w:szCs w:val="24"/>
        </w:rPr>
        <w:t xml:space="preserve"> remite los testigos de la difusión del resumen de la </w:t>
      </w:r>
      <w:r>
        <w:rPr>
          <w:rFonts w:ascii="Arial" w:eastAsia="Arial" w:hAnsi="Arial" w:cs="Arial"/>
          <w:i/>
          <w:iCs/>
          <w:sz w:val="24"/>
          <w:szCs w:val="24"/>
        </w:rPr>
        <w:t>sentencia</w:t>
      </w:r>
      <w:r>
        <w:rPr>
          <w:rFonts w:ascii="Arial" w:eastAsia="Arial" w:hAnsi="Arial" w:cs="Arial"/>
          <w:sz w:val="24"/>
          <w:szCs w:val="24"/>
        </w:rPr>
        <w:t xml:space="preserve"> y puntos resolutivos a través de un código QR</w:t>
      </w:r>
      <w:r>
        <w:rPr>
          <w:rFonts w:ascii="Arial" w:eastAsia="Arial" w:hAnsi="Arial" w:cs="Arial"/>
          <w:sz w:val="24"/>
          <w:szCs w:val="24"/>
          <w:vertAlign w:val="superscript"/>
        </w:rPr>
        <w:t xml:space="preserve"> </w:t>
      </w:r>
      <w:r>
        <w:rPr>
          <w:rFonts w:ascii="Arial" w:eastAsia="Arial" w:hAnsi="Arial" w:cs="Arial"/>
          <w:sz w:val="24"/>
          <w:szCs w:val="24"/>
          <w:vertAlign w:val="superscript"/>
        </w:rPr>
        <w:footnoteReference w:id="14"/>
      </w:r>
      <w:r>
        <w:rPr>
          <w:rFonts w:ascii="Arial" w:eastAsia="Arial" w:hAnsi="Arial" w:cs="Arial"/>
          <w:sz w:val="24"/>
          <w:szCs w:val="24"/>
        </w:rPr>
        <w:t xml:space="preserve">. </w:t>
      </w:r>
    </w:p>
    <w:p w14:paraId="3E389254"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Medio de prueba al cual se le concede valor probatorio pleno en términos de lo dispuesto en los artículos 16, fracción I; 17, fracción III y 22, fracción II de la </w:t>
      </w:r>
      <w:r>
        <w:rPr>
          <w:rFonts w:ascii="Arial" w:eastAsia="Arial" w:hAnsi="Arial" w:cs="Arial"/>
          <w:i/>
          <w:iCs/>
          <w:sz w:val="24"/>
          <w:szCs w:val="24"/>
        </w:rPr>
        <w:t>Ley de Justicia Electoral</w:t>
      </w:r>
      <w:r>
        <w:rPr>
          <w:rFonts w:ascii="Arial" w:eastAsia="Arial" w:hAnsi="Arial" w:cs="Arial"/>
          <w:sz w:val="24"/>
          <w:szCs w:val="24"/>
        </w:rPr>
        <w:t xml:space="preserve">, al tratarse de una documental emitida por una autoridad en el ámbito de sus atribuciones. </w:t>
      </w:r>
    </w:p>
    <w:p w14:paraId="1B527663"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C) </w:t>
      </w:r>
      <w:r>
        <w:rPr>
          <w:rFonts w:ascii="Arial" w:eastAsia="Arial" w:hAnsi="Arial" w:cs="Arial"/>
          <w:b/>
          <w:bCs/>
          <w:i/>
          <w:iCs/>
          <w:sz w:val="24"/>
          <w:szCs w:val="24"/>
        </w:rPr>
        <w:t>Ayuntamiento</w:t>
      </w:r>
    </w:p>
    <w:p w14:paraId="45946D96" w14:textId="77777777" w:rsidR="00AD5C9D" w:rsidRDefault="00000000">
      <w:pPr>
        <w:numPr>
          <w:ilvl w:val="0"/>
          <w:numId w:val="7"/>
        </w:numPr>
        <w:spacing w:before="280" w:after="0" w:line="360" w:lineRule="auto"/>
        <w:ind w:left="723"/>
        <w:jc w:val="both"/>
        <w:rPr>
          <w:rFonts w:ascii="Arial" w:eastAsia="Arial" w:hAnsi="Arial" w:cs="Arial"/>
          <w:sz w:val="24"/>
          <w:szCs w:val="24"/>
        </w:rPr>
      </w:pPr>
      <w:r>
        <w:rPr>
          <w:rFonts w:ascii="Arial" w:eastAsia="Arial" w:hAnsi="Arial" w:cs="Arial"/>
          <w:sz w:val="24"/>
          <w:szCs w:val="24"/>
        </w:rPr>
        <w:t xml:space="preserve">Impresión de un escrito firmado por la </w:t>
      </w:r>
      <w:proofErr w:type="gramStart"/>
      <w:r>
        <w:rPr>
          <w:rFonts w:ascii="Arial" w:eastAsia="Arial" w:hAnsi="Arial" w:cs="Arial"/>
          <w:sz w:val="24"/>
          <w:szCs w:val="24"/>
        </w:rPr>
        <w:t>Presidenta</w:t>
      </w:r>
      <w:proofErr w:type="gramEnd"/>
      <w:r>
        <w:rPr>
          <w:rFonts w:ascii="Arial" w:eastAsia="Arial" w:hAnsi="Arial" w:cs="Arial"/>
          <w:sz w:val="24"/>
          <w:szCs w:val="24"/>
        </w:rPr>
        <w:t xml:space="preserve"> y Síndico, ambos del </w:t>
      </w:r>
      <w:r>
        <w:rPr>
          <w:rFonts w:ascii="Arial" w:eastAsia="Arial" w:hAnsi="Arial" w:cs="Arial"/>
          <w:i/>
          <w:iCs/>
          <w:sz w:val="24"/>
          <w:szCs w:val="24"/>
        </w:rPr>
        <w:t>Ayuntamiento</w:t>
      </w:r>
      <w:r>
        <w:rPr>
          <w:rFonts w:ascii="Arial" w:eastAsia="Arial" w:hAnsi="Arial" w:cs="Arial"/>
          <w:sz w:val="24"/>
          <w:szCs w:val="24"/>
        </w:rPr>
        <w:t xml:space="preserve">, mediante el cual hacen manifestaciones relativas al cumplimiento de la </w:t>
      </w:r>
      <w:r>
        <w:rPr>
          <w:rFonts w:ascii="Arial" w:eastAsia="Arial" w:hAnsi="Arial" w:cs="Arial"/>
          <w:i/>
          <w:iCs/>
          <w:sz w:val="24"/>
          <w:szCs w:val="24"/>
        </w:rPr>
        <w:t>sentencia</w:t>
      </w:r>
      <w:r>
        <w:rPr>
          <w:rFonts w:ascii="Arial" w:eastAsia="Arial" w:hAnsi="Arial" w:cs="Arial"/>
          <w:sz w:val="24"/>
          <w:szCs w:val="24"/>
          <w:vertAlign w:val="superscript"/>
        </w:rPr>
        <w:footnoteReference w:id="15"/>
      </w:r>
      <w:r>
        <w:rPr>
          <w:rFonts w:ascii="Arial" w:eastAsia="Arial" w:hAnsi="Arial" w:cs="Arial"/>
          <w:sz w:val="24"/>
          <w:szCs w:val="24"/>
        </w:rPr>
        <w:t xml:space="preserve">. </w:t>
      </w:r>
    </w:p>
    <w:p w14:paraId="6A3CE11E" w14:textId="77777777" w:rsidR="00AD5C9D" w:rsidRDefault="00000000">
      <w:pPr>
        <w:numPr>
          <w:ilvl w:val="0"/>
          <w:numId w:val="7"/>
        </w:numPr>
        <w:spacing w:after="0" w:line="360" w:lineRule="auto"/>
        <w:ind w:left="723"/>
        <w:jc w:val="both"/>
        <w:rPr>
          <w:rFonts w:ascii="Arial" w:eastAsia="Arial" w:hAnsi="Arial" w:cs="Arial"/>
          <w:sz w:val="24"/>
          <w:szCs w:val="24"/>
        </w:rPr>
      </w:pPr>
      <w:r>
        <w:rPr>
          <w:rFonts w:ascii="Arial" w:eastAsia="Arial" w:hAnsi="Arial" w:cs="Arial"/>
          <w:sz w:val="24"/>
          <w:szCs w:val="24"/>
        </w:rPr>
        <w:lastRenderedPageBreak/>
        <w:t xml:space="preserve">Impresión de un escrito recibido vía correo electrónico, firmado por la </w:t>
      </w:r>
      <w:proofErr w:type="gramStart"/>
      <w:r>
        <w:rPr>
          <w:rFonts w:ascii="Arial" w:eastAsia="Arial" w:hAnsi="Arial" w:cs="Arial"/>
          <w:sz w:val="24"/>
          <w:szCs w:val="24"/>
        </w:rPr>
        <w:t>Presidenta</w:t>
      </w:r>
      <w:proofErr w:type="gramEnd"/>
      <w:r>
        <w:rPr>
          <w:rFonts w:ascii="Arial" w:eastAsia="Arial" w:hAnsi="Arial" w:cs="Arial"/>
          <w:sz w:val="24"/>
          <w:szCs w:val="24"/>
        </w:rPr>
        <w:t xml:space="preserve"> y el Síndico Municipal del </w:t>
      </w:r>
      <w:r>
        <w:rPr>
          <w:rFonts w:ascii="Arial" w:eastAsia="Arial" w:hAnsi="Arial" w:cs="Arial"/>
          <w:i/>
          <w:iCs/>
          <w:sz w:val="24"/>
          <w:szCs w:val="24"/>
        </w:rPr>
        <w:t>Ayuntamiento</w:t>
      </w:r>
      <w:r>
        <w:rPr>
          <w:rFonts w:ascii="Arial" w:eastAsia="Arial" w:hAnsi="Arial" w:cs="Arial"/>
          <w:sz w:val="24"/>
          <w:szCs w:val="24"/>
          <w:vertAlign w:val="superscript"/>
        </w:rPr>
        <w:footnoteReference w:id="16"/>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 xml:space="preserve">a través del cual hacen manifestaciones relacionadas con la difusión del resumen de la </w:t>
      </w:r>
      <w:r>
        <w:rPr>
          <w:rFonts w:ascii="Arial" w:eastAsia="Arial" w:hAnsi="Arial" w:cs="Arial"/>
          <w:i/>
          <w:iCs/>
          <w:sz w:val="24"/>
          <w:szCs w:val="24"/>
        </w:rPr>
        <w:t>sentencia</w:t>
      </w:r>
      <w:r>
        <w:rPr>
          <w:rFonts w:ascii="Arial" w:eastAsia="Arial" w:hAnsi="Arial" w:cs="Arial"/>
          <w:sz w:val="24"/>
          <w:szCs w:val="24"/>
        </w:rPr>
        <w:t xml:space="preserve">, y adjuntan evidencias consistentes en certificaciones levantadas por el </w:t>
      </w:r>
      <w:proofErr w:type="gramStart"/>
      <w:r>
        <w:rPr>
          <w:rFonts w:ascii="Arial" w:eastAsia="Arial" w:hAnsi="Arial" w:cs="Arial"/>
          <w:sz w:val="24"/>
          <w:szCs w:val="24"/>
        </w:rPr>
        <w:t>Secretario</w:t>
      </w:r>
      <w:proofErr w:type="gramEnd"/>
      <w:r>
        <w:rPr>
          <w:rFonts w:ascii="Arial" w:eastAsia="Arial" w:hAnsi="Arial" w:cs="Arial"/>
          <w:sz w:val="24"/>
          <w:szCs w:val="24"/>
        </w:rPr>
        <w:t xml:space="preserve"> del </w:t>
      </w:r>
      <w:r>
        <w:rPr>
          <w:rFonts w:ascii="Arial" w:eastAsia="Arial" w:hAnsi="Arial" w:cs="Arial"/>
          <w:i/>
          <w:iCs/>
          <w:sz w:val="24"/>
          <w:szCs w:val="24"/>
        </w:rPr>
        <w:t>Ayuntamiento</w:t>
      </w:r>
      <w:r>
        <w:rPr>
          <w:rFonts w:ascii="Arial" w:eastAsia="Arial" w:hAnsi="Arial" w:cs="Arial"/>
          <w:sz w:val="24"/>
          <w:szCs w:val="24"/>
        </w:rPr>
        <w:t xml:space="preserve">, las cuales constan de: </w:t>
      </w:r>
    </w:p>
    <w:p w14:paraId="3C951CA2" w14:textId="77777777" w:rsidR="00AD5C9D" w:rsidRDefault="00000000">
      <w:pPr>
        <w:numPr>
          <w:ilvl w:val="1"/>
          <w:numId w:val="7"/>
        </w:numPr>
        <w:spacing w:after="0" w:line="360" w:lineRule="auto"/>
        <w:ind w:left="1210"/>
        <w:jc w:val="both"/>
        <w:rPr>
          <w:rFonts w:ascii="Arial" w:eastAsia="Arial" w:hAnsi="Arial" w:cs="Arial"/>
          <w:sz w:val="24"/>
          <w:szCs w:val="24"/>
        </w:rPr>
      </w:pPr>
      <w:r>
        <w:rPr>
          <w:rFonts w:ascii="Arial" w:eastAsia="Arial" w:hAnsi="Arial" w:cs="Arial"/>
          <w:sz w:val="24"/>
          <w:szCs w:val="24"/>
        </w:rPr>
        <w:t xml:space="preserve">Captura de pantalla de una publicación hecha en un perfil de red social, denominado </w:t>
      </w:r>
      <w:r>
        <w:rPr>
          <w:rFonts w:ascii="Arial" w:eastAsia="Arial" w:hAnsi="Arial" w:cs="Arial"/>
          <w:i/>
          <w:iCs/>
          <w:sz w:val="24"/>
          <w:szCs w:val="24"/>
        </w:rPr>
        <w:t>El pulso de La Noticia</w:t>
      </w:r>
      <w:r>
        <w:rPr>
          <w:rFonts w:ascii="Arial" w:eastAsia="Arial" w:hAnsi="Arial" w:cs="Arial"/>
          <w:sz w:val="24"/>
          <w:szCs w:val="24"/>
          <w:vertAlign w:val="superscript"/>
        </w:rPr>
        <w:footnoteReference w:id="17"/>
      </w:r>
      <w:r>
        <w:rPr>
          <w:rFonts w:ascii="Arial" w:eastAsia="Arial" w:hAnsi="Arial" w:cs="Arial"/>
          <w:sz w:val="24"/>
          <w:szCs w:val="24"/>
        </w:rPr>
        <w:t xml:space="preserve">; </w:t>
      </w:r>
    </w:p>
    <w:p w14:paraId="3F78396F" w14:textId="77777777" w:rsidR="00AD5C9D" w:rsidRDefault="00000000">
      <w:pPr>
        <w:numPr>
          <w:ilvl w:val="1"/>
          <w:numId w:val="7"/>
        </w:numPr>
        <w:spacing w:after="0" w:line="360" w:lineRule="auto"/>
        <w:ind w:left="1210"/>
        <w:jc w:val="both"/>
        <w:rPr>
          <w:rFonts w:ascii="Arial" w:eastAsia="Arial" w:hAnsi="Arial" w:cs="Arial"/>
          <w:sz w:val="24"/>
          <w:szCs w:val="24"/>
        </w:rPr>
      </w:pPr>
      <w:r>
        <w:rPr>
          <w:rFonts w:ascii="Arial" w:eastAsia="Arial" w:hAnsi="Arial" w:cs="Arial"/>
          <w:sz w:val="24"/>
          <w:szCs w:val="24"/>
        </w:rPr>
        <w:t xml:space="preserve">Captura de pantalla de una publicación hecha en un perfil de red social, denominado </w:t>
      </w:r>
      <w:r>
        <w:rPr>
          <w:rFonts w:ascii="Arial" w:eastAsia="Arial" w:hAnsi="Arial" w:cs="Arial"/>
          <w:i/>
          <w:iCs/>
          <w:sz w:val="24"/>
          <w:szCs w:val="24"/>
        </w:rPr>
        <w:t>notiguia.com.mx</w:t>
      </w:r>
      <w:r>
        <w:rPr>
          <w:rFonts w:ascii="Arial" w:eastAsia="Arial" w:hAnsi="Arial" w:cs="Arial"/>
          <w:i/>
          <w:iCs/>
          <w:sz w:val="24"/>
          <w:szCs w:val="24"/>
          <w:vertAlign w:val="superscript"/>
        </w:rPr>
        <w:footnoteReference w:id="18"/>
      </w:r>
      <w:r>
        <w:rPr>
          <w:rFonts w:ascii="Arial" w:eastAsia="Arial" w:hAnsi="Arial" w:cs="Arial"/>
          <w:sz w:val="24"/>
          <w:szCs w:val="24"/>
        </w:rPr>
        <w:t>;</w:t>
      </w:r>
    </w:p>
    <w:p w14:paraId="02403537" w14:textId="77777777" w:rsidR="00AD5C9D" w:rsidRDefault="00000000">
      <w:pPr>
        <w:numPr>
          <w:ilvl w:val="1"/>
          <w:numId w:val="7"/>
        </w:numPr>
        <w:spacing w:after="0" w:line="360" w:lineRule="auto"/>
        <w:ind w:left="1210"/>
        <w:jc w:val="both"/>
        <w:rPr>
          <w:rFonts w:ascii="Arial" w:eastAsia="Arial" w:hAnsi="Arial" w:cs="Arial"/>
          <w:sz w:val="24"/>
          <w:szCs w:val="24"/>
        </w:rPr>
      </w:pPr>
      <w:r>
        <w:rPr>
          <w:rFonts w:ascii="Arial" w:eastAsia="Arial" w:hAnsi="Arial" w:cs="Arial"/>
          <w:sz w:val="24"/>
          <w:szCs w:val="24"/>
        </w:rPr>
        <w:t xml:space="preserve">Captura de pantalla de una publicación hecha en un perfil de red social, denominado </w:t>
      </w:r>
      <w:r>
        <w:rPr>
          <w:rFonts w:ascii="Arial" w:eastAsia="Arial" w:hAnsi="Arial" w:cs="Arial"/>
          <w:i/>
          <w:iCs/>
          <w:sz w:val="24"/>
          <w:szCs w:val="24"/>
        </w:rPr>
        <w:t>Cucara Macara</w:t>
      </w:r>
      <w:r>
        <w:rPr>
          <w:rFonts w:ascii="Arial" w:eastAsia="Arial" w:hAnsi="Arial" w:cs="Arial"/>
          <w:i/>
          <w:iCs/>
          <w:sz w:val="24"/>
          <w:szCs w:val="24"/>
          <w:vertAlign w:val="superscript"/>
        </w:rPr>
        <w:footnoteReference w:id="19"/>
      </w:r>
      <w:r>
        <w:rPr>
          <w:rFonts w:ascii="Arial" w:eastAsia="Arial" w:hAnsi="Arial" w:cs="Arial"/>
          <w:sz w:val="24"/>
          <w:szCs w:val="24"/>
        </w:rPr>
        <w:t xml:space="preserve">; </w:t>
      </w:r>
    </w:p>
    <w:p w14:paraId="744622F1" w14:textId="77777777" w:rsidR="00AD5C9D" w:rsidRDefault="00000000">
      <w:pPr>
        <w:numPr>
          <w:ilvl w:val="1"/>
          <w:numId w:val="7"/>
        </w:numPr>
        <w:spacing w:after="0" w:line="360" w:lineRule="auto"/>
        <w:ind w:left="1210"/>
        <w:jc w:val="both"/>
        <w:rPr>
          <w:rFonts w:ascii="Arial" w:eastAsia="Arial" w:hAnsi="Arial" w:cs="Arial"/>
          <w:sz w:val="24"/>
          <w:szCs w:val="24"/>
        </w:rPr>
      </w:pPr>
      <w:r>
        <w:rPr>
          <w:rFonts w:ascii="Arial" w:eastAsia="Arial" w:hAnsi="Arial" w:cs="Arial"/>
          <w:sz w:val="24"/>
          <w:szCs w:val="24"/>
        </w:rPr>
        <w:t xml:space="preserve">Captura de pantalla de una publicación hecha en un perfil de red social, denominado </w:t>
      </w:r>
      <w:r>
        <w:rPr>
          <w:rFonts w:ascii="Arial" w:eastAsia="Arial" w:hAnsi="Arial" w:cs="Arial"/>
          <w:i/>
          <w:iCs/>
          <w:sz w:val="24"/>
          <w:szCs w:val="24"/>
        </w:rPr>
        <w:t>El pulso de La Noticia</w:t>
      </w:r>
      <w:r>
        <w:rPr>
          <w:rFonts w:ascii="Arial" w:eastAsia="Arial" w:hAnsi="Arial" w:cs="Arial"/>
          <w:i/>
          <w:iCs/>
          <w:sz w:val="24"/>
          <w:szCs w:val="24"/>
          <w:vertAlign w:val="superscript"/>
        </w:rPr>
        <w:footnoteReference w:id="20"/>
      </w:r>
      <w:r>
        <w:rPr>
          <w:rFonts w:ascii="Arial" w:eastAsia="Arial" w:hAnsi="Arial" w:cs="Arial"/>
          <w:sz w:val="24"/>
          <w:szCs w:val="24"/>
        </w:rPr>
        <w:t>;</w:t>
      </w:r>
    </w:p>
    <w:p w14:paraId="41B77EF3" w14:textId="77777777" w:rsidR="00AD5C9D" w:rsidRDefault="00000000">
      <w:pPr>
        <w:numPr>
          <w:ilvl w:val="1"/>
          <w:numId w:val="7"/>
        </w:numPr>
        <w:spacing w:after="0" w:line="360" w:lineRule="auto"/>
        <w:ind w:left="1210"/>
        <w:jc w:val="both"/>
        <w:rPr>
          <w:rFonts w:ascii="Arial" w:eastAsia="Arial" w:hAnsi="Arial" w:cs="Arial"/>
          <w:sz w:val="24"/>
          <w:szCs w:val="24"/>
        </w:rPr>
      </w:pPr>
      <w:r>
        <w:rPr>
          <w:rFonts w:ascii="Arial" w:eastAsia="Arial" w:hAnsi="Arial" w:cs="Arial"/>
          <w:sz w:val="24"/>
          <w:szCs w:val="24"/>
        </w:rPr>
        <w:t xml:space="preserve">Captura de pantalla de una publicación hecha en un perfil de red social, denominado </w:t>
      </w:r>
      <w:r>
        <w:rPr>
          <w:rFonts w:ascii="Arial" w:eastAsia="Arial" w:hAnsi="Arial" w:cs="Arial"/>
          <w:i/>
          <w:iCs/>
          <w:sz w:val="24"/>
          <w:szCs w:val="24"/>
        </w:rPr>
        <w:t xml:space="preserve">Ayuntamiento </w:t>
      </w:r>
      <w:proofErr w:type="spellStart"/>
      <w:r>
        <w:rPr>
          <w:rFonts w:ascii="Arial" w:eastAsia="Arial" w:hAnsi="Arial" w:cs="Arial"/>
          <w:i/>
          <w:iCs/>
          <w:sz w:val="24"/>
          <w:szCs w:val="24"/>
        </w:rPr>
        <w:t>Tinguindín</w:t>
      </w:r>
      <w:proofErr w:type="spellEnd"/>
      <w:r>
        <w:rPr>
          <w:rFonts w:ascii="Arial" w:eastAsia="Arial" w:hAnsi="Arial" w:cs="Arial"/>
          <w:i/>
          <w:iCs/>
          <w:sz w:val="24"/>
          <w:szCs w:val="24"/>
        </w:rPr>
        <w:t xml:space="preserve"> 2024-2027</w:t>
      </w:r>
      <w:r>
        <w:rPr>
          <w:rFonts w:ascii="Arial" w:eastAsia="Arial" w:hAnsi="Arial" w:cs="Arial"/>
          <w:i/>
          <w:iCs/>
          <w:sz w:val="24"/>
          <w:szCs w:val="24"/>
          <w:vertAlign w:val="superscript"/>
        </w:rPr>
        <w:footnoteReference w:id="21"/>
      </w:r>
      <w:r>
        <w:rPr>
          <w:rFonts w:ascii="Arial" w:eastAsia="Arial" w:hAnsi="Arial" w:cs="Arial"/>
          <w:sz w:val="24"/>
          <w:szCs w:val="24"/>
        </w:rPr>
        <w:t xml:space="preserve">; </w:t>
      </w:r>
    </w:p>
    <w:p w14:paraId="378E0360" w14:textId="77777777" w:rsidR="00AD5C9D" w:rsidRDefault="00000000">
      <w:pPr>
        <w:numPr>
          <w:ilvl w:val="1"/>
          <w:numId w:val="7"/>
        </w:numPr>
        <w:spacing w:after="0" w:line="360" w:lineRule="auto"/>
        <w:ind w:left="1210"/>
        <w:jc w:val="both"/>
        <w:rPr>
          <w:rFonts w:ascii="Arial" w:eastAsia="Arial" w:hAnsi="Arial" w:cs="Arial"/>
          <w:sz w:val="24"/>
          <w:szCs w:val="24"/>
        </w:rPr>
      </w:pPr>
      <w:r>
        <w:rPr>
          <w:rFonts w:ascii="Arial" w:eastAsia="Arial" w:hAnsi="Arial" w:cs="Arial"/>
          <w:sz w:val="24"/>
          <w:szCs w:val="24"/>
        </w:rPr>
        <w:t xml:space="preserve">Fotografías sobre la difusión de la </w:t>
      </w:r>
      <w:r>
        <w:rPr>
          <w:rFonts w:ascii="Arial" w:eastAsia="Arial" w:hAnsi="Arial" w:cs="Arial"/>
          <w:i/>
          <w:iCs/>
          <w:sz w:val="24"/>
          <w:szCs w:val="24"/>
        </w:rPr>
        <w:t>sentencia</w:t>
      </w:r>
      <w:r>
        <w:rPr>
          <w:rFonts w:ascii="Arial" w:eastAsia="Arial" w:hAnsi="Arial" w:cs="Arial"/>
          <w:sz w:val="24"/>
          <w:szCs w:val="24"/>
          <w:vertAlign w:val="superscript"/>
        </w:rPr>
        <w:footnoteReference w:id="22"/>
      </w:r>
      <w:r>
        <w:rPr>
          <w:rFonts w:ascii="Arial" w:eastAsia="Arial" w:hAnsi="Arial" w:cs="Arial"/>
          <w:sz w:val="24"/>
          <w:szCs w:val="24"/>
        </w:rPr>
        <w:t xml:space="preserve">. </w:t>
      </w:r>
    </w:p>
    <w:p w14:paraId="5E243E35" w14:textId="77777777" w:rsidR="00AD5C9D" w:rsidRDefault="00000000">
      <w:pPr>
        <w:numPr>
          <w:ilvl w:val="0"/>
          <w:numId w:val="7"/>
        </w:numPr>
        <w:pBdr>
          <w:top w:val="nil"/>
          <w:left w:val="nil"/>
          <w:bottom w:val="nil"/>
          <w:right w:val="nil"/>
          <w:between w:val="nil"/>
        </w:pBdr>
        <w:spacing w:after="0" w:line="360" w:lineRule="auto"/>
        <w:ind w:left="723"/>
        <w:jc w:val="both"/>
        <w:rPr>
          <w:rFonts w:ascii="Arial" w:eastAsia="Arial" w:hAnsi="Arial" w:cs="Arial"/>
          <w:color w:val="000000"/>
          <w:sz w:val="24"/>
          <w:szCs w:val="24"/>
        </w:rPr>
      </w:pPr>
      <w:r>
        <w:rPr>
          <w:rFonts w:ascii="Arial" w:eastAsia="Arial" w:hAnsi="Arial" w:cs="Arial"/>
          <w:color w:val="000000"/>
          <w:sz w:val="24"/>
          <w:szCs w:val="24"/>
        </w:rPr>
        <w:t xml:space="preserve">Escrito signado por la </w:t>
      </w:r>
      <w:proofErr w:type="gramStart"/>
      <w:r>
        <w:rPr>
          <w:rFonts w:ascii="Arial" w:eastAsia="Arial" w:hAnsi="Arial" w:cs="Arial"/>
          <w:color w:val="000000"/>
          <w:sz w:val="24"/>
          <w:szCs w:val="24"/>
        </w:rPr>
        <w:t>Presidenta</w:t>
      </w:r>
      <w:proofErr w:type="gramEnd"/>
      <w:r>
        <w:rPr>
          <w:rFonts w:ascii="Arial" w:eastAsia="Arial" w:hAnsi="Arial" w:cs="Arial"/>
          <w:color w:val="000000"/>
          <w:sz w:val="24"/>
          <w:szCs w:val="24"/>
        </w:rPr>
        <w:t xml:space="preserve"> y el Síndico Municipal, a través del cual remiten la siguiente documentación</w:t>
      </w:r>
      <w:r>
        <w:rPr>
          <w:rFonts w:ascii="Arial" w:eastAsia="Arial" w:hAnsi="Arial" w:cs="Arial"/>
          <w:color w:val="000000"/>
          <w:sz w:val="24"/>
          <w:szCs w:val="24"/>
          <w:vertAlign w:val="superscript"/>
        </w:rPr>
        <w:footnoteReference w:id="23"/>
      </w:r>
      <w:r>
        <w:rPr>
          <w:rFonts w:ascii="Arial" w:eastAsia="Arial" w:hAnsi="Arial" w:cs="Arial"/>
          <w:color w:val="000000"/>
          <w:sz w:val="24"/>
          <w:szCs w:val="24"/>
        </w:rPr>
        <w:t>:</w:t>
      </w:r>
    </w:p>
    <w:p w14:paraId="2F736A45" w14:textId="77777777" w:rsidR="00AD5C9D" w:rsidRDefault="00AD5C9D">
      <w:pPr>
        <w:pBdr>
          <w:top w:val="nil"/>
          <w:left w:val="nil"/>
          <w:bottom w:val="nil"/>
          <w:right w:val="nil"/>
          <w:between w:val="nil"/>
        </w:pBdr>
        <w:spacing w:after="0" w:line="360" w:lineRule="auto"/>
        <w:ind w:left="1068"/>
        <w:jc w:val="both"/>
        <w:rPr>
          <w:rFonts w:ascii="Arial" w:eastAsia="Arial" w:hAnsi="Arial" w:cs="Arial"/>
          <w:color w:val="000000"/>
          <w:sz w:val="24"/>
          <w:szCs w:val="24"/>
        </w:rPr>
      </w:pPr>
    </w:p>
    <w:p w14:paraId="79C0ABEF" w14:textId="77777777" w:rsidR="00AD5C9D" w:rsidRDefault="00000000">
      <w:pPr>
        <w:numPr>
          <w:ilvl w:val="1"/>
          <w:numId w:val="7"/>
        </w:numPr>
        <w:pBdr>
          <w:top w:val="nil"/>
          <w:left w:val="nil"/>
          <w:bottom w:val="nil"/>
          <w:right w:val="nil"/>
          <w:between w:val="nil"/>
        </w:pBdr>
        <w:spacing w:after="0" w:line="360" w:lineRule="auto"/>
        <w:ind w:left="1210"/>
        <w:jc w:val="both"/>
        <w:rPr>
          <w:rFonts w:ascii="Arial" w:eastAsia="Arial" w:hAnsi="Arial" w:cs="Arial"/>
          <w:color w:val="000000"/>
          <w:sz w:val="24"/>
          <w:szCs w:val="24"/>
        </w:rPr>
      </w:pPr>
      <w:r>
        <w:rPr>
          <w:rFonts w:ascii="Arial" w:eastAsia="Arial" w:hAnsi="Arial" w:cs="Arial"/>
          <w:color w:val="000000"/>
          <w:sz w:val="24"/>
          <w:szCs w:val="24"/>
        </w:rPr>
        <w:t xml:space="preserve">Acta de la septuagésima sesión del </w:t>
      </w:r>
      <w:r>
        <w:rPr>
          <w:rFonts w:ascii="Arial" w:eastAsia="Arial" w:hAnsi="Arial" w:cs="Arial"/>
          <w:i/>
          <w:iCs/>
          <w:color w:val="000000"/>
          <w:sz w:val="24"/>
          <w:szCs w:val="24"/>
        </w:rPr>
        <w:t xml:space="preserve">Ayuntamiento, </w:t>
      </w:r>
      <w:r>
        <w:rPr>
          <w:rFonts w:ascii="Arial" w:eastAsia="Arial" w:hAnsi="Arial" w:cs="Arial"/>
          <w:color w:val="000000"/>
          <w:sz w:val="24"/>
          <w:szCs w:val="24"/>
        </w:rPr>
        <w:t>celebrada el veintinueve de septiembre, en la que, en esencia, se determinó que la transferencia de recursos se realizaría hasta enero de dos mil veintisiete</w:t>
      </w:r>
      <w:r>
        <w:rPr>
          <w:rFonts w:ascii="Arial" w:eastAsia="Arial" w:hAnsi="Arial" w:cs="Arial"/>
          <w:color w:val="000000"/>
          <w:sz w:val="24"/>
          <w:szCs w:val="24"/>
          <w:vertAlign w:val="superscript"/>
        </w:rPr>
        <w:footnoteReference w:id="24"/>
      </w:r>
      <w:r>
        <w:rPr>
          <w:rFonts w:ascii="Arial" w:eastAsia="Arial" w:hAnsi="Arial" w:cs="Arial"/>
          <w:color w:val="000000"/>
          <w:sz w:val="24"/>
          <w:szCs w:val="24"/>
        </w:rPr>
        <w:t>;</w:t>
      </w:r>
    </w:p>
    <w:p w14:paraId="6F90EBFA" w14:textId="77777777" w:rsidR="00AD5C9D" w:rsidRDefault="00000000">
      <w:pPr>
        <w:numPr>
          <w:ilvl w:val="1"/>
          <w:numId w:val="7"/>
        </w:numPr>
        <w:pBdr>
          <w:top w:val="nil"/>
          <w:left w:val="nil"/>
          <w:bottom w:val="nil"/>
          <w:right w:val="nil"/>
          <w:between w:val="nil"/>
        </w:pBdr>
        <w:spacing w:after="0" w:line="360" w:lineRule="auto"/>
        <w:ind w:left="1210"/>
        <w:jc w:val="both"/>
        <w:rPr>
          <w:rFonts w:ascii="Arial" w:eastAsia="Arial" w:hAnsi="Arial" w:cs="Arial"/>
          <w:color w:val="000000"/>
          <w:sz w:val="24"/>
          <w:szCs w:val="24"/>
        </w:rPr>
      </w:pPr>
      <w:r>
        <w:rPr>
          <w:rFonts w:ascii="Arial" w:eastAsia="Arial" w:hAnsi="Arial" w:cs="Arial"/>
          <w:color w:val="000000"/>
          <w:sz w:val="24"/>
          <w:szCs w:val="24"/>
        </w:rPr>
        <w:t xml:space="preserve">Escrito signado por la </w:t>
      </w:r>
      <w:proofErr w:type="gramStart"/>
      <w:r>
        <w:rPr>
          <w:rFonts w:ascii="Arial" w:eastAsia="Arial" w:hAnsi="Arial" w:cs="Arial"/>
          <w:color w:val="000000"/>
          <w:sz w:val="24"/>
          <w:szCs w:val="24"/>
        </w:rPr>
        <w:t>Presidenta</w:t>
      </w:r>
      <w:proofErr w:type="gramEnd"/>
      <w:r>
        <w:rPr>
          <w:rFonts w:ascii="Arial" w:eastAsia="Arial" w:hAnsi="Arial" w:cs="Arial"/>
          <w:color w:val="000000"/>
          <w:sz w:val="24"/>
          <w:szCs w:val="24"/>
        </w:rPr>
        <w:t xml:space="preserve"> y el Síndico Municipal, y dirigido a la </w:t>
      </w:r>
      <w:r>
        <w:rPr>
          <w:rFonts w:ascii="Arial" w:eastAsia="Arial" w:hAnsi="Arial" w:cs="Arial"/>
          <w:i/>
          <w:iCs/>
          <w:color w:val="000000"/>
          <w:sz w:val="24"/>
          <w:szCs w:val="24"/>
        </w:rPr>
        <w:t xml:space="preserve">Secretaría de Finanzas, </w:t>
      </w:r>
      <w:r>
        <w:rPr>
          <w:rFonts w:ascii="Arial" w:eastAsia="Arial" w:hAnsi="Arial" w:cs="Arial"/>
          <w:color w:val="000000"/>
          <w:sz w:val="24"/>
          <w:szCs w:val="24"/>
        </w:rPr>
        <w:t>por el que se le hace del conocimiento lo aprobado en la mencionada sesión de veintinueve de septiembre</w:t>
      </w:r>
      <w:r>
        <w:rPr>
          <w:rFonts w:ascii="Arial" w:eastAsia="Arial" w:hAnsi="Arial" w:cs="Arial"/>
          <w:color w:val="000000"/>
          <w:sz w:val="24"/>
          <w:szCs w:val="24"/>
          <w:vertAlign w:val="superscript"/>
        </w:rPr>
        <w:footnoteReference w:id="25"/>
      </w:r>
      <w:r>
        <w:rPr>
          <w:rFonts w:ascii="Arial" w:eastAsia="Arial" w:hAnsi="Arial" w:cs="Arial"/>
          <w:color w:val="000000"/>
          <w:sz w:val="24"/>
          <w:szCs w:val="24"/>
        </w:rPr>
        <w:t xml:space="preserve">; </w:t>
      </w:r>
    </w:p>
    <w:p w14:paraId="25B9D546" w14:textId="77777777" w:rsidR="00AD5C9D" w:rsidRDefault="00000000">
      <w:pPr>
        <w:numPr>
          <w:ilvl w:val="1"/>
          <w:numId w:val="7"/>
        </w:numPr>
        <w:pBdr>
          <w:top w:val="nil"/>
          <w:left w:val="nil"/>
          <w:bottom w:val="nil"/>
          <w:right w:val="nil"/>
          <w:between w:val="nil"/>
        </w:pBdr>
        <w:spacing w:after="0" w:line="360" w:lineRule="auto"/>
        <w:ind w:left="1210"/>
        <w:jc w:val="both"/>
        <w:rPr>
          <w:rFonts w:ascii="Arial" w:eastAsia="Arial" w:hAnsi="Arial" w:cs="Arial"/>
          <w:color w:val="000000"/>
          <w:sz w:val="24"/>
          <w:szCs w:val="24"/>
        </w:rPr>
      </w:pPr>
      <w:r>
        <w:rPr>
          <w:rFonts w:ascii="Arial" w:eastAsia="Arial" w:hAnsi="Arial" w:cs="Arial"/>
          <w:color w:val="000000"/>
          <w:sz w:val="24"/>
          <w:szCs w:val="24"/>
        </w:rPr>
        <w:t xml:space="preserve">Copia simple del oficio SFA/SF/DCF/381/2026, suscrito el siete de julio por el </w:t>
      </w:r>
      <w:proofErr w:type="gramStart"/>
      <w:r>
        <w:rPr>
          <w:rFonts w:ascii="Arial" w:eastAsia="Arial" w:hAnsi="Arial" w:cs="Arial"/>
          <w:color w:val="000000"/>
          <w:sz w:val="24"/>
          <w:szCs w:val="24"/>
        </w:rPr>
        <w:t>Director</w:t>
      </w:r>
      <w:proofErr w:type="gramEnd"/>
      <w:r>
        <w:rPr>
          <w:rFonts w:ascii="Arial" w:eastAsia="Arial" w:hAnsi="Arial" w:cs="Arial"/>
          <w:color w:val="000000"/>
          <w:sz w:val="24"/>
          <w:szCs w:val="24"/>
        </w:rPr>
        <w:t xml:space="preserve"> de Coordinación de la Subsecretaría de Finanzas de la </w:t>
      </w:r>
      <w:r>
        <w:rPr>
          <w:rFonts w:ascii="Arial" w:eastAsia="Arial" w:hAnsi="Arial" w:cs="Arial"/>
          <w:i/>
          <w:iCs/>
          <w:color w:val="000000"/>
          <w:sz w:val="24"/>
          <w:szCs w:val="24"/>
        </w:rPr>
        <w:t xml:space="preserve">Secretaría de Finanzas </w:t>
      </w:r>
      <w:r>
        <w:rPr>
          <w:rFonts w:ascii="Arial" w:eastAsia="Arial" w:hAnsi="Arial" w:cs="Arial"/>
          <w:color w:val="000000"/>
          <w:sz w:val="24"/>
          <w:szCs w:val="24"/>
        </w:rPr>
        <w:t xml:space="preserve">y dirigido a la </w:t>
      </w:r>
      <w:proofErr w:type="gramStart"/>
      <w:r>
        <w:rPr>
          <w:rFonts w:ascii="Arial" w:eastAsia="Arial" w:hAnsi="Arial" w:cs="Arial"/>
          <w:color w:val="000000"/>
          <w:sz w:val="24"/>
          <w:szCs w:val="24"/>
        </w:rPr>
        <w:t>Presidenta</w:t>
      </w:r>
      <w:proofErr w:type="gramEnd"/>
      <w:r>
        <w:rPr>
          <w:rFonts w:ascii="Arial" w:eastAsia="Arial" w:hAnsi="Arial" w:cs="Arial"/>
          <w:color w:val="000000"/>
          <w:sz w:val="24"/>
          <w:szCs w:val="24"/>
        </w:rPr>
        <w:t xml:space="preserve"> del </w:t>
      </w:r>
      <w:r>
        <w:rPr>
          <w:rFonts w:ascii="Arial" w:eastAsia="Arial" w:hAnsi="Arial" w:cs="Arial"/>
          <w:i/>
          <w:iCs/>
          <w:color w:val="000000"/>
          <w:sz w:val="24"/>
          <w:szCs w:val="24"/>
        </w:rPr>
        <w:t>Ayuntamiento</w:t>
      </w:r>
      <w:r>
        <w:rPr>
          <w:rFonts w:ascii="Arial" w:eastAsia="Arial" w:hAnsi="Arial" w:cs="Arial"/>
          <w:color w:val="000000"/>
          <w:sz w:val="24"/>
          <w:szCs w:val="24"/>
        </w:rPr>
        <w:t xml:space="preserve">, por medio del cual da repuesta a la solicitud de información relativa a la </w:t>
      </w:r>
      <w:r>
        <w:rPr>
          <w:rFonts w:ascii="Arial" w:eastAsia="Arial" w:hAnsi="Arial" w:cs="Arial"/>
          <w:i/>
          <w:iCs/>
          <w:color w:val="000000"/>
          <w:sz w:val="24"/>
          <w:szCs w:val="24"/>
        </w:rPr>
        <w:t>comunidad</w:t>
      </w:r>
      <w:r>
        <w:rPr>
          <w:rFonts w:ascii="Arial" w:eastAsia="Arial" w:hAnsi="Arial" w:cs="Arial"/>
          <w:color w:val="000000"/>
          <w:sz w:val="24"/>
          <w:szCs w:val="24"/>
          <w:vertAlign w:val="superscript"/>
        </w:rPr>
        <w:footnoteReference w:id="26"/>
      </w:r>
      <w:r>
        <w:rPr>
          <w:rFonts w:ascii="Arial" w:eastAsia="Arial" w:hAnsi="Arial" w:cs="Arial"/>
          <w:color w:val="000000"/>
          <w:sz w:val="24"/>
          <w:szCs w:val="24"/>
        </w:rPr>
        <w:t>.</w:t>
      </w:r>
    </w:p>
    <w:p w14:paraId="6537B738" w14:textId="77777777" w:rsidR="00AD5C9D" w:rsidRDefault="00000000">
      <w:pPr>
        <w:numPr>
          <w:ilvl w:val="1"/>
          <w:numId w:val="7"/>
        </w:numPr>
        <w:pBdr>
          <w:top w:val="nil"/>
          <w:left w:val="nil"/>
          <w:bottom w:val="nil"/>
          <w:right w:val="nil"/>
          <w:between w:val="nil"/>
        </w:pBdr>
        <w:spacing w:after="0" w:line="360" w:lineRule="auto"/>
        <w:ind w:left="1210"/>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Copia simple de las constancias de mayoría y validez expedidas a favor de la </w:t>
      </w:r>
      <w:proofErr w:type="gramStart"/>
      <w:r>
        <w:rPr>
          <w:rFonts w:ascii="Arial" w:eastAsia="Arial" w:hAnsi="Arial" w:cs="Arial"/>
          <w:color w:val="000000"/>
          <w:sz w:val="24"/>
          <w:szCs w:val="24"/>
        </w:rPr>
        <w:t>Presidenta</w:t>
      </w:r>
      <w:proofErr w:type="gramEnd"/>
      <w:r>
        <w:rPr>
          <w:rFonts w:ascii="Arial" w:eastAsia="Arial" w:hAnsi="Arial" w:cs="Arial"/>
          <w:color w:val="000000"/>
          <w:sz w:val="24"/>
          <w:szCs w:val="24"/>
        </w:rPr>
        <w:t xml:space="preserve"> y Síndico Municipal, ambos del </w:t>
      </w:r>
      <w:r>
        <w:rPr>
          <w:rFonts w:ascii="Arial" w:eastAsia="Arial" w:hAnsi="Arial" w:cs="Arial"/>
          <w:i/>
          <w:iCs/>
          <w:color w:val="000000"/>
          <w:sz w:val="24"/>
          <w:szCs w:val="24"/>
        </w:rPr>
        <w:t>Ayuntamiento</w:t>
      </w:r>
      <w:r>
        <w:rPr>
          <w:rFonts w:ascii="Arial" w:eastAsia="Arial" w:hAnsi="Arial" w:cs="Arial"/>
          <w:color w:val="000000"/>
          <w:sz w:val="24"/>
          <w:szCs w:val="24"/>
          <w:vertAlign w:val="superscript"/>
        </w:rPr>
        <w:footnoteReference w:id="27"/>
      </w:r>
      <w:r>
        <w:rPr>
          <w:rFonts w:ascii="Arial" w:eastAsia="Arial" w:hAnsi="Arial" w:cs="Arial"/>
          <w:color w:val="000000"/>
          <w:sz w:val="24"/>
          <w:szCs w:val="24"/>
        </w:rPr>
        <w:t>.</w:t>
      </w:r>
    </w:p>
    <w:p w14:paraId="257CC28D" w14:textId="77777777" w:rsidR="00AD5C9D" w:rsidRDefault="00000000">
      <w:pPr>
        <w:numPr>
          <w:ilvl w:val="1"/>
          <w:numId w:val="7"/>
        </w:numPr>
        <w:pBdr>
          <w:top w:val="nil"/>
          <w:left w:val="nil"/>
          <w:bottom w:val="nil"/>
          <w:right w:val="nil"/>
          <w:between w:val="nil"/>
        </w:pBdr>
        <w:spacing w:after="280" w:line="360" w:lineRule="auto"/>
        <w:ind w:left="1210"/>
        <w:jc w:val="both"/>
        <w:rPr>
          <w:rFonts w:ascii="Arial" w:eastAsia="Arial" w:hAnsi="Arial" w:cs="Arial"/>
          <w:color w:val="000000"/>
          <w:sz w:val="24"/>
          <w:szCs w:val="24"/>
        </w:rPr>
      </w:pPr>
      <w:r>
        <w:rPr>
          <w:rFonts w:ascii="Arial" w:eastAsia="Arial" w:hAnsi="Arial" w:cs="Arial"/>
          <w:color w:val="000000"/>
          <w:sz w:val="24"/>
          <w:szCs w:val="24"/>
        </w:rPr>
        <w:t>Copia simple de la citada acta</w:t>
      </w:r>
      <w:r>
        <w:rPr>
          <w:rFonts w:ascii="Arial" w:eastAsia="Arial" w:hAnsi="Arial" w:cs="Arial"/>
          <w:color w:val="000000"/>
          <w:sz w:val="24"/>
          <w:szCs w:val="24"/>
          <w:vertAlign w:val="superscript"/>
        </w:rPr>
        <w:footnoteReference w:id="28"/>
      </w:r>
      <w:r>
        <w:rPr>
          <w:rFonts w:ascii="Arial" w:eastAsia="Arial" w:hAnsi="Arial" w:cs="Arial"/>
          <w:color w:val="000000"/>
          <w:sz w:val="24"/>
          <w:szCs w:val="24"/>
        </w:rPr>
        <w:t>.</w:t>
      </w:r>
    </w:p>
    <w:p w14:paraId="3E406195" w14:textId="77777777" w:rsidR="00AD5C9D" w:rsidRDefault="00000000">
      <w:pPr>
        <w:spacing w:before="280" w:after="280" w:line="360" w:lineRule="auto"/>
        <w:jc w:val="both"/>
        <w:rPr>
          <w:rFonts w:ascii="Arial" w:eastAsia="Arial" w:hAnsi="Arial" w:cs="Arial"/>
          <w:i/>
          <w:iCs/>
          <w:sz w:val="24"/>
          <w:szCs w:val="24"/>
        </w:rPr>
      </w:pPr>
      <w:r>
        <w:rPr>
          <w:rFonts w:ascii="Arial" w:eastAsia="Arial" w:hAnsi="Arial" w:cs="Arial"/>
          <w:sz w:val="24"/>
          <w:szCs w:val="24"/>
        </w:rPr>
        <w:t xml:space="preserve">Probanzas a las que se les concede valor probatorio indiciario conforme a lo previsto en los artículos 16, fracción III y 22, fracción IV, de la </w:t>
      </w:r>
      <w:r>
        <w:rPr>
          <w:rFonts w:ascii="Arial" w:eastAsia="Arial" w:hAnsi="Arial" w:cs="Arial"/>
          <w:i/>
          <w:iCs/>
          <w:sz w:val="24"/>
          <w:szCs w:val="24"/>
        </w:rPr>
        <w:t>Ley de Justicia Electoral</w:t>
      </w:r>
      <w:r>
        <w:rPr>
          <w:rFonts w:ascii="Arial" w:eastAsia="Arial" w:hAnsi="Arial" w:cs="Arial"/>
          <w:sz w:val="24"/>
          <w:szCs w:val="24"/>
        </w:rPr>
        <w:t>, al tener la calidad de técnicas en términos de lo dispuesto en el numeral 19 de la Ley antes referida.</w:t>
      </w:r>
    </w:p>
    <w:p w14:paraId="46EC5A1C" w14:textId="77777777" w:rsidR="00AD5C9D" w:rsidRDefault="00000000">
      <w:pPr>
        <w:spacing w:before="280" w:after="280" w:line="360" w:lineRule="auto"/>
        <w:jc w:val="both"/>
        <w:rPr>
          <w:rFonts w:ascii="Arial" w:eastAsia="Arial" w:hAnsi="Arial" w:cs="Arial"/>
          <w:b/>
          <w:bCs/>
          <w:sz w:val="24"/>
          <w:szCs w:val="24"/>
        </w:rPr>
      </w:pPr>
      <w:r>
        <w:rPr>
          <w:rFonts w:ascii="Arial" w:eastAsia="Arial" w:hAnsi="Arial" w:cs="Arial"/>
          <w:b/>
          <w:bCs/>
          <w:sz w:val="24"/>
          <w:szCs w:val="24"/>
        </w:rPr>
        <w:t>D) Recabadas por la ponencia instructora</w:t>
      </w:r>
    </w:p>
    <w:p w14:paraId="7449BADC" w14:textId="77777777" w:rsidR="00AD5C9D" w:rsidRDefault="00000000">
      <w:pPr>
        <w:numPr>
          <w:ilvl w:val="0"/>
          <w:numId w:val="8"/>
        </w:numPr>
        <w:spacing w:before="280" w:after="0" w:line="360" w:lineRule="auto"/>
        <w:ind w:left="723"/>
        <w:jc w:val="both"/>
        <w:rPr>
          <w:rFonts w:ascii="Arial" w:eastAsia="Arial" w:hAnsi="Arial" w:cs="Arial"/>
          <w:sz w:val="24"/>
          <w:szCs w:val="24"/>
        </w:rPr>
      </w:pPr>
      <w:r>
        <w:rPr>
          <w:rFonts w:ascii="Arial" w:eastAsia="Arial" w:hAnsi="Arial" w:cs="Arial"/>
          <w:sz w:val="24"/>
          <w:szCs w:val="24"/>
        </w:rPr>
        <w:t xml:space="preserve">Acta de verificación de contenido del código QR proporcionado por el </w:t>
      </w:r>
      <w:proofErr w:type="gramStart"/>
      <w:r>
        <w:rPr>
          <w:rFonts w:ascii="Arial" w:eastAsia="Arial" w:hAnsi="Arial" w:cs="Arial"/>
          <w:sz w:val="24"/>
          <w:szCs w:val="24"/>
        </w:rPr>
        <w:t>Director</w:t>
      </w:r>
      <w:proofErr w:type="gramEnd"/>
      <w:r>
        <w:rPr>
          <w:rFonts w:ascii="Arial" w:eastAsia="Arial" w:hAnsi="Arial" w:cs="Arial"/>
          <w:sz w:val="24"/>
          <w:szCs w:val="24"/>
        </w:rPr>
        <w:t xml:space="preserve"> del </w:t>
      </w:r>
      <w:r>
        <w:rPr>
          <w:rFonts w:ascii="Arial" w:eastAsia="Arial" w:hAnsi="Arial" w:cs="Arial"/>
          <w:i/>
          <w:iCs/>
          <w:sz w:val="24"/>
          <w:szCs w:val="24"/>
        </w:rPr>
        <w:t>SMRT</w:t>
      </w:r>
      <w:r>
        <w:rPr>
          <w:rFonts w:ascii="Arial" w:eastAsia="Arial" w:hAnsi="Arial" w:cs="Arial"/>
          <w:sz w:val="24"/>
          <w:szCs w:val="24"/>
        </w:rPr>
        <w:t>, levantada el diecisiete de septiembre</w:t>
      </w:r>
      <w:r>
        <w:rPr>
          <w:rFonts w:ascii="Arial" w:eastAsia="Arial" w:hAnsi="Arial" w:cs="Arial"/>
          <w:sz w:val="24"/>
          <w:szCs w:val="24"/>
          <w:vertAlign w:val="superscript"/>
        </w:rPr>
        <w:footnoteReference w:id="29"/>
      </w:r>
      <w:r>
        <w:rPr>
          <w:rFonts w:ascii="Arial" w:eastAsia="Arial" w:hAnsi="Arial" w:cs="Arial"/>
          <w:sz w:val="24"/>
          <w:szCs w:val="24"/>
        </w:rPr>
        <w:t xml:space="preserve">. </w:t>
      </w:r>
    </w:p>
    <w:p w14:paraId="4B929031" w14:textId="77777777" w:rsidR="00AD5C9D" w:rsidRDefault="00000000">
      <w:pPr>
        <w:numPr>
          <w:ilvl w:val="0"/>
          <w:numId w:val="8"/>
        </w:numPr>
        <w:spacing w:after="280" w:line="360" w:lineRule="auto"/>
        <w:ind w:left="723"/>
        <w:jc w:val="both"/>
        <w:rPr>
          <w:rFonts w:ascii="Arial" w:eastAsia="Arial" w:hAnsi="Arial" w:cs="Arial"/>
          <w:sz w:val="24"/>
          <w:szCs w:val="24"/>
        </w:rPr>
      </w:pPr>
      <w:r>
        <w:rPr>
          <w:rFonts w:ascii="Arial" w:eastAsia="Arial" w:hAnsi="Arial" w:cs="Arial"/>
          <w:sz w:val="24"/>
          <w:szCs w:val="24"/>
        </w:rPr>
        <w:t xml:space="preserve">Acta de verificación de contenido del disco compacto remitido por el </w:t>
      </w:r>
      <w:r>
        <w:rPr>
          <w:rFonts w:ascii="Arial" w:eastAsia="Arial" w:hAnsi="Arial" w:cs="Arial"/>
          <w:i/>
          <w:iCs/>
          <w:sz w:val="24"/>
          <w:szCs w:val="24"/>
        </w:rPr>
        <w:t>Ayuntamiento</w:t>
      </w:r>
      <w:r>
        <w:rPr>
          <w:rFonts w:ascii="Arial" w:eastAsia="Arial" w:hAnsi="Arial" w:cs="Arial"/>
          <w:sz w:val="24"/>
          <w:szCs w:val="24"/>
        </w:rPr>
        <w:t>, levantada el veintinueve de septiembre</w:t>
      </w:r>
      <w:r>
        <w:rPr>
          <w:rFonts w:ascii="Arial" w:eastAsia="Arial" w:hAnsi="Arial" w:cs="Arial"/>
          <w:sz w:val="24"/>
          <w:szCs w:val="24"/>
          <w:vertAlign w:val="superscript"/>
        </w:rPr>
        <w:footnoteReference w:id="30"/>
      </w:r>
      <w:r>
        <w:rPr>
          <w:rFonts w:ascii="Arial" w:eastAsia="Arial" w:hAnsi="Arial" w:cs="Arial"/>
          <w:sz w:val="24"/>
          <w:szCs w:val="24"/>
        </w:rPr>
        <w:t>.</w:t>
      </w:r>
    </w:p>
    <w:p w14:paraId="50B294D2"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Medios de prueba a los que se les concede valor probatorio pleno en términos de lo dispuesto en los artículos 16, fracción I; 17, fracción III y 22, fracción II de la </w:t>
      </w:r>
      <w:r>
        <w:rPr>
          <w:rFonts w:ascii="Arial" w:eastAsia="Arial" w:hAnsi="Arial" w:cs="Arial"/>
          <w:i/>
          <w:iCs/>
          <w:sz w:val="24"/>
          <w:szCs w:val="24"/>
        </w:rPr>
        <w:t>Ley de Justicia Electoral</w:t>
      </w:r>
      <w:r>
        <w:rPr>
          <w:rFonts w:ascii="Arial" w:eastAsia="Arial" w:hAnsi="Arial" w:cs="Arial"/>
          <w:sz w:val="24"/>
          <w:szCs w:val="24"/>
        </w:rPr>
        <w:t xml:space="preserve">, al tratarse de documentales públicas emitidas por autoridades en el ámbito de sus atribuciones. </w:t>
      </w:r>
    </w:p>
    <w:p w14:paraId="6E042124" w14:textId="77777777" w:rsidR="00AD5C9D" w:rsidRDefault="00000000">
      <w:pPr>
        <w:numPr>
          <w:ilvl w:val="0"/>
          <w:numId w:val="5"/>
        </w:numPr>
        <w:spacing w:before="280" w:after="280" w:line="360" w:lineRule="auto"/>
        <w:jc w:val="center"/>
        <w:rPr>
          <w:rFonts w:ascii="Arial" w:eastAsia="Arial" w:hAnsi="Arial" w:cs="Arial"/>
          <w:b/>
          <w:bCs/>
          <w:sz w:val="24"/>
          <w:szCs w:val="24"/>
        </w:rPr>
      </w:pPr>
      <w:r>
        <w:rPr>
          <w:rFonts w:ascii="Arial" w:eastAsia="Arial" w:hAnsi="Arial" w:cs="Arial"/>
          <w:b/>
          <w:bCs/>
          <w:sz w:val="24"/>
          <w:szCs w:val="24"/>
        </w:rPr>
        <w:t>Determinación</w:t>
      </w:r>
    </w:p>
    <w:p w14:paraId="2F784EA7" w14:textId="77777777" w:rsidR="00AD5C9D" w:rsidRDefault="00000000">
      <w:pPr>
        <w:numPr>
          <w:ilvl w:val="0"/>
          <w:numId w:val="9"/>
        </w:numPr>
        <w:spacing w:before="280" w:after="280" w:line="360" w:lineRule="auto"/>
        <w:jc w:val="both"/>
        <w:rPr>
          <w:rFonts w:ascii="Arial" w:eastAsia="Arial" w:hAnsi="Arial" w:cs="Arial"/>
          <w:b/>
          <w:bCs/>
          <w:sz w:val="24"/>
          <w:szCs w:val="24"/>
        </w:rPr>
      </w:pPr>
      <w:r>
        <w:rPr>
          <w:rFonts w:ascii="Arial" w:eastAsia="Arial" w:hAnsi="Arial" w:cs="Arial"/>
          <w:b/>
          <w:bCs/>
          <w:sz w:val="24"/>
          <w:szCs w:val="24"/>
        </w:rPr>
        <w:t>Respecto de la obtención de la traducción y remisión para su difusión</w:t>
      </w:r>
    </w:p>
    <w:p w14:paraId="356E17CA"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A consideración de este </w:t>
      </w:r>
      <w:r>
        <w:rPr>
          <w:rFonts w:ascii="Arial" w:eastAsia="Arial" w:hAnsi="Arial" w:cs="Arial"/>
          <w:i/>
          <w:iCs/>
          <w:sz w:val="24"/>
          <w:szCs w:val="24"/>
        </w:rPr>
        <w:t>órgano jurisdiccional</w:t>
      </w:r>
      <w:r>
        <w:rPr>
          <w:rFonts w:ascii="Arial" w:eastAsia="Arial" w:hAnsi="Arial" w:cs="Arial"/>
          <w:sz w:val="24"/>
          <w:szCs w:val="24"/>
        </w:rPr>
        <w:t xml:space="preserve"> se estima cumplido con el efecto en el que se vinculó a la Secretaría General de Acuerdos a obtener, a la brevedad, la traducción del resumen y puntos resolutivos de la </w:t>
      </w:r>
      <w:r>
        <w:rPr>
          <w:rFonts w:ascii="Arial" w:eastAsia="Arial" w:hAnsi="Arial" w:cs="Arial"/>
          <w:i/>
          <w:iCs/>
          <w:sz w:val="24"/>
          <w:szCs w:val="24"/>
        </w:rPr>
        <w:t>sentencia</w:t>
      </w:r>
      <w:r>
        <w:rPr>
          <w:rFonts w:ascii="Arial" w:eastAsia="Arial" w:hAnsi="Arial" w:cs="Arial"/>
          <w:sz w:val="24"/>
          <w:szCs w:val="24"/>
        </w:rPr>
        <w:t xml:space="preserve"> y remitirlos a las autoridades a quienes se asignó su difusión.</w:t>
      </w:r>
    </w:p>
    <w:p w14:paraId="5B935FEC"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Lo anterior, porque tal como consta de la documentación enlistada en el numeral 2, del inciso A) de este apartado, se encuentra acreditado que el veintiocho de agosto, el </w:t>
      </w:r>
      <w:proofErr w:type="gramStart"/>
      <w:r>
        <w:rPr>
          <w:rFonts w:ascii="Arial" w:eastAsia="Arial" w:hAnsi="Arial" w:cs="Arial"/>
          <w:sz w:val="24"/>
          <w:szCs w:val="24"/>
        </w:rPr>
        <w:t>Secretario General</w:t>
      </w:r>
      <w:proofErr w:type="gramEnd"/>
      <w:r>
        <w:rPr>
          <w:rFonts w:ascii="Arial" w:eastAsia="Arial" w:hAnsi="Arial" w:cs="Arial"/>
          <w:sz w:val="24"/>
          <w:szCs w:val="24"/>
        </w:rPr>
        <w:t xml:space="preserve"> de Acuerdos de este </w:t>
      </w:r>
      <w:r>
        <w:rPr>
          <w:rFonts w:ascii="Arial" w:eastAsia="Arial" w:hAnsi="Arial" w:cs="Arial"/>
          <w:i/>
          <w:iCs/>
          <w:sz w:val="24"/>
          <w:szCs w:val="24"/>
        </w:rPr>
        <w:t>Tribunal Electoral</w:t>
      </w:r>
      <w:r>
        <w:rPr>
          <w:rFonts w:ascii="Arial" w:eastAsia="Arial" w:hAnsi="Arial" w:cs="Arial"/>
          <w:sz w:val="24"/>
          <w:szCs w:val="24"/>
        </w:rPr>
        <w:t xml:space="preserve">, solicitó a la Coordinación de Comunicación Social de esta misma autoridad, se efectuara la grabación del resumen de la </w:t>
      </w:r>
      <w:r>
        <w:rPr>
          <w:rFonts w:ascii="Arial" w:eastAsia="Arial" w:hAnsi="Arial" w:cs="Arial"/>
          <w:i/>
          <w:iCs/>
          <w:sz w:val="24"/>
          <w:szCs w:val="24"/>
        </w:rPr>
        <w:t>sentencia</w:t>
      </w:r>
      <w:r>
        <w:rPr>
          <w:rFonts w:ascii="Arial" w:eastAsia="Arial" w:hAnsi="Arial" w:cs="Arial"/>
          <w:sz w:val="24"/>
          <w:szCs w:val="24"/>
        </w:rPr>
        <w:t xml:space="preserve"> y de los puntos resolutivos para efecto de ordenar su difusión. </w:t>
      </w:r>
    </w:p>
    <w:p w14:paraId="3FD3BBC6"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 la misma fecha, solicitó a un perito en interpretación en lengua indígena, realizara la traducción del español a la lengua purépecha del resumen de la </w:t>
      </w:r>
      <w:r>
        <w:rPr>
          <w:rFonts w:ascii="Arial" w:eastAsia="Arial" w:hAnsi="Arial" w:cs="Arial"/>
          <w:i/>
          <w:iCs/>
          <w:sz w:val="24"/>
          <w:szCs w:val="24"/>
        </w:rPr>
        <w:lastRenderedPageBreak/>
        <w:t>sentencia</w:t>
      </w:r>
      <w:r>
        <w:rPr>
          <w:rFonts w:ascii="Arial" w:eastAsia="Arial" w:hAnsi="Arial" w:cs="Arial"/>
          <w:sz w:val="24"/>
          <w:szCs w:val="24"/>
        </w:rPr>
        <w:t xml:space="preserve"> y de los puntos resolutivos, el cual, una vez que cumplió la encomienda, en oficio de treinta y uno de agosto remitió en versión física y electrónica la traducción correspondiente. </w:t>
      </w:r>
    </w:p>
    <w:p w14:paraId="38D76901"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Así, el treinta y uno de agosto siguiente, se remitió tanto al </w:t>
      </w:r>
      <w:r>
        <w:rPr>
          <w:rFonts w:ascii="Arial" w:eastAsia="Arial" w:hAnsi="Arial" w:cs="Arial"/>
          <w:i/>
          <w:iCs/>
          <w:sz w:val="24"/>
          <w:szCs w:val="24"/>
        </w:rPr>
        <w:t>Ayuntamiento</w:t>
      </w:r>
      <w:r>
        <w:rPr>
          <w:rFonts w:ascii="Arial" w:eastAsia="Arial" w:hAnsi="Arial" w:cs="Arial"/>
          <w:sz w:val="24"/>
          <w:szCs w:val="24"/>
        </w:rPr>
        <w:t xml:space="preserve"> como al </w:t>
      </w:r>
      <w:r>
        <w:rPr>
          <w:rFonts w:ascii="Arial" w:eastAsia="Arial" w:hAnsi="Arial" w:cs="Arial"/>
          <w:i/>
          <w:iCs/>
          <w:sz w:val="24"/>
          <w:szCs w:val="24"/>
        </w:rPr>
        <w:t>SMRT</w:t>
      </w:r>
      <w:r>
        <w:rPr>
          <w:rFonts w:ascii="Arial" w:eastAsia="Arial" w:hAnsi="Arial" w:cs="Arial"/>
          <w:sz w:val="24"/>
          <w:szCs w:val="24"/>
        </w:rPr>
        <w:t xml:space="preserve">, el resumen oficial y puntos resolutivos de la </w:t>
      </w:r>
      <w:r>
        <w:rPr>
          <w:rFonts w:ascii="Arial" w:eastAsia="Arial" w:hAnsi="Arial" w:cs="Arial"/>
          <w:i/>
          <w:iCs/>
          <w:sz w:val="24"/>
          <w:szCs w:val="24"/>
        </w:rPr>
        <w:t>sentencia</w:t>
      </w:r>
      <w:r>
        <w:rPr>
          <w:rFonts w:ascii="Arial" w:eastAsia="Arial" w:hAnsi="Arial" w:cs="Arial"/>
          <w:sz w:val="24"/>
          <w:szCs w:val="24"/>
        </w:rPr>
        <w:t xml:space="preserve">, en español y en lengua purépecha. </w:t>
      </w:r>
    </w:p>
    <w:p w14:paraId="3AE42F8B"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Todo lo anterior, hace evidente que la Secretaría General de Acuerdos de este </w:t>
      </w:r>
      <w:r>
        <w:rPr>
          <w:rFonts w:ascii="Arial" w:eastAsia="Arial" w:hAnsi="Arial" w:cs="Arial"/>
          <w:i/>
          <w:iCs/>
          <w:sz w:val="24"/>
          <w:szCs w:val="24"/>
        </w:rPr>
        <w:t xml:space="preserve">órgano jurisdiccional </w:t>
      </w:r>
      <w:r>
        <w:rPr>
          <w:rFonts w:ascii="Arial" w:eastAsia="Arial" w:hAnsi="Arial" w:cs="Arial"/>
          <w:b/>
          <w:bCs/>
          <w:sz w:val="24"/>
          <w:szCs w:val="24"/>
        </w:rPr>
        <w:t>cumplió</w:t>
      </w:r>
      <w:r>
        <w:rPr>
          <w:rFonts w:ascii="Arial" w:eastAsia="Arial" w:hAnsi="Arial" w:cs="Arial"/>
          <w:sz w:val="24"/>
          <w:szCs w:val="24"/>
        </w:rPr>
        <w:t xml:space="preserve"> a la brevedad con lo que se ordenó en la </w:t>
      </w:r>
      <w:r>
        <w:rPr>
          <w:rFonts w:ascii="Arial" w:eastAsia="Arial" w:hAnsi="Arial" w:cs="Arial"/>
          <w:i/>
          <w:iCs/>
          <w:sz w:val="24"/>
          <w:szCs w:val="24"/>
        </w:rPr>
        <w:t>sentencia</w:t>
      </w:r>
      <w:r>
        <w:rPr>
          <w:rFonts w:ascii="Arial" w:eastAsia="Arial" w:hAnsi="Arial" w:cs="Arial"/>
          <w:sz w:val="24"/>
          <w:szCs w:val="24"/>
        </w:rPr>
        <w:t xml:space="preserve">. </w:t>
      </w:r>
    </w:p>
    <w:p w14:paraId="5F00BBB7" w14:textId="77777777" w:rsidR="00AD5C9D" w:rsidRDefault="00000000">
      <w:pPr>
        <w:numPr>
          <w:ilvl w:val="0"/>
          <w:numId w:val="9"/>
        </w:num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Respecto de la difusión del resumen oficial y puntos resolutivos de la </w:t>
      </w:r>
      <w:r>
        <w:rPr>
          <w:rFonts w:ascii="Arial" w:eastAsia="Arial" w:hAnsi="Arial" w:cs="Arial"/>
          <w:b/>
          <w:bCs/>
          <w:i/>
          <w:iCs/>
          <w:sz w:val="24"/>
          <w:szCs w:val="24"/>
        </w:rPr>
        <w:t>sentencia</w:t>
      </w:r>
      <w:r>
        <w:rPr>
          <w:rFonts w:ascii="Arial" w:eastAsia="Arial" w:hAnsi="Arial" w:cs="Arial"/>
          <w:b/>
          <w:bCs/>
          <w:sz w:val="24"/>
          <w:szCs w:val="24"/>
        </w:rPr>
        <w:t xml:space="preserve"> y el deber de informar a este </w:t>
      </w:r>
      <w:r>
        <w:rPr>
          <w:rFonts w:ascii="Arial" w:eastAsia="Arial" w:hAnsi="Arial" w:cs="Arial"/>
          <w:b/>
          <w:bCs/>
          <w:i/>
          <w:iCs/>
          <w:sz w:val="24"/>
          <w:szCs w:val="24"/>
        </w:rPr>
        <w:t>órgano</w:t>
      </w:r>
      <w:r>
        <w:rPr>
          <w:rFonts w:ascii="Arial" w:eastAsia="Arial" w:hAnsi="Arial" w:cs="Arial"/>
          <w:b/>
          <w:bCs/>
          <w:sz w:val="24"/>
          <w:szCs w:val="24"/>
        </w:rPr>
        <w:t xml:space="preserve"> </w:t>
      </w:r>
      <w:r>
        <w:rPr>
          <w:rFonts w:ascii="Arial" w:eastAsia="Arial" w:hAnsi="Arial" w:cs="Arial"/>
          <w:b/>
          <w:bCs/>
          <w:i/>
          <w:iCs/>
          <w:sz w:val="24"/>
          <w:szCs w:val="24"/>
        </w:rPr>
        <w:t>jurisdiccional</w:t>
      </w:r>
    </w:p>
    <w:p w14:paraId="3A2E3B9D"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 lo que ve a la difusión de la </w:t>
      </w:r>
      <w:r>
        <w:rPr>
          <w:rFonts w:ascii="Arial" w:eastAsia="Arial" w:hAnsi="Arial" w:cs="Arial"/>
          <w:i/>
          <w:iCs/>
          <w:sz w:val="24"/>
          <w:szCs w:val="24"/>
        </w:rPr>
        <w:t>sentencia</w:t>
      </w:r>
      <w:r>
        <w:rPr>
          <w:rFonts w:ascii="Arial" w:eastAsia="Arial" w:hAnsi="Arial" w:cs="Arial"/>
          <w:sz w:val="24"/>
          <w:szCs w:val="24"/>
        </w:rPr>
        <w:t xml:space="preserve"> por un plazo de tres días naturales, las autoridades vinculadas para tal efecto fueron el </w:t>
      </w:r>
      <w:r>
        <w:rPr>
          <w:rFonts w:ascii="Arial" w:eastAsia="Arial" w:hAnsi="Arial" w:cs="Arial"/>
          <w:i/>
          <w:iCs/>
          <w:sz w:val="24"/>
          <w:szCs w:val="24"/>
        </w:rPr>
        <w:t>SMRT</w:t>
      </w:r>
      <w:r>
        <w:rPr>
          <w:rFonts w:ascii="Arial" w:eastAsia="Arial" w:hAnsi="Arial" w:cs="Arial"/>
          <w:sz w:val="24"/>
          <w:szCs w:val="24"/>
        </w:rPr>
        <w:t xml:space="preserve"> y el </w:t>
      </w:r>
      <w:r>
        <w:rPr>
          <w:rFonts w:ascii="Arial" w:eastAsia="Arial" w:hAnsi="Arial" w:cs="Arial"/>
          <w:i/>
          <w:iCs/>
          <w:sz w:val="24"/>
          <w:szCs w:val="24"/>
        </w:rPr>
        <w:t>Ayuntamiento</w:t>
      </w:r>
      <w:r>
        <w:rPr>
          <w:rFonts w:ascii="Arial" w:eastAsia="Arial" w:hAnsi="Arial" w:cs="Arial"/>
          <w:sz w:val="24"/>
          <w:szCs w:val="24"/>
        </w:rPr>
        <w:t xml:space="preserve">. </w:t>
      </w:r>
    </w:p>
    <w:p w14:paraId="1AB1D19A"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Al respecto, en lo que corresponde al </w:t>
      </w:r>
      <w:r>
        <w:rPr>
          <w:rFonts w:ascii="Arial" w:eastAsia="Arial" w:hAnsi="Arial" w:cs="Arial"/>
          <w:i/>
          <w:iCs/>
          <w:sz w:val="24"/>
          <w:szCs w:val="24"/>
          <w:u w:val="single"/>
        </w:rPr>
        <w:t>SMRT</w:t>
      </w:r>
      <w:r>
        <w:rPr>
          <w:rFonts w:ascii="Arial" w:eastAsia="Arial" w:hAnsi="Arial" w:cs="Arial"/>
          <w:sz w:val="24"/>
          <w:szCs w:val="24"/>
        </w:rPr>
        <w:t xml:space="preserve">, tal como se precisó, mediante oficio DG-68/2026 recibido el catorce de septiembre, remitió los testigos de la difusión de la </w:t>
      </w:r>
      <w:r>
        <w:rPr>
          <w:rFonts w:ascii="Arial" w:eastAsia="Arial" w:hAnsi="Arial" w:cs="Arial"/>
          <w:i/>
          <w:iCs/>
          <w:sz w:val="24"/>
          <w:szCs w:val="24"/>
        </w:rPr>
        <w:t>sentencia</w:t>
      </w:r>
      <w:r>
        <w:rPr>
          <w:rFonts w:ascii="Arial" w:eastAsia="Arial" w:hAnsi="Arial" w:cs="Arial"/>
          <w:sz w:val="24"/>
          <w:szCs w:val="24"/>
        </w:rPr>
        <w:t xml:space="preserve">, lo cual se verificó mediante acta de diecisiete de septiembre, de la que se desprende que difundió el resumen oficial y los puntos resolutivos, tanto en español como en lengua purépecha, los días tres, cuatro y cinco de septiembre, lo que hace evidente que </w:t>
      </w:r>
      <w:r>
        <w:rPr>
          <w:rFonts w:ascii="Arial" w:eastAsia="Arial" w:hAnsi="Arial" w:cs="Arial"/>
          <w:b/>
          <w:bCs/>
          <w:sz w:val="24"/>
          <w:szCs w:val="24"/>
        </w:rPr>
        <w:t>cumplió</w:t>
      </w:r>
      <w:r>
        <w:rPr>
          <w:rFonts w:ascii="Arial" w:eastAsia="Arial" w:hAnsi="Arial" w:cs="Arial"/>
          <w:sz w:val="24"/>
          <w:szCs w:val="24"/>
        </w:rPr>
        <w:t xml:space="preserve"> con lo ordenado. </w:t>
      </w:r>
    </w:p>
    <w:p w14:paraId="32C2B313"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No </w:t>
      </w:r>
      <w:proofErr w:type="gramStart"/>
      <w:r>
        <w:rPr>
          <w:rFonts w:ascii="Arial" w:eastAsia="Arial" w:hAnsi="Arial" w:cs="Arial"/>
          <w:sz w:val="24"/>
          <w:szCs w:val="24"/>
        </w:rPr>
        <w:t>obstante</w:t>
      </w:r>
      <w:proofErr w:type="gramEnd"/>
      <w:r>
        <w:rPr>
          <w:rFonts w:ascii="Arial" w:eastAsia="Arial" w:hAnsi="Arial" w:cs="Arial"/>
          <w:sz w:val="24"/>
          <w:szCs w:val="24"/>
        </w:rPr>
        <w:t xml:space="preserve"> lo anterior, respecto al deber de informar a este </w:t>
      </w:r>
      <w:r>
        <w:rPr>
          <w:rFonts w:ascii="Arial" w:eastAsia="Arial" w:hAnsi="Arial" w:cs="Arial"/>
          <w:i/>
          <w:iCs/>
          <w:sz w:val="24"/>
          <w:szCs w:val="24"/>
        </w:rPr>
        <w:t>órgano jurisdiccional</w:t>
      </w:r>
      <w:r>
        <w:rPr>
          <w:rFonts w:ascii="Arial" w:eastAsia="Arial" w:hAnsi="Arial" w:cs="Arial"/>
          <w:sz w:val="24"/>
          <w:szCs w:val="24"/>
        </w:rPr>
        <w:t xml:space="preserve"> de tal acción dentro de los tres días hábiles posteriores a su difusión, no se acató en sus términos, toda vez </w:t>
      </w:r>
      <w:proofErr w:type="gramStart"/>
      <w:r>
        <w:rPr>
          <w:rFonts w:ascii="Arial" w:eastAsia="Arial" w:hAnsi="Arial" w:cs="Arial"/>
          <w:sz w:val="24"/>
          <w:szCs w:val="24"/>
        </w:rPr>
        <w:t>que</w:t>
      </w:r>
      <w:proofErr w:type="gramEnd"/>
      <w:r>
        <w:rPr>
          <w:rFonts w:ascii="Arial" w:eastAsia="Arial" w:hAnsi="Arial" w:cs="Arial"/>
          <w:sz w:val="24"/>
          <w:szCs w:val="24"/>
        </w:rPr>
        <w:t xml:space="preserve"> si el último día de difusión se llevó a cabo el cinco de septiembre, el plazo con el que contaba para informar transcurrió del siete al nueve del mismo mes, pero informó hasta el catorce siguiente, por lo que se le </w:t>
      </w:r>
      <w:r>
        <w:rPr>
          <w:rFonts w:ascii="Arial" w:eastAsia="Arial" w:hAnsi="Arial" w:cs="Arial"/>
          <w:b/>
          <w:bCs/>
          <w:sz w:val="24"/>
          <w:szCs w:val="24"/>
        </w:rPr>
        <w:t>conmina</w:t>
      </w:r>
      <w:r>
        <w:rPr>
          <w:rFonts w:ascii="Arial" w:eastAsia="Arial" w:hAnsi="Arial" w:cs="Arial"/>
          <w:sz w:val="24"/>
          <w:szCs w:val="24"/>
        </w:rPr>
        <w:t xml:space="preserve">, para que en lo sucesivo acaté los plazos establecidos en las resoluciones. </w:t>
      </w:r>
    </w:p>
    <w:p w14:paraId="725CA73B"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Por otro lado, respecto a la difusión ordenada al </w:t>
      </w:r>
      <w:r>
        <w:rPr>
          <w:rFonts w:ascii="Arial" w:eastAsia="Arial" w:hAnsi="Arial" w:cs="Arial"/>
          <w:i/>
          <w:iCs/>
          <w:sz w:val="24"/>
          <w:szCs w:val="24"/>
          <w:u w:val="single"/>
        </w:rPr>
        <w:t>Ayuntamiento</w:t>
      </w:r>
      <w:r>
        <w:rPr>
          <w:rFonts w:ascii="Arial" w:eastAsia="Arial" w:hAnsi="Arial" w:cs="Arial"/>
          <w:sz w:val="24"/>
          <w:szCs w:val="24"/>
        </w:rPr>
        <w:t xml:space="preserve"> a quien se vinculó a hacerla a través de los medios acostumbrados y reconocidos por sus habitantes, o cualquier otro medio que garantizara la difusión entre sus integrantes, se tiene que esa autoridad, allegó diversas constancias y videos, vía correo electrónico, el veintiocho de septiembre. </w:t>
      </w:r>
    </w:p>
    <w:p w14:paraId="67887FA3"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No obstante, del análisis de las documentales, si bien se advierte que se realizaron publicaciones en lo que parecen ser perfiles de redes sociales denominados </w:t>
      </w:r>
      <w:r>
        <w:rPr>
          <w:rFonts w:ascii="Arial" w:eastAsia="Arial" w:hAnsi="Arial" w:cs="Arial"/>
          <w:i/>
          <w:iCs/>
          <w:sz w:val="24"/>
          <w:szCs w:val="24"/>
        </w:rPr>
        <w:t>El pulso de La Noticia</w:t>
      </w:r>
      <w:r>
        <w:rPr>
          <w:rFonts w:ascii="Arial" w:eastAsia="Arial" w:hAnsi="Arial" w:cs="Arial"/>
          <w:sz w:val="24"/>
          <w:szCs w:val="24"/>
        </w:rPr>
        <w:t xml:space="preserve">, </w:t>
      </w:r>
      <w:r>
        <w:rPr>
          <w:rFonts w:ascii="Arial" w:eastAsia="Arial" w:hAnsi="Arial" w:cs="Arial"/>
          <w:i/>
          <w:iCs/>
          <w:sz w:val="24"/>
          <w:szCs w:val="24"/>
        </w:rPr>
        <w:t>notiguia.com.mx</w:t>
      </w:r>
      <w:r>
        <w:rPr>
          <w:rFonts w:ascii="Arial" w:eastAsia="Arial" w:hAnsi="Arial" w:cs="Arial"/>
          <w:sz w:val="24"/>
          <w:szCs w:val="24"/>
        </w:rPr>
        <w:t xml:space="preserve">, </w:t>
      </w:r>
      <w:r>
        <w:rPr>
          <w:rFonts w:ascii="Arial" w:eastAsia="Arial" w:hAnsi="Arial" w:cs="Arial"/>
          <w:i/>
          <w:iCs/>
          <w:sz w:val="24"/>
          <w:szCs w:val="24"/>
        </w:rPr>
        <w:t>Cucara Macara</w:t>
      </w:r>
      <w:r>
        <w:rPr>
          <w:rFonts w:ascii="Arial" w:eastAsia="Arial" w:hAnsi="Arial" w:cs="Arial"/>
          <w:sz w:val="24"/>
          <w:szCs w:val="24"/>
        </w:rPr>
        <w:t xml:space="preserve"> y </w:t>
      </w:r>
      <w:r>
        <w:rPr>
          <w:rFonts w:ascii="Arial" w:eastAsia="Arial" w:hAnsi="Arial" w:cs="Arial"/>
          <w:i/>
          <w:iCs/>
          <w:sz w:val="24"/>
          <w:szCs w:val="24"/>
        </w:rPr>
        <w:lastRenderedPageBreak/>
        <w:t xml:space="preserve">Ayuntamiento </w:t>
      </w:r>
      <w:proofErr w:type="spellStart"/>
      <w:r>
        <w:rPr>
          <w:rFonts w:ascii="Arial" w:eastAsia="Arial" w:hAnsi="Arial" w:cs="Arial"/>
          <w:i/>
          <w:iCs/>
          <w:sz w:val="24"/>
          <w:szCs w:val="24"/>
        </w:rPr>
        <w:t>Tinguindín</w:t>
      </w:r>
      <w:proofErr w:type="spellEnd"/>
      <w:r>
        <w:rPr>
          <w:rFonts w:ascii="Arial" w:eastAsia="Arial" w:hAnsi="Arial" w:cs="Arial"/>
          <w:i/>
          <w:iCs/>
          <w:sz w:val="24"/>
          <w:szCs w:val="24"/>
        </w:rPr>
        <w:t xml:space="preserve"> 2024-2027</w:t>
      </w:r>
      <w:r>
        <w:rPr>
          <w:rFonts w:ascii="Arial" w:eastAsia="Arial" w:hAnsi="Arial" w:cs="Arial"/>
          <w:sz w:val="24"/>
          <w:szCs w:val="24"/>
        </w:rPr>
        <w:t xml:space="preserve">, lo cierto es que ello no genera la convicción de que la difusión ordenada se hubiese realizado en los términos precisados. </w:t>
      </w:r>
    </w:p>
    <w:p w14:paraId="7A957E22"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Lo anterior, ya que si bien de las capturas de pantalla que se remitieron se puede ver el nombre de perfil y la publicación, no se advierte la red social de que se trata, es decir, no se puede advertir que se trata de medios que garantizan la difusión entre todos los integrantes de la </w:t>
      </w:r>
      <w:r>
        <w:rPr>
          <w:rFonts w:ascii="Arial" w:eastAsia="Arial" w:hAnsi="Arial" w:cs="Arial"/>
          <w:i/>
          <w:iCs/>
          <w:sz w:val="24"/>
          <w:szCs w:val="24"/>
        </w:rPr>
        <w:t>comunidad</w:t>
      </w:r>
      <w:r>
        <w:rPr>
          <w:rFonts w:ascii="Arial" w:eastAsia="Arial" w:hAnsi="Arial" w:cs="Arial"/>
          <w:sz w:val="24"/>
          <w:szCs w:val="24"/>
        </w:rPr>
        <w:t xml:space="preserve">; y, por otro, porque tampoco se tiene certeza respecto a que la difusión se haya realizado por el plazo ordenado, esto es, durante tres días naturales. </w:t>
      </w:r>
    </w:p>
    <w:p w14:paraId="5414CA19"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De igual manera, en relación con las fotografías allegadas, tampoco existe convicción de que se trate de imágenes de la difusión hecha a través de los medios acostumbrados y reconocidos por la </w:t>
      </w:r>
      <w:r>
        <w:rPr>
          <w:rFonts w:ascii="Arial" w:eastAsia="Arial" w:hAnsi="Arial" w:cs="Arial"/>
          <w:i/>
          <w:iCs/>
          <w:sz w:val="24"/>
          <w:szCs w:val="24"/>
        </w:rPr>
        <w:t>comunidad</w:t>
      </w:r>
      <w:r>
        <w:rPr>
          <w:rFonts w:ascii="Arial" w:eastAsia="Arial" w:hAnsi="Arial" w:cs="Arial"/>
          <w:sz w:val="24"/>
          <w:szCs w:val="24"/>
        </w:rPr>
        <w:t xml:space="preserve">, o algún otro por el que se garantice que se hizo del conocimiento de todos sus integrantes, pues se trata de imágenes de la certificación remitida por la Secretaría de Acuerdos de este </w:t>
      </w:r>
      <w:r>
        <w:rPr>
          <w:rFonts w:ascii="Arial" w:eastAsia="Arial" w:hAnsi="Arial" w:cs="Arial"/>
          <w:i/>
          <w:iCs/>
          <w:sz w:val="24"/>
          <w:szCs w:val="24"/>
        </w:rPr>
        <w:t>Tribunal Electoral</w:t>
      </w:r>
      <w:r>
        <w:rPr>
          <w:rFonts w:ascii="Arial" w:eastAsia="Arial" w:hAnsi="Arial" w:cs="Arial"/>
          <w:sz w:val="24"/>
          <w:szCs w:val="24"/>
        </w:rPr>
        <w:t xml:space="preserve">, pero no se especifica si se colocó en algún lugar visible en la </w:t>
      </w:r>
      <w:r>
        <w:rPr>
          <w:rFonts w:ascii="Arial" w:eastAsia="Arial" w:hAnsi="Arial" w:cs="Arial"/>
          <w:i/>
          <w:iCs/>
          <w:sz w:val="24"/>
          <w:szCs w:val="24"/>
        </w:rPr>
        <w:t>comunidad</w:t>
      </w:r>
      <w:r>
        <w:rPr>
          <w:rFonts w:ascii="Arial" w:eastAsia="Arial" w:hAnsi="Arial" w:cs="Arial"/>
          <w:sz w:val="24"/>
          <w:szCs w:val="24"/>
        </w:rPr>
        <w:t xml:space="preserve"> y que hubiere permanecido ahí durante el plazo indicado. </w:t>
      </w:r>
    </w:p>
    <w:p w14:paraId="3C9A02B7"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 lo que ve a los videos remitidos por el </w:t>
      </w:r>
      <w:r>
        <w:rPr>
          <w:rFonts w:ascii="Arial" w:eastAsia="Arial" w:hAnsi="Arial" w:cs="Arial"/>
          <w:i/>
          <w:iCs/>
          <w:sz w:val="24"/>
          <w:szCs w:val="24"/>
        </w:rPr>
        <w:t>Ayuntamiento</w:t>
      </w:r>
      <w:r>
        <w:rPr>
          <w:rFonts w:ascii="Arial" w:eastAsia="Arial" w:hAnsi="Arial" w:cs="Arial"/>
          <w:sz w:val="24"/>
          <w:szCs w:val="24"/>
        </w:rPr>
        <w:t xml:space="preserve">, de la verificación se advierte que se trata de tres videos en los que se hace perifoneo, dos al parecer en lengua originaria y uno en español; sin embargo, tampoco existe constancia que acredite que se haya realizado durante tres días naturales la difusión tanto en español como en purépecha, tal como se ordenó en la </w:t>
      </w:r>
      <w:r>
        <w:rPr>
          <w:rFonts w:ascii="Arial" w:eastAsia="Arial" w:hAnsi="Arial" w:cs="Arial"/>
          <w:i/>
          <w:iCs/>
          <w:sz w:val="24"/>
          <w:szCs w:val="24"/>
        </w:rPr>
        <w:t>sentencia</w:t>
      </w:r>
      <w:r>
        <w:rPr>
          <w:rFonts w:ascii="Arial" w:eastAsia="Arial" w:hAnsi="Arial" w:cs="Arial"/>
          <w:sz w:val="24"/>
          <w:szCs w:val="24"/>
        </w:rPr>
        <w:t xml:space="preserve">. </w:t>
      </w:r>
    </w:p>
    <w:p w14:paraId="7B66F3F4"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Aunado a ello, es de destacarse </w:t>
      </w:r>
      <w:proofErr w:type="gramStart"/>
      <w:r>
        <w:rPr>
          <w:rFonts w:ascii="Arial" w:eastAsia="Arial" w:hAnsi="Arial" w:cs="Arial"/>
          <w:sz w:val="24"/>
          <w:szCs w:val="24"/>
        </w:rPr>
        <w:t>que</w:t>
      </w:r>
      <w:proofErr w:type="gramEnd"/>
      <w:r>
        <w:rPr>
          <w:rFonts w:ascii="Arial" w:eastAsia="Arial" w:hAnsi="Arial" w:cs="Arial"/>
          <w:sz w:val="24"/>
          <w:szCs w:val="24"/>
        </w:rPr>
        <w:t xml:space="preserve"> en el único vídeo respecto de la difusión en español, se pudo corroborar que solamente se difundió el resumen oficial y no los puntos resolutivos, siendo que se ordenó que fuera de ambos. </w:t>
      </w:r>
    </w:p>
    <w:p w14:paraId="37A9D0CD"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Por ello, es que se tiene al </w:t>
      </w:r>
      <w:r>
        <w:rPr>
          <w:rFonts w:ascii="Arial" w:eastAsia="Arial" w:hAnsi="Arial" w:cs="Arial"/>
          <w:i/>
          <w:iCs/>
          <w:sz w:val="24"/>
          <w:szCs w:val="24"/>
        </w:rPr>
        <w:t>Ayuntamiento</w:t>
      </w:r>
      <w:r>
        <w:rPr>
          <w:rFonts w:ascii="Arial" w:eastAsia="Arial" w:hAnsi="Arial" w:cs="Arial"/>
          <w:sz w:val="24"/>
          <w:szCs w:val="24"/>
        </w:rPr>
        <w:t xml:space="preserve"> </w:t>
      </w:r>
      <w:r>
        <w:rPr>
          <w:rFonts w:ascii="Arial" w:eastAsia="Arial" w:hAnsi="Arial" w:cs="Arial"/>
          <w:b/>
          <w:bCs/>
          <w:sz w:val="24"/>
          <w:szCs w:val="24"/>
        </w:rPr>
        <w:t>incumpliendo</w:t>
      </w:r>
      <w:r>
        <w:rPr>
          <w:rFonts w:ascii="Arial" w:eastAsia="Arial" w:hAnsi="Arial" w:cs="Arial"/>
          <w:sz w:val="24"/>
          <w:szCs w:val="24"/>
        </w:rPr>
        <w:t xml:space="preserve"> con el efecto consistente en realizar la difusión de la </w:t>
      </w:r>
      <w:r>
        <w:rPr>
          <w:rFonts w:ascii="Arial" w:eastAsia="Arial" w:hAnsi="Arial" w:cs="Arial"/>
          <w:i/>
          <w:iCs/>
          <w:sz w:val="24"/>
          <w:szCs w:val="24"/>
        </w:rPr>
        <w:t>sentencia</w:t>
      </w:r>
      <w:r>
        <w:rPr>
          <w:rFonts w:ascii="Arial" w:eastAsia="Arial" w:hAnsi="Arial" w:cs="Arial"/>
          <w:sz w:val="24"/>
          <w:szCs w:val="24"/>
        </w:rPr>
        <w:t xml:space="preserve"> en los términos precisados en el fallo. </w:t>
      </w:r>
    </w:p>
    <w:p w14:paraId="08BC1760" w14:textId="77777777" w:rsidR="00AD5C9D" w:rsidRDefault="00000000">
      <w:pPr>
        <w:numPr>
          <w:ilvl w:val="0"/>
          <w:numId w:val="9"/>
        </w:numPr>
        <w:spacing w:before="280" w:after="280" w:line="360" w:lineRule="auto"/>
        <w:jc w:val="both"/>
        <w:rPr>
          <w:rFonts w:ascii="Arial" w:eastAsia="Arial" w:hAnsi="Arial" w:cs="Arial"/>
          <w:b/>
          <w:bCs/>
          <w:sz w:val="24"/>
          <w:szCs w:val="24"/>
        </w:rPr>
      </w:pPr>
      <w:r>
        <w:rPr>
          <w:rFonts w:ascii="Arial" w:eastAsia="Arial" w:hAnsi="Arial" w:cs="Arial"/>
          <w:b/>
          <w:bCs/>
          <w:sz w:val="24"/>
          <w:szCs w:val="24"/>
        </w:rPr>
        <w:t xml:space="preserve">Respecto a la celebración de una sesión en la que se autorice la transferencia de recursos a la </w:t>
      </w:r>
      <w:r>
        <w:rPr>
          <w:rFonts w:ascii="Arial" w:eastAsia="Arial" w:hAnsi="Arial" w:cs="Arial"/>
          <w:b/>
          <w:bCs/>
          <w:i/>
          <w:iCs/>
          <w:sz w:val="24"/>
          <w:szCs w:val="24"/>
        </w:rPr>
        <w:t>comunidad</w:t>
      </w:r>
    </w:p>
    <w:p w14:paraId="32D97B9E"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 primer término, cabe precisar que mediante acuerdo de veintidós de septiembre se requirió al </w:t>
      </w:r>
      <w:r>
        <w:rPr>
          <w:rFonts w:ascii="Arial" w:eastAsia="Arial" w:hAnsi="Arial" w:cs="Arial"/>
          <w:i/>
          <w:iCs/>
          <w:sz w:val="24"/>
          <w:szCs w:val="24"/>
        </w:rPr>
        <w:t>Ayuntamiento</w:t>
      </w:r>
      <w:r>
        <w:rPr>
          <w:rFonts w:ascii="Arial" w:eastAsia="Arial" w:hAnsi="Arial" w:cs="Arial"/>
          <w:sz w:val="24"/>
          <w:szCs w:val="24"/>
        </w:rPr>
        <w:t xml:space="preserve"> para que remitiera a este </w:t>
      </w:r>
      <w:r>
        <w:rPr>
          <w:rFonts w:ascii="Arial" w:eastAsia="Arial" w:hAnsi="Arial" w:cs="Arial"/>
          <w:i/>
          <w:iCs/>
          <w:sz w:val="24"/>
          <w:szCs w:val="24"/>
        </w:rPr>
        <w:t>Tribunal</w:t>
      </w:r>
      <w:r>
        <w:rPr>
          <w:rFonts w:ascii="Arial" w:eastAsia="Arial" w:hAnsi="Arial" w:cs="Arial"/>
          <w:sz w:val="24"/>
          <w:szCs w:val="24"/>
        </w:rPr>
        <w:t xml:space="preserve"> </w:t>
      </w:r>
      <w:r>
        <w:rPr>
          <w:rFonts w:ascii="Arial" w:eastAsia="Arial" w:hAnsi="Arial" w:cs="Arial"/>
          <w:i/>
          <w:iCs/>
          <w:sz w:val="24"/>
          <w:szCs w:val="24"/>
        </w:rPr>
        <w:t>Electoral</w:t>
      </w:r>
      <w:r>
        <w:rPr>
          <w:rFonts w:ascii="Arial" w:eastAsia="Arial" w:hAnsi="Arial" w:cs="Arial"/>
          <w:sz w:val="24"/>
          <w:szCs w:val="24"/>
        </w:rPr>
        <w:t xml:space="preserve"> la documentación relativa al cumplimiento de la </w:t>
      </w:r>
      <w:r>
        <w:rPr>
          <w:rFonts w:ascii="Arial" w:eastAsia="Arial" w:hAnsi="Arial" w:cs="Arial"/>
          <w:i/>
          <w:iCs/>
          <w:sz w:val="24"/>
          <w:szCs w:val="24"/>
        </w:rPr>
        <w:t>sentencia</w:t>
      </w:r>
      <w:r>
        <w:rPr>
          <w:rFonts w:ascii="Arial" w:eastAsia="Arial" w:hAnsi="Arial" w:cs="Arial"/>
          <w:sz w:val="24"/>
          <w:szCs w:val="24"/>
        </w:rPr>
        <w:t>.</w:t>
      </w:r>
    </w:p>
    <w:p w14:paraId="5C6829A6"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Así, mediante escrito presentado vía correo electrónico el veinticuatro de septiembre, la </w:t>
      </w:r>
      <w:proofErr w:type="gramStart"/>
      <w:r>
        <w:rPr>
          <w:rFonts w:ascii="Arial" w:eastAsia="Arial" w:hAnsi="Arial" w:cs="Arial"/>
          <w:sz w:val="24"/>
          <w:szCs w:val="24"/>
        </w:rPr>
        <w:t>Presidenta</w:t>
      </w:r>
      <w:proofErr w:type="gramEnd"/>
      <w:r>
        <w:rPr>
          <w:rFonts w:ascii="Arial" w:eastAsia="Arial" w:hAnsi="Arial" w:cs="Arial"/>
          <w:sz w:val="24"/>
          <w:szCs w:val="24"/>
        </w:rPr>
        <w:t xml:space="preserve"> y el Síndico del </w:t>
      </w:r>
      <w:r>
        <w:rPr>
          <w:rFonts w:ascii="Arial" w:eastAsia="Arial" w:hAnsi="Arial" w:cs="Arial"/>
          <w:i/>
          <w:iCs/>
          <w:sz w:val="24"/>
          <w:szCs w:val="24"/>
        </w:rPr>
        <w:t>Ayuntamiento</w:t>
      </w:r>
      <w:r>
        <w:rPr>
          <w:rFonts w:ascii="Arial" w:eastAsia="Arial" w:hAnsi="Arial" w:cs="Arial"/>
          <w:sz w:val="24"/>
          <w:szCs w:val="24"/>
        </w:rPr>
        <w:t xml:space="preserve"> manifestaron, bajo protesta de decir verdad, que hasta esa fecha tuvieron conocimiento de la </w:t>
      </w:r>
      <w:r>
        <w:rPr>
          <w:rFonts w:ascii="Arial" w:eastAsia="Arial" w:hAnsi="Arial" w:cs="Arial"/>
          <w:i/>
          <w:iCs/>
          <w:sz w:val="24"/>
          <w:szCs w:val="24"/>
        </w:rPr>
        <w:lastRenderedPageBreak/>
        <w:t xml:space="preserve">sentencia </w:t>
      </w:r>
      <w:r>
        <w:rPr>
          <w:rFonts w:ascii="Arial" w:eastAsia="Arial" w:hAnsi="Arial" w:cs="Arial"/>
          <w:sz w:val="24"/>
          <w:szCs w:val="24"/>
        </w:rPr>
        <w:t xml:space="preserve">que les fue notificada vía correo electrónico, como mecanismo ofrecido por esta autoridad para ese fin. </w:t>
      </w:r>
    </w:p>
    <w:p w14:paraId="2312A990"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Sin embargo, de las manifestaciones que vierte en el escrito de referencia, no se desprenden expresiones que hagan evidente esa circunstancia, pues se limitan a señalar que hasta el veintitrés de septiembre tuvieron conocimiento del acuerdo de requerimiento y que, derivado de ello, el veinticuatro siguiente conocieron la </w:t>
      </w:r>
      <w:r>
        <w:rPr>
          <w:rFonts w:ascii="Arial" w:eastAsia="Arial" w:hAnsi="Arial" w:cs="Arial"/>
          <w:i/>
          <w:iCs/>
          <w:sz w:val="24"/>
          <w:szCs w:val="24"/>
        </w:rPr>
        <w:t>sentencia</w:t>
      </w:r>
      <w:r>
        <w:rPr>
          <w:rFonts w:ascii="Arial" w:eastAsia="Arial" w:hAnsi="Arial" w:cs="Arial"/>
          <w:sz w:val="24"/>
          <w:szCs w:val="24"/>
        </w:rPr>
        <w:t>, sin que haga referencia a las razones por las cuales hasta ese momento conocieron la resolución que de manera oportuna les fue notificada mediante correo electrónico, máxime a que fue esa autoridad la que señaló ese mecanismo de notificación.</w:t>
      </w:r>
    </w:p>
    <w:p w14:paraId="1DFFAE24"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Pues, está demostrado que el treinta y uno de agosto se notificó al </w:t>
      </w:r>
      <w:r>
        <w:rPr>
          <w:rFonts w:ascii="Arial" w:eastAsia="Arial" w:hAnsi="Arial" w:cs="Arial"/>
          <w:i/>
          <w:iCs/>
          <w:sz w:val="24"/>
          <w:szCs w:val="24"/>
        </w:rPr>
        <w:t>Ayuntamiento</w:t>
      </w:r>
      <w:r>
        <w:rPr>
          <w:rFonts w:ascii="Arial" w:eastAsia="Arial" w:hAnsi="Arial" w:cs="Arial"/>
          <w:sz w:val="24"/>
          <w:szCs w:val="24"/>
        </w:rPr>
        <w:t xml:space="preserve"> vía correo electrónico</w:t>
      </w:r>
      <w:r>
        <w:rPr>
          <w:rFonts w:ascii="Arial" w:eastAsia="Arial" w:hAnsi="Arial" w:cs="Arial"/>
          <w:sz w:val="24"/>
          <w:szCs w:val="24"/>
          <w:vertAlign w:val="superscript"/>
        </w:rPr>
        <w:footnoteReference w:id="31"/>
      </w:r>
      <w:r>
        <w:rPr>
          <w:rFonts w:ascii="Arial" w:eastAsia="Arial" w:hAnsi="Arial" w:cs="Arial"/>
          <w:sz w:val="24"/>
          <w:szCs w:val="24"/>
        </w:rPr>
        <w:t xml:space="preserve"> (</w:t>
      </w:r>
      <w:hyperlink r:id="rId12">
        <w:r w:rsidR="00AD5C9D">
          <w:rPr>
            <w:rFonts w:ascii="Arial" w:eastAsia="Arial" w:hAnsi="Arial" w:cs="Arial"/>
            <w:color w:val="467886"/>
            <w:sz w:val="24"/>
            <w:szCs w:val="24"/>
            <w:u w:val="single"/>
          </w:rPr>
          <w:t>presidencia.tng@gmail.com</w:t>
        </w:r>
      </w:hyperlink>
      <w:r>
        <w:rPr>
          <w:rFonts w:ascii="Arial" w:eastAsia="Arial" w:hAnsi="Arial" w:cs="Arial"/>
          <w:sz w:val="24"/>
          <w:szCs w:val="24"/>
        </w:rPr>
        <w:t xml:space="preserve">), atendiendo a lo previsto en los Lineamientos del Tribunal Electoral del Estado de Michoacán para el uso de tecnologías de la información y comunicación en las sesiones, reuniones, recepción de medios de impugnación y procedimientos, promociones y notificaciones, que en su artículo 35 prevén que, en el caso de no haberse recibido el acuse de recibo correspondiente, en el plazo de veinticuatro horas contadas a partir del envío de la notificación electrónica, se tendrá por debidamente notificado. </w:t>
      </w:r>
    </w:p>
    <w:p w14:paraId="74C850B9"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 el caso, al haberse enviado la notificación electrónica el lunes treinta y uno de agosto, a las diez horas con treinta y un minutos, la misma surtió sus efectos a partir del martes uno de septiembre a la misma hora, lo que hace evidente que desde esa fecha el </w:t>
      </w:r>
      <w:r>
        <w:rPr>
          <w:rFonts w:ascii="Arial" w:eastAsia="Arial" w:hAnsi="Arial" w:cs="Arial"/>
          <w:i/>
          <w:iCs/>
          <w:sz w:val="24"/>
          <w:szCs w:val="24"/>
        </w:rPr>
        <w:t>Ayuntamiento</w:t>
      </w:r>
      <w:r>
        <w:rPr>
          <w:rFonts w:ascii="Arial" w:eastAsia="Arial" w:hAnsi="Arial" w:cs="Arial"/>
          <w:sz w:val="24"/>
          <w:szCs w:val="24"/>
        </w:rPr>
        <w:t xml:space="preserve"> quedó debidamente notificado, con independencia de que la autoridad haya omitido la revisión de la bandeja de entrada de su correo electrónico. </w:t>
      </w:r>
    </w:p>
    <w:p w14:paraId="43CDCB82"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Además, porque de las constancias del expediente se advierte que desde la primera notificación que se hizo a esa autoridad el veintisiete de julio</w:t>
      </w:r>
      <w:r>
        <w:rPr>
          <w:rFonts w:ascii="Arial" w:eastAsia="Arial" w:hAnsi="Arial" w:cs="Arial"/>
          <w:sz w:val="24"/>
          <w:szCs w:val="24"/>
          <w:vertAlign w:val="superscript"/>
        </w:rPr>
        <w:footnoteReference w:id="32"/>
      </w:r>
      <w:r>
        <w:rPr>
          <w:rFonts w:ascii="Arial" w:eastAsia="Arial" w:hAnsi="Arial" w:cs="Arial"/>
          <w:sz w:val="24"/>
          <w:szCs w:val="24"/>
        </w:rPr>
        <w:t xml:space="preserve">, se practicó de manera electrónica en términos de lo dispuesto en el artículo 22, párrafos segundo y tercero, de los Lineamientos de referencia, al cual recayó una promoción que se presentó también por correo electrónico el día siguiente, en el que la Presidenta Municipal acusó el recibo de la notificación y, además, señaló ese medio electrónico para la práctica de notificaciones. </w:t>
      </w:r>
    </w:p>
    <w:p w14:paraId="49050F45"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Conforme a todo lo anterior, al estar acreditado que la notificación tuvo efectos a partir del uno de septiembre, sin que a la fecha el </w:t>
      </w:r>
      <w:r>
        <w:rPr>
          <w:rFonts w:ascii="Arial" w:eastAsia="Arial" w:hAnsi="Arial" w:cs="Arial"/>
          <w:i/>
          <w:iCs/>
          <w:sz w:val="24"/>
          <w:szCs w:val="24"/>
        </w:rPr>
        <w:t>Ayuntamiento</w:t>
      </w:r>
      <w:r>
        <w:rPr>
          <w:rFonts w:ascii="Arial" w:eastAsia="Arial" w:hAnsi="Arial" w:cs="Arial"/>
          <w:sz w:val="24"/>
          <w:szCs w:val="24"/>
        </w:rPr>
        <w:t xml:space="preserve"> haya remitido las </w:t>
      </w:r>
      <w:r>
        <w:rPr>
          <w:rFonts w:ascii="Arial" w:eastAsia="Arial" w:hAnsi="Arial" w:cs="Arial"/>
          <w:sz w:val="24"/>
          <w:szCs w:val="24"/>
        </w:rPr>
        <w:lastRenderedPageBreak/>
        <w:t xml:space="preserve">constancias correspondientes a la celebración de la sesión en la que autoricen la transferencia de recursos a la </w:t>
      </w:r>
      <w:r>
        <w:rPr>
          <w:rFonts w:ascii="Arial" w:eastAsia="Arial" w:hAnsi="Arial" w:cs="Arial"/>
          <w:i/>
          <w:iCs/>
          <w:sz w:val="24"/>
          <w:szCs w:val="24"/>
        </w:rPr>
        <w:t>comunidad</w:t>
      </w:r>
      <w:r>
        <w:rPr>
          <w:rFonts w:ascii="Arial" w:eastAsia="Arial" w:hAnsi="Arial" w:cs="Arial"/>
          <w:sz w:val="24"/>
          <w:szCs w:val="24"/>
        </w:rPr>
        <w:t xml:space="preserve"> y su correspondiente notificación a la </w:t>
      </w:r>
      <w:r>
        <w:rPr>
          <w:rFonts w:ascii="Arial" w:eastAsia="Arial" w:hAnsi="Arial" w:cs="Arial"/>
          <w:i/>
          <w:iCs/>
          <w:sz w:val="24"/>
          <w:szCs w:val="24"/>
        </w:rPr>
        <w:t>Secretaría de Finanzas</w:t>
      </w:r>
      <w:r>
        <w:rPr>
          <w:rFonts w:ascii="Arial" w:eastAsia="Arial" w:hAnsi="Arial" w:cs="Arial"/>
          <w:sz w:val="24"/>
          <w:szCs w:val="24"/>
        </w:rPr>
        <w:t xml:space="preserve">, es que se estima </w:t>
      </w:r>
      <w:r>
        <w:rPr>
          <w:rFonts w:ascii="Arial" w:eastAsia="Arial" w:hAnsi="Arial" w:cs="Arial"/>
          <w:b/>
          <w:bCs/>
          <w:sz w:val="24"/>
          <w:szCs w:val="24"/>
        </w:rPr>
        <w:t>incumplido</w:t>
      </w:r>
      <w:r>
        <w:rPr>
          <w:rFonts w:ascii="Arial" w:eastAsia="Arial" w:hAnsi="Arial" w:cs="Arial"/>
          <w:sz w:val="24"/>
          <w:szCs w:val="24"/>
        </w:rPr>
        <w:t xml:space="preserve"> lo ordenado en la </w:t>
      </w:r>
      <w:r>
        <w:rPr>
          <w:rFonts w:ascii="Arial" w:eastAsia="Arial" w:hAnsi="Arial" w:cs="Arial"/>
          <w:i/>
          <w:iCs/>
          <w:sz w:val="24"/>
          <w:szCs w:val="24"/>
        </w:rPr>
        <w:t>sentencia</w:t>
      </w:r>
      <w:r>
        <w:rPr>
          <w:rFonts w:ascii="Arial" w:eastAsia="Arial" w:hAnsi="Arial" w:cs="Arial"/>
          <w:sz w:val="24"/>
          <w:szCs w:val="24"/>
        </w:rPr>
        <w:t>, porque la falta de verificación del medio de contacto proporcionado por la propia responsable no es justificación para el incumplimiento de los actos que le fueron ordenados.</w:t>
      </w:r>
    </w:p>
    <w:p w14:paraId="6227AA1F" w14:textId="77777777" w:rsidR="00AD5C9D" w:rsidRDefault="00000000">
      <w:pPr>
        <w:spacing w:before="280" w:after="280" w:line="360" w:lineRule="auto"/>
        <w:jc w:val="both"/>
        <w:rPr>
          <w:rFonts w:ascii="Arial" w:eastAsia="Arial" w:hAnsi="Arial" w:cs="Arial"/>
          <w:i/>
          <w:iCs/>
          <w:sz w:val="24"/>
          <w:szCs w:val="24"/>
        </w:rPr>
      </w:pPr>
      <w:r>
        <w:rPr>
          <w:rFonts w:ascii="Arial" w:eastAsia="Arial" w:hAnsi="Arial" w:cs="Arial"/>
          <w:sz w:val="24"/>
          <w:szCs w:val="24"/>
          <w:highlight w:val="white"/>
        </w:rPr>
        <w:t>A</w:t>
      </w:r>
      <w:r>
        <w:rPr>
          <w:rFonts w:ascii="Arial" w:eastAsia="Arial" w:hAnsi="Arial" w:cs="Arial"/>
          <w:sz w:val="24"/>
          <w:szCs w:val="24"/>
        </w:rPr>
        <w:t xml:space="preserve">unado a ello, como se mencionó, el ocho de octubre remitieron el acta de sesión de cabildo de veintinueve de septiembre, en la que, en lo que interesa, determinaron que la transferencia de los recursos la harían hasta enero de dos mil veintisiete, lo que se traduce en un reconocimiento expreso de que no han acatado la </w:t>
      </w:r>
      <w:r>
        <w:rPr>
          <w:rFonts w:ascii="Arial" w:eastAsia="Arial" w:hAnsi="Arial" w:cs="Arial"/>
          <w:i/>
          <w:iCs/>
          <w:sz w:val="24"/>
          <w:szCs w:val="24"/>
        </w:rPr>
        <w:t>sentencia.</w:t>
      </w:r>
    </w:p>
    <w:p w14:paraId="26B66239"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Sin que pase inadvertido que la Presidenta y el Síndico Municipal sostienen que con lo aprobado en la mencionada sesión han dado cumplimiento a lo ordenado; sin embargo, parten de una premisa inexacta, ya que pierden de vista que en los efectos se precisó un plazo cierto para que efectuaran las acciones necesarias para la transferencia de los recursos a la </w:t>
      </w:r>
      <w:r>
        <w:rPr>
          <w:rFonts w:ascii="Arial" w:eastAsia="Arial" w:hAnsi="Arial" w:cs="Arial"/>
          <w:i/>
          <w:iCs/>
          <w:sz w:val="24"/>
          <w:szCs w:val="24"/>
        </w:rPr>
        <w:t>comunidad</w:t>
      </w:r>
      <w:r>
        <w:rPr>
          <w:rFonts w:ascii="Arial" w:eastAsia="Arial" w:hAnsi="Arial" w:cs="Arial"/>
          <w:sz w:val="24"/>
          <w:szCs w:val="24"/>
        </w:rPr>
        <w:t xml:space="preserve">, por lo que la decisión de llevar a cabo dicha transferencia hasta enero del siguiente año no puede tomarse como un acatamiento, pues considerarlo de esa manera implicaría alterar lo determinado en la </w:t>
      </w:r>
      <w:r>
        <w:rPr>
          <w:rFonts w:ascii="Arial" w:eastAsia="Arial" w:hAnsi="Arial" w:cs="Arial"/>
          <w:i/>
          <w:iCs/>
          <w:sz w:val="24"/>
          <w:szCs w:val="24"/>
        </w:rPr>
        <w:t xml:space="preserve">sentencia, </w:t>
      </w:r>
      <w:r>
        <w:rPr>
          <w:rFonts w:ascii="Arial" w:eastAsia="Arial" w:hAnsi="Arial" w:cs="Arial"/>
          <w:sz w:val="24"/>
          <w:szCs w:val="24"/>
        </w:rPr>
        <w:t xml:space="preserve">lo cual es incorrecto, dado que ya es cosa juzgada y, por tanto, no puede ser objeto de modificación, pues equivaldría a permitir que el </w:t>
      </w:r>
      <w:r>
        <w:rPr>
          <w:rFonts w:ascii="Arial" w:eastAsia="Arial" w:hAnsi="Arial" w:cs="Arial"/>
          <w:i/>
          <w:iCs/>
          <w:sz w:val="24"/>
          <w:szCs w:val="24"/>
        </w:rPr>
        <w:t>Ayuntamiento</w:t>
      </w:r>
      <w:r>
        <w:rPr>
          <w:rFonts w:ascii="Arial" w:eastAsia="Arial" w:hAnsi="Arial" w:cs="Arial"/>
          <w:sz w:val="24"/>
          <w:szCs w:val="24"/>
        </w:rPr>
        <w:t xml:space="preserve"> alterara unilateralmente una determinación firme y trasladara a la </w:t>
      </w:r>
      <w:r>
        <w:rPr>
          <w:rFonts w:ascii="Arial" w:eastAsia="Arial" w:hAnsi="Arial" w:cs="Arial"/>
          <w:i/>
          <w:iCs/>
          <w:sz w:val="24"/>
          <w:szCs w:val="24"/>
        </w:rPr>
        <w:t>comunidad</w:t>
      </w:r>
      <w:r>
        <w:rPr>
          <w:rFonts w:ascii="Arial" w:eastAsia="Arial" w:hAnsi="Arial" w:cs="Arial"/>
          <w:sz w:val="24"/>
          <w:szCs w:val="24"/>
        </w:rPr>
        <w:t xml:space="preserve"> las consecuencias de su falta de previsión o coordinación administrativa.</w:t>
      </w:r>
    </w:p>
    <w:p w14:paraId="3DE2DAF5"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Entonces, la sola manifestación de que los recursos correspondientes a la </w:t>
      </w:r>
      <w:r>
        <w:rPr>
          <w:rFonts w:ascii="Arial" w:eastAsia="Arial" w:hAnsi="Arial" w:cs="Arial"/>
          <w:i/>
          <w:iCs/>
          <w:sz w:val="24"/>
          <w:szCs w:val="24"/>
        </w:rPr>
        <w:t>comunidad</w:t>
      </w:r>
      <w:r>
        <w:rPr>
          <w:rFonts w:ascii="Arial" w:eastAsia="Arial" w:hAnsi="Arial" w:cs="Arial"/>
          <w:sz w:val="24"/>
          <w:szCs w:val="24"/>
        </w:rPr>
        <w:t xml:space="preserve"> se encuentran presupuestados o son administrados por un diverso municipio no les releva del deber de desplegar, dentro de los plazos fijados, las actuaciones necesarias para hacer efectiva la transferencia; máxime que en la propia </w:t>
      </w:r>
      <w:r>
        <w:rPr>
          <w:rFonts w:ascii="Arial" w:eastAsia="Arial" w:hAnsi="Arial" w:cs="Arial"/>
          <w:i/>
          <w:iCs/>
          <w:sz w:val="24"/>
          <w:szCs w:val="24"/>
        </w:rPr>
        <w:t>sentencia</w:t>
      </w:r>
      <w:r>
        <w:rPr>
          <w:rFonts w:ascii="Arial" w:eastAsia="Arial" w:hAnsi="Arial" w:cs="Arial"/>
          <w:sz w:val="24"/>
          <w:szCs w:val="24"/>
        </w:rPr>
        <w:t xml:space="preserve"> se establecieron parámetros específicos para afrontar ese supuesto mediante ajustes, adecuaciones presupuestarias, gestiones administrativas y financieras o actos de coordinación con otras autoridades.</w:t>
      </w:r>
    </w:p>
    <w:p w14:paraId="42F6AFF6"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Ello es así porque se precisó que en caso de que los recursos económicos hubieran sido presupuestados en otro municipio, se encuentra obligado </w:t>
      </w:r>
      <w:r>
        <w:rPr>
          <w:rFonts w:ascii="Arial" w:eastAsia="Arial" w:hAnsi="Arial" w:cs="Arial"/>
          <w:i/>
          <w:iCs/>
          <w:sz w:val="24"/>
          <w:szCs w:val="24"/>
        </w:rPr>
        <w:t>a realizar ajustes, adecuaciones presupuestarias, gestiones administrativas y financieras o actos de coordinación con otras autoridades, corresponde al Ayuntamiento desplegar las actuaciones que sean necesarias para ello</w:t>
      </w:r>
      <w:r>
        <w:rPr>
          <w:rFonts w:ascii="Arial" w:eastAsia="Arial" w:hAnsi="Arial" w:cs="Arial"/>
          <w:sz w:val="24"/>
          <w:szCs w:val="24"/>
        </w:rPr>
        <w:t>, lo que no justifica en el caso concreto.</w:t>
      </w:r>
    </w:p>
    <w:p w14:paraId="0CC94ABC"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lastRenderedPageBreak/>
        <w:t xml:space="preserve">Así, al haber incumplido injustificadamente con lo ordenado en la </w:t>
      </w:r>
      <w:r>
        <w:rPr>
          <w:rFonts w:ascii="Arial" w:eastAsia="Arial" w:hAnsi="Arial" w:cs="Arial"/>
          <w:i/>
          <w:iCs/>
          <w:sz w:val="24"/>
          <w:szCs w:val="24"/>
        </w:rPr>
        <w:t>sentencia</w:t>
      </w:r>
      <w:r>
        <w:rPr>
          <w:rFonts w:ascii="Arial" w:eastAsia="Arial" w:hAnsi="Arial" w:cs="Arial"/>
          <w:sz w:val="24"/>
          <w:szCs w:val="24"/>
        </w:rPr>
        <w:t xml:space="preserve"> -en perjuicio de la c</w:t>
      </w:r>
      <w:r>
        <w:rPr>
          <w:rFonts w:ascii="Arial" w:eastAsia="Arial" w:hAnsi="Arial" w:cs="Arial"/>
          <w:i/>
          <w:iCs/>
          <w:sz w:val="24"/>
          <w:szCs w:val="24"/>
        </w:rPr>
        <w:t>omunidad</w:t>
      </w:r>
      <w:r>
        <w:rPr>
          <w:rFonts w:ascii="Arial" w:eastAsia="Arial" w:hAnsi="Arial" w:cs="Arial"/>
          <w:sz w:val="24"/>
          <w:szCs w:val="24"/>
        </w:rPr>
        <w:t xml:space="preserve">-, se </w:t>
      </w:r>
      <w:r>
        <w:rPr>
          <w:rFonts w:ascii="Arial" w:eastAsia="Arial" w:hAnsi="Arial" w:cs="Arial"/>
          <w:b/>
          <w:bCs/>
          <w:sz w:val="24"/>
          <w:szCs w:val="24"/>
        </w:rPr>
        <w:t xml:space="preserve">conmina </w:t>
      </w:r>
      <w:r>
        <w:rPr>
          <w:rFonts w:ascii="Arial" w:eastAsia="Arial" w:hAnsi="Arial" w:cs="Arial"/>
          <w:sz w:val="24"/>
          <w:szCs w:val="24"/>
        </w:rPr>
        <w:t xml:space="preserve">al </w:t>
      </w:r>
      <w:r>
        <w:rPr>
          <w:rFonts w:ascii="Arial" w:eastAsia="Arial" w:hAnsi="Arial" w:cs="Arial"/>
          <w:i/>
          <w:iCs/>
          <w:sz w:val="24"/>
          <w:szCs w:val="24"/>
        </w:rPr>
        <w:t>Ayuntamiento</w:t>
      </w:r>
      <w:r>
        <w:rPr>
          <w:rFonts w:ascii="Arial" w:eastAsia="Arial" w:hAnsi="Arial" w:cs="Arial"/>
          <w:sz w:val="24"/>
          <w:szCs w:val="24"/>
        </w:rPr>
        <w:t xml:space="preserve"> para que, en lo sucesivo, acate las determinaciones de este </w:t>
      </w:r>
      <w:r>
        <w:rPr>
          <w:rFonts w:ascii="Arial" w:eastAsia="Arial" w:hAnsi="Arial" w:cs="Arial"/>
          <w:i/>
          <w:iCs/>
          <w:sz w:val="24"/>
          <w:szCs w:val="24"/>
        </w:rPr>
        <w:t>Tribunal Electoral</w:t>
      </w:r>
      <w:r>
        <w:rPr>
          <w:rFonts w:ascii="Arial" w:eastAsia="Arial" w:hAnsi="Arial" w:cs="Arial"/>
          <w:sz w:val="24"/>
          <w:szCs w:val="24"/>
        </w:rPr>
        <w:t xml:space="preserve"> en la forma y tiempos que para ello se establezcan. </w:t>
      </w:r>
    </w:p>
    <w:p w14:paraId="2144C406" w14:textId="77777777" w:rsidR="00AD5C9D" w:rsidRDefault="00000000">
      <w:pPr>
        <w:spacing w:before="280" w:after="280" w:line="360" w:lineRule="auto"/>
        <w:jc w:val="center"/>
        <w:rPr>
          <w:rFonts w:ascii="Arial" w:eastAsia="Arial" w:hAnsi="Arial" w:cs="Arial"/>
          <w:b/>
          <w:bCs/>
          <w:color w:val="000000"/>
          <w:sz w:val="24"/>
          <w:szCs w:val="24"/>
        </w:rPr>
      </w:pPr>
      <w:bookmarkStart w:id="8" w:name="_heading=h.eh3eus8unnjk" w:colFirst="0" w:colLast="0"/>
      <w:bookmarkEnd w:id="8"/>
      <w:r>
        <w:rPr>
          <w:rFonts w:ascii="Arial" w:eastAsia="Arial" w:hAnsi="Arial" w:cs="Arial"/>
          <w:b/>
          <w:bCs/>
          <w:color w:val="000000"/>
          <w:sz w:val="24"/>
          <w:szCs w:val="24"/>
        </w:rPr>
        <w:t>V. EFECTOS</w:t>
      </w:r>
    </w:p>
    <w:p w14:paraId="6620D6B8" w14:textId="77777777" w:rsidR="00AD5C9D" w:rsidRDefault="00000000">
      <w:pPr>
        <w:spacing w:before="280" w:after="280" w:line="360" w:lineRule="auto"/>
        <w:jc w:val="both"/>
        <w:rPr>
          <w:rFonts w:ascii="Arial" w:eastAsia="Arial" w:hAnsi="Arial" w:cs="Arial"/>
          <w:i/>
          <w:iCs/>
          <w:sz w:val="24"/>
          <w:szCs w:val="24"/>
        </w:rPr>
      </w:pPr>
      <w:r>
        <w:rPr>
          <w:rFonts w:ascii="Arial" w:eastAsia="Arial" w:hAnsi="Arial" w:cs="Arial"/>
          <w:sz w:val="24"/>
          <w:szCs w:val="24"/>
        </w:rPr>
        <w:t xml:space="preserve">Ante el desacato de la </w:t>
      </w:r>
      <w:r>
        <w:rPr>
          <w:rFonts w:ascii="Arial" w:eastAsia="Arial" w:hAnsi="Arial" w:cs="Arial"/>
          <w:i/>
          <w:iCs/>
          <w:sz w:val="24"/>
          <w:szCs w:val="24"/>
        </w:rPr>
        <w:t>sentencia</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 xml:space="preserve">se establecen los siguientes efectos tendentes a garantizar el efectivo cumplimiento de lo ordenado por el Pleno de este </w:t>
      </w:r>
      <w:r>
        <w:rPr>
          <w:rFonts w:ascii="Arial" w:eastAsia="Arial" w:hAnsi="Arial" w:cs="Arial"/>
          <w:i/>
          <w:iCs/>
          <w:sz w:val="24"/>
          <w:szCs w:val="24"/>
        </w:rPr>
        <w:t xml:space="preserve">Tribunal Electoral. </w:t>
      </w:r>
    </w:p>
    <w:p w14:paraId="14DA480F"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Dentro del plazo de </w:t>
      </w:r>
      <w:r>
        <w:rPr>
          <w:rFonts w:ascii="Arial" w:eastAsia="Arial" w:hAnsi="Arial" w:cs="Arial"/>
          <w:b/>
          <w:bCs/>
          <w:sz w:val="24"/>
          <w:szCs w:val="24"/>
        </w:rPr>
        <w:t>cinco días hábiles</w:t>
      </w:r>
      <w:r>
        <w:rPr>
          <w:rFonts w:ascii="Arial" w:eastAsia="Arial" w:hAnsi="Arial" w:cs="Arial"/>
          <w:sz w:val="24"/>
          <w:szCs w:val="24"/>
        </w:rPr>
        <w:t xml:space="preserve"> siguientes a la notificación de este acuerdo, el </w:t>
      </w:r>
      <w:r>
        <w:rPr>
          <w:rFonts w:ascii="Arial" w:eastAsia="Arial" w:hAnsi="Arial" w:cs="Arial"/>
          <w:i/>
          <w:iCs/>
          <w:sz w:val="24"/>
          <w:szCs w:val="24"/>
        </w:rPr>
        <w:t>Ayuntamiento</w:t>
      </w:r>
      <w:r>
        <w:rPr>
          <w:rFonts w:ascii="Arial" w:eastAsia="Arial" w:hAnsi="Arial" w:cs="Arial"/>
          <w:sz w:val="24"/>
          <w:szCs w:val="24"/>
        </w:rPr>
        <w:t xml:space="preserve"> deberá celebrar sesión de Cabildo, en la que se autorice la transferencia de recursos en los términos aprobados en la consulta de once de enero, en cuya acta que se levante para tal efecto se deberá cumplir con los siguientes parámetros:</w:t>
      </w:r>
    </w:p>
    <w:p w14:paraId="150B1A8E" w14:textId="77777777" w:rsidR="00AD5C9D" w:rsidRDefault="00000000">
      <w:pPr>
        <w:numPr>
          <w:ilvl w:val="0"/>
          <w:numId w:val="2"/>
        </w:numPr>
        <w:spacing w:before="280" w:after="0" w:line="360" w:lineRule="auto"/>
        <w:ind w:left="723"/>
        <w:jc w:val="both"/>
        <w:rPr>
          <w:rFonts w:ascii="Arial" w:eastAsia="Arial" w:hAnsi="Arial" w:cs="Arial"/>
          <w:sz w:val="24"/>
          <w:szCs w:val="24"/>
        </w:rPr>
      </w:pPr>
      <w:r>
        <w:rPr>
          <w:rFonts w:ascii="Arial" w:eastAsia="Arial" w:hAnsi="Arial" w:cs="Arial"/>
          <w:sz w:val="24"/>
          <w:szCs w:val="24"/>
        </w:rPr>
        <w:t xml:space="preserve">Autorización dirigida al titular de la </w:t>
      </w:r>
      <w:r>
        <w:rPr>
          <w:rFonts w:ascii="Arial" w:eastAsia="Arial" w:hAnsi="Arial" w:cs="Arial"/>
          <w:i/>
          <w:iCs/>
          <w:sz w:val="24"/>
          <w:szCs w:val="24"/>
        </w:rPr>
        <w:t xml:space="preserve">Secretaría de Finanzas </w:t>
      </w:r>
      <w:r>
        <w:rPr>
          <w:rFonts w:ascii="Arial" w:eastAsia="Arial" w:hAnsi="Arial" w:cs="Arial"/>
          <w:sz w:val="24"/>
          <w:szCs w:val="24"/>
        </w:rPr>
        <w:t>para realizar la transferencia de recursos que corresponden a la c</w:t>
      </w:r>
      <w:r>
        <w:rPr>
          <w:rFonts w:ascii="Arial" w:eastAsia="Arial" w:hAnsi="Arial" w:cs="Arial"/>
          <w:i/>
          <w:iCs/>
          <w:sz w:val="24"/>
          <w:szCs w:val="24"/>
        </w:rPr>
        <w:t>omunidad</w:t>
      </w:r>
      <w:r>
        <w:rPr>
          <w:rFonts w:ascii="Arial" w:eastAsia="Arial" w:hAnsi="Arial" w:cs="Arial"/>
          <w:sz w:val="24"/>
          <w:szCs w:val="24"/>
        </w:rPr>
        <w:t>;</w:t>
      </w:r>
    </w:p>
    <w:p w14:paraId="6606686A" w14:textId="77777777" w:rsidR="00AD5C9D" w:rsidRDefault="00000000">
      <w:pPr>
        <w:numPr>
          <w:ilvl w:val="0"/>
          <w:numId w:val="2"/>
        </w:numPr>
        <w:spacing w:after="0" w:line="360" w:lineRule="auto"/>
        <w:ind w:left="723"/>
        <w:jc w:val="both"/>
        <w:rPr>
          <w:rFonts w:ascii="Arial" w:eastAsia="Arial" w:hAnsi="Arial" w:cs="Arial"/>
          <w:sz w:val="24"/>
          <w:szCs w:val="24"/>
        </w:rPr>
      </w:pPr>
      <w:r>
        <w:rPr>
          <w:rFonts w:ascii="Arial" w:eastAsia="Arial" w:hAnsi="Arial" w:cs="Arial"/>
          <w:sz w:val="24"/>
          <w:szCs w:val="24"/>
        </w:rPr>
        <w:t xml:space="preserve">Transferencia de funciones y responsabilidades del </w:t>
      </w:r>
      <w:r>
        <w:rPr>
          <w:rFonts w:ascii="Arial" w:eastAsia="Arial" w:hAnsi="Arial" w:cs="Arial"/>
          <w:i/>
          <w:iCs/>
          <w:sz w:val="24"/>
          <w:szCs w:val="24"/>
        </w:rPr>
        <w:t>Ayuntamiento</w:t>
      </w:r>
      <w:r>
        <w:rPr>
          <w:rFonts w:ascii="Arial" w:eastAsia="Arial" w:hAnsi="Arial" w:cs="Arial"/>
          <w:sz w:val="24"/>
          <w:szCs w:val="24"/>
        </w:rPr>
        <w:t xml:space="preserve"> hacia la </w:t>
      </w:r>
      <w:r>
        <w:rPr>
          <w:rFonts w:ascii="Arial" w:eastAsia="Arial" w:hAnsi="Arial" w:cs="Arial"/>
          <w:i/>
          <w:iCs/>
          <w:sz w:val="24"/>
          <w:szCs w:val="24"/>
        </w:rPr>
        <w:t>comunidad</w:t>
      </w:r>
      <w:r>
        <w:rPr>
          <w:rFonts w:ascii="Arial" w:eastAsia="Arial" w:hAnsi="Arial" w:cs="Arial"/>
          <w:sz w:val="24"/>
          <w:szCs w:val="24"/>
        </w:rPr>
        <w:t xml:space="preserve"> para el ejercicio del presupuesto directo; y,</w:t>
      </w:r>
    </w:p>
    <w:p w14:paraId="1EE09881" w14:textId="77777777" w:rsidR="00AD5C9D" w:rsidRDefault="00000000">
      <w:pPr>
        <w:numPr>
          <w:ilvl w:val="0"/>
          <w:numId w:val="2"/>
        </w:numPr>
        <w:spacing w:after="280" w:line="360" w:lineRule="auto"/>
        <w:ind w:left="723"/>
        <w:jc w:val="both"/>
        <w:rPr>
          <w:rFonts w:ascii="Arial" w:eastAsia="Arial" w:hAnsi="Arial" w:cs="Arial"/>
          <w:sz w:val="24"/>
          <w:szCs w:val="24"/>
        </w:rPr>
      </w:pPr>
      <w:r>
        <w:rPr>
          <w:rFonts w:ascii="Arial" w:eastAsia="Arial" w:hAnsi="Arial" w:cs="Arial"/>
          <w:sz w:val="24"/>
          <w:szCs w:val="24"/>
        </w:rPr>
        <w:t xml:space="preserve">Temporalidad en la cual surtirá efectos la transferencia, vinculada a la próxima ministración de recursos o al momento en que se acredite el cumplimiento de los requisitos fiscales correspondientes. </w:t>
      </w:r>
    </w:p>
    <w:p w14:paraId="29475938"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Una vez aprobada la autorización a que se refiere el punto anterior, dentro del plazo de </w:t>
      </w:r>
      <w:r>
        <w:rPr>
          <w:rFonts w:ascii="Arial" w:eastAsia="Arial" w:hAnsi="Arial" w:cs="Arial"/>
          <w:b/>
          <w:bCs/>
          <w:sz w:val="24"/>
          <w:szCs w:val="24"/>
        </w:rPr>
        <w:t>tres días hábiles</w:t>
      </w:r>
      <w:r>
        <w:rPr>
          <w:rFonts w:ascii="Arial" w:eastAsia="Arial" w:hAnsi="Arial" w:cs="Arial"/>
          <w:sz w:val="24"/>
          <w:szCs w:val="24"/>
        </w:rPr>
        <w:t xml:space="preserve"> siguientes, deberá notificar a la </w:t>
      </w:r>
      <w:r>
        <w:rPr>
          <w:rFonts w:ascii="Arial" w:eastAsia="Arial" w:hAnsi="Arial" w:cs="Arial"/>
          <w:i/>
          <w:iCs/>
          <w:sz w:val="24"/>
          <w:szCs w:val="24"/>
        </w:rPr>
        <w:t>Secretaría de Finanzas</w:t>
      </w:r>
      <w:r>
        <w:rPr>
          <w:rFonts w:ascii="Arial" w:eastAsia="Arial" w:hAnsi="Arial" w:cs="Arial"/>
          <w:sz w:val="24"/>
          <w:szCs w:val="24"/>
        </w:rPr>
        <w:t xml:space="preserve"> dicha determinación.</w:t>
      </w:r>
    </w:p>
    <w:p w14:paraId="31367058"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Debiendo remitir a este </w:t>
      </w:r>
      <w:r>
        <w:rPr>
          <w:rFonts w:ascii="Arial" w:eastAsia="Arial" w:hAnsi="Arial" w:cs="Arial"/>
          <w:i/>
          <w:iCs/>
          <w:sz w:val="24"/>
          <w:szCs w:val="24"/>
        </w:rPr>
        <w:t xml:space="preserve">órgano jurisdiccional </w:t>
      </w:r>
      <w:r>
        <w:rPr>
          <w:rFonts w:ascii="Arial" w:eastAsia="Arial" w:hAnsi="Arial" w:cs="Arial"/>
          <w:sz w:val="24"/>
          <w:szCs w:val="24"/>
        </w:rPr>
        <w:t xml:space="preserve">las constancias físicas que acrediten el cumplimiento a lo ordenado, dentro del plazo de </w:t>
      </w:r>
      <w:r>
        <w:rPr>
          <w:rFonts w:ascii="Arial" w:eastAsia="Arial" w:hAnsi="Arial" w:cs="Arial"/>
          <w:b/>
          <w:bCs/>
          <w:sz w:val="24"/>
          <w:szCs w:val="24"/>
        </w:rPr>
        <w:t>dos días hábiles</w:t>
      </w:r>
      <w:r>
        <w:rPr>
          <w:rFonts w:ascii="Arial" w:eastAsia="Arial" w:hAnsi="Arial" w:cs="Arial"/>
          <w:sz w:val="24"/>
          <w:szCs w:val="24"/>
        </w:rPr>
        <w:t xml:space="preserve"> siguientes a que ello ocurra. </w:t>
      </w:r>
    </w:p>
    <w:p w14:paraId="10809FE3"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sz w:val="24"/>
          <w:szCs w:val="24"/>
        </w:rPr>
        <w:t xml:space="preserve">Lo anterior, bajo el </w:t>
      </w:r>
      <w:r>
        <w:rPr>
          <w:rFonts w:ascii="Arial" w:eastAsia="Arial" w:hAnsi="Arial" w:cs="Arial"/>
          <w:b/>
          <w:bCs/>
          <w:sz w:val="24"/>
          <w:szCs w:val="24"/>
        </w:rPr>
        <w:t>apercibimiento</w:t>
      </w:r>
      <w:r>
        <w:rPr>
          <w:rFonts w:ascii="Arial" w:eastAsia="Arial" w:hAnsi="Arial" w:cs="Arial"/>
          <w:sz w:val="24"/>
          <w:szCs w:val="24"/>
        </w:rPr>
        <w:t xml:space="preserve"> de que, en caso de no cumplir con lo ordenado, se procederá a la aplicación, de manera individual a cada uno de los integrantes del Cabildo, del medio de apremio previsto en el artículo 44, fracción I, de la </w:t>
      </w:r>
      <w:r>
        <w:rPr>
          <w:rFonts w:ascii="Arial" w:eastAsia="Arial" w:hAnsi="Arial" w:cs="Arial"/>
          <w:i/>
          <w:iCs/>
          <w:sz w:val="24"/>
          <w:szCs w:val="24"/>
        </w:rPr>
        <w:t>Ley de Justicia Electoral</w:t>
      </w:r>
      <w:r>
        <w:rPr>
          <w:rFonts w:ascii="Arial" w:eastAsia="Arial" w:hAnsi="Arial" w:cs="Arial"/>
          <w:sz w:val="24"/>
          <w:szCs w:val="24"/>
        </w:rPr>
        <w:t xml:space="preserve">, consistente en una </w:t>
      </w:r>
      <w:r>
        <w:rPr>
          <w:rFonts w:ascii="Arial" w:eastAsia="Arial" w:hAnsi="Arial" w:cs="Arial"/>
          <w:b/>
          <w:bCs/>
          <w:sz w:val="24"/>
          <w:szCs w:val="24"/>
        </w:rPr>
        <w:t>multa</w:t>
      </w:r>
      <w:r>
        <w:rPr>
          <w:rFonts w:ascii="Arial" w:eastAsia="Arial" w:hAnsi="Arial" w:cs="Arial"/>
          <w:sz w:val="24"/>
          <w:szCs w:val="24"/>
        </w:rPr>
        <w:t xml:space="preserve"> de hasta </w:t>
      </w:r>
      <w:r>
        <w:rPr>
          <w:rFonts w:ascii="Arial" w:eastAsia="Arial" w:hAnsi="Arial" w:cs="Arial"/>
          <w:b/>
          <w:bCs/>
          <w:sz w:val="24"/>
          <w:szCs w:val="24"/>
        </w:rPr>
        <w:t>cien veces</w:t>
      </w:r>
      <w:r>
        <w:rPr>
          <w:rFonts w:ascii="Arial" w:eastAsia="Arial" w:hAnsi="Arial" w:cs="Arial"/>
          <w:sz w:val="24"/>
          <w:szCs w:val="24"/>
        </w:rPr>
        <w:t xml:space="preserve"> el valor diario de la Unidad de Medida y Actualización, </w:t>
      </w:r>
      <w:r>
        <w:rPr>
          <w:rFonts w:ascii="Arial" w:eastAsia="Arial" w:hAnsi="Arial" w:cs="Arial"/>
          <w:sz w:val="24"/>
          <w:szCs w:val="24"/>
          <w:u w:val="single"/>
        </w:rPr>
        <w:t>la cual deberá de ser pagada de su propio peculio por los funcionarios públicos municipales responsables.</w:t>
      </w:r>
    </w:p>
    <w:p w14:paraId="3182789E" w14:textId="77777777" w:rsidR="00AD5C9D" w:rsidRDefault="00000000">
      <w:pPr>
        <w:spacing w:before="280" w:after="280" w:line="360" w:lineRule="auto"/>
        <w:jc w:val="both"/>
        <w:rPr>
          <w:rFonts w:ascii="Arial" w:eastAsia="Arial" w:hAnsi="Arial" w:cs="Arial"/>
          <w:color w:val="212121"/>
          <w:sz w:val="24"/>
          <w:szCs w:val="24"/>
        </w:rPr>
      </w:pPr>
      <w:r>
        <w:rPr>
          <w:rFonts w:ascii="Arial" w:eastAsia="Arial" w:hAnsi="Arial" w:cs="Arial"/>
          <w:color w:val="212121"/>
          <w:sz w:val="24"/>
          <w:szCs w:val="24"/>
        </w:rPr>
        <w:lastRenderedPageBreak/>
        <w:t xml:space="preserve">Ahora, en cuanto a la falta de difusión en que ha incurrido el </w:t>
      </w:r>
      <w:r>
        <w:rPr>
          <w:rFonts w:ascii="Arial" w:eastAsia="Arial" w:hAnsi="Arial" w:cs="Arial"/>
          <w:i/>
          <w:iCs/>
          <w:color w:val="212121"/>
          <w:sz w:val="24"/>
          <w:szCs w:val="24"/>
        </w:rPr>
        <w:t>Ayuntamiento</w:t>
      </w:r>
      <w:r>
        <w:rPr>
          <w:rFonts w:ascii="Arial" w:eastAsia="Arial" w:hAnsi="Arial" w:cs="Arial"/>
          <w:color w:val="212121"/>
          <w:sz w:val="24"/>
          <w:szCs w:val="24"/>
        </w:rPr>
        <w:t xml:space="preserve">, lo ordinario sería ordenarle realizarla de inmediato; sin embargo, en estos momentos a ningún fin práctico conduciría ordenar tal acción, pues ello podría operar en detrimento de la </w:t>
      </w:r>
      <w:r>
        <w:rPr>
          <w:rFonts w:ascii="Arial" w:eastAsia="Arial" w:hAnsi="Arial" w:cs="Arial"/>
          <w:i/>
          <w:iCs/>
          <w:color w:val="212121"/>
          <w:sz w:val="24"/>
          <w:szCs w:val="24"/>
        </w:rPr>
        <w:t>comunidad</w:t>
      </w:r>
      <w:r>
        <w:rPr>
          <w:rFonts w:ascii="Arial" w:eastAsia="Arial" w:hAnsi="Arial" w:cs="Arial"/>
          <w:color w:val="212121"/>
          <w:sz w:val="24"/>
          <w:szCs w:val="24"/>
        </w:rPr>
        <w:t xml:space="preserve">, sobre todo si se tiene en consideración que está acreditado que el </w:t>
      </w:r>
      <w:r>
        <w:rPr>
          <w:rFonts w:ascii="Arial" w:eastAsia="Arial" w:hAnsi="Arial" w:cs="Arial"/>
          <w:i/>
          <w:iCs/>
          <w:color w:val="212121"/>
          <w:sz w:val="24"/>
          <w:szCs w:val="24"/>
        </w:rPr>
        <w:t>SMRT</w:t>
      </w:r>
      <w:r>
        <w:rPr>
          <w:rFonts w:ascii="Arial" w:eastAsia="Arial" w:hAnsi="Arial" w:cs="Arial"/>
          <w:color w:val="212121"/>
          <w:sz w:val="24"/>
          <w:szCs w:val="24"/>
        </w:rPr>
        <w:t xml:space="preserve"> realizó la difusión que se le ordenó, con lo que puede tenerse por garantizado que se hizo del conocimiento de la población la </w:t>
      </w:r>
      <w:r>
        <w:rPr>
          <w:rFonts w:ascii="Arial" w:eastAsia="Arial" w:hAnsi="Arial" w:cs="Arial"/>
          <w:i/>
          <w:iCs/>
          <w:color w:val="212121"/>
          <w:sz w:val="24"/>
          <w:szCs w:val="24"/>
        </w:rPr>
        <w:t>sentencia.</w:t>
      </w:r>
    </w:p>
    <w:p w14:paraId="755A253B" w14:textId="77777777" w:rsidR="00AD5C9D" w:rsidRDefault="00000000">
      <w:pPr>
        <w:spacing w:before="280" w:after="280" w:line="360" w:lineRule="auto"/>
        <w:jc w:val="both"/>
        <w:rPr>
          <w:rFonts w:ascii="Arial" w:eastAsia="Arial" w:hAnsi="Arial" w:cs="Arial"/>
          <w:color w:val="212121"/>
          <w:sz w:val="24"/>
          <w:szCs w:val="24"/>
        </w:rPr>
      </w:pPr>
      <w:r>
        <w:rPr>
          <w:rFonts w:ascii="Arial" w:eastAsia="Arial" w:hAnsi="Arial" w:cs="Arial"/>
          <w:color w:val="212121"/>
          <w:sz w:val="24"/>
          <w:szCs w:val="24"/>
        </w:rPr>
        <w:t>Por lo expuesto y fundado se:</w:t>
      </w:r>
    </w:p>
    <w:p w14:paraId="1E532E7D" w14:textId="77777777" w:rsidR="00AD5C9D" w:rsidRDefault="00000000">
      <w:pPr>
        <w:spacing w:before="280" w:after="280" w:line="360" w:lineRule="auto"/>
        <w:jc w:val="center"/>
        <w:rPr>
          <w:rFonts w:ascii="Arial" w:eastAsia="Arial" w:hAnsi="Arial" w:cs="Arial"/>
          <w:b/>
          <w:bCs/>
          <w:color w:val="000000"/>
          <w:sz w:val="24"/>
          <w:szCs w:val="24"/>
        </w:rPr>
      </w:pPr>
      <w:bookmarkStart w:id="9" w:name="_heading=h.g19r9zdnqyno" w:colFirst="0" w:colLast="0"/>
      <w:bookmarkEnd w:id="9"/>
      <w:r>
        <w:rPr>
          <w:rFonts w:ascii="Arial" w:eastAsia="Arial" w:hAnsi="Arial" w:cs="Arial"/>
          <w:b/>
          <w:bCs/>
          <w:sz w:val="24"/>
          <w:szCs w:val="24"/>
        </w:rPr>
        <w:t>VI. ACUERDA</w:t>
      </w:r>
    </w:p>
    <w:p w14:paraId="782B342B"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 xml:space="preserve">PRIMERO. </w:t>
      </w:r>
      <w:r>
        <w:rPr>
          <w:rFonts w:ascii="Arial" w:eastAsia="Arial" w:hAnsi="Arial" w:cs="Arial"/>
          <w:sz w:val="24"/>
          <w:szCs w:val="24"/>
        </w:rPr>
        <w:t xml:space="preserve">Se declara el </w:t>
      </w:r>
      <w:r>
        <w:rPr>
          <w:rFonts w:ascii="Arial" w:eastAsia="Arial" w:hAnsi="Arial" w:cs="Arial"/>
          <w:b/>
          <w:bCs/>
          <w:sz w:val="24"/>
          <w:szCs w:val="24"/>
        </w:rPr>
        <w:t>incumplimiento</w:t>
      </w:r>
      <w:r>
        <w:rPr>
          <w:rFonts w:ascii="Arial" w:eastAsia="Arial" w:hAnsi="Arial" w:cs="Arial"/>
          <w:sz w:val="24"/>
          <w:szCs w:val="24"/>
        </w:rPr>
        <w:t xml:space="preserve"> de la sentencia dictada el veintisiete de agosto en el juicio para la protección de los derechos político-electorales TEEM-JDC-071/2026, por parte del Ayuntamiento de Tingüindín, Michoacán.</w:t>
      </w:r>
    </w:p>
    <w:p w14:paraId="2C7D4FC1"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SEGUNDO.</w:t>
      </w:r>
      <w:r>
        <w:rPr>
          <w:rFonts w:ascii="Arial" w:eastAsia="Arial" w:hAnsi="Arial" w:cs="Arial"/>
          <w:sz w:val="24"/>
          <w:szCs w:val="24"/>
        </w:rPr>
        <w:t xml:space="preserve"> Se </w:t>
      </w:r>
      <w:r>
        <w:rPr>
          <w:rFonts w:ascii="Arial" w:eastAsia="Arial" w:hAnsi="Arial" w:cs="Arial"/>
          <w:b/>
          <w:bCs/>
          <w:sz w:val="24"/>
          <w:szCs w:val="24"/>
        </w:rPr>
        <w:t>conmina</w:t>
      </w:r>
      <w:r>
        <w:rPr>
          <w:rFonts w:ascii="Arial" w:eastAsia="Arial" w:hAnsi="Arial" w:cs="Arial"/>
          <w:sz w:val="24"/>
          <w:szCs w:val="24"/>
        </w:rPr>
        <w:t xml:space="preserve"> al Ayuntamiento de Tingüindín, Michoacán, para que en lo sucesivo cumpla en tiempo y forma con las determinaciones de este Tribunal.</w:t>
      </w:r>
    </w:p>
    <w:p w14:paraId="5E697BF3"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TERCERO.</w:t>
      </w:r>
      <w:r>
        <w:rPr>
          <w:rFonts w:ascii="Arial" w:eastAsia="Arial" w:hAnsi="Arial" w:cs="Arial"/>
          <w:sz w:val="24"/>
          <w:szCs w:val="24"/>
        </w:rPr>
        <w:t xml:space="preserve"> Se </w:t>
      </w:r>
      <w:r>
        <w:rPr>
          <w:rFonts w:ascii="Arial" w:eastAsia="Arial" w:hAnsi="Arial" w:cs="Arial"/>
          <w:b/>
          <w:bCs/>
          <w:sz w:val="24"/>
          <w:szCs w:val="24"/>
        </w:rPr>
        <w:t>ordena</w:t>
      </w:r>
      <w:r>
        <w:rPr>
          <w:rFonts w:ascii="Arial" w:eastAsia="Arial" w:hAnsi="Arial" w:cs="Arial"/>
          <w:sz w:val="24"/>
          <w:szCs w:val="24"/>
        </w:rPr>
        <w:t xml:space="preserve"> a los integrantes del Ayuntamiento de Tingüindín, Michoacán, cumplir en la forma y términos señalados en el apartado de efectos del presente acuerdo. </w:t>
      </w:r>
    </w:p>
    <w:p w14:paraId="0FC4F525"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 xml:space="preserve">CUARTO. </w:t>
      </w:r>
      <w:r>
        <w:rPr>
          <w:rFonts w:ascii="Arial" w:eastAsia="Arial" w:hAnsi="Arial" w:cs="Arial"/>
          <w:sz w:val="24"/>
          <w:szCs w:val="24"/>
        </w:rPr>
        <w:t xml:space="preserve">Se </w:t>
      </w:r>
      <w:r>
        <w:rPr>
          <w:rFonts w:ascii="Arial" w:eastAsia="Arial" w:hAnsi="Arial" w:cs="Arial"/>
          <w:b/>
          <w:bCs/>
          <w:sz w:val="24"/>
          <w:szCs w:val="24"/>
        </w:rPr>
        <w:t>apercibe</w:t>
      </w:r>
      <w:r>
        <w:rPr>
          <w:rFonts w:ascii="Arial" w:eastAsia="Arial" w:hAnsi="Arial" w:cs="Arial"/>
          <w:sz w:val="24"/>
          <w:szCs w:val="24"/>
        </w:rPr>
        <w:t xml:space="preserve"> a los integrantes del Cabildo del Ayuntamiento de Tingüindín, Michoacán, en los términos expuestos en el apartado de efectos del presente acuerdo. </w:t>
      </w:r>
    </w:p>
    <w:p w14:paraId="11FD3415" w14:textId="77777777" w:rsidR="00AD5C9D" w:rsidRDefault="00000000">
      <w:pPr>
        <w:spacing w:before="280" w:after="280" w:line="360" w:lineRule="auto"/>
        <w:jc w:val="both"/>
        <w:rPr>
          <w:rFonts w:ascii="Arial" w:eastAsia="Arial" w:hAnsi="Arial" w:cs="Arial"/>
          <w:sz w:val="24"/>
          <w:szCs w:val="24"/>
        </w:rPr>
      </w:pPr>
      <w:r>
        <w:rPr>
          <w:rFonts w:ascii="Arial" w:eastAsia="Arial" w:hAnsi="Arial" w:cs="Arial"/>
          <w:b/>
          <w:bCs/>
          <w:sz w:val="24"/>
          <w:szCs w:val="24"/>
        </w:rPr>
        <w:t xml:space="preserve">QUINTO. </w:t>
      </w:r>
      <w:r>
        <w:rPr>
          <w:rFonts w:ascii="Arial" w:eastAsia="Arial" w:hAnsi="Arial" w:cs="Arial"/>
          <w:sz w:val="24"/>
          <w:szCs w:val="24"/>
        </w:rPr>
        <w:t xml:space="preserve">Se declara el </w:t>
      </w:r>
      <w:r>
        <w:rPr>
          <w:rFonts w:ascii="Arial" w:eastAsia="Arial" w:hAnsi="Arial" w:cs="Arial"/>
          <w:b/>
          <w:bCs/>
          <w:sz w:val="24"/>
          <w:szCs w:val="24"/>
        </w:rPr>
        <w:t>cumplimiento</w:t>
      </w:r>
      <w:r>
        <w:rPr>
          <w:rFonts w:ascii="Arial" w:eastAsia="Arial" w:hAnsi="Arial" w:cs="Arial"/>
          <w:sz w:val="24"/>
          <w:szCs w:val="24"/>
        </w:rPr>
        <w:t xml:space="preserve"> de la sentencia dictada el veintisiete de agosto en el juicio para la protección de los derechos político-electorales TEEM-JDC-071/2026, por parte de la Secretaría General de Acuerdos de este Tribunal, así como del Sistema Michoacano de Radio y Televisión. </w:t>
      </w:r>
    </w:p>
    <w:p w14:paraId="39C3C07A" w14:textId="77777777" w:rsidR="00AD5C9D" w:rsidRDefault="00000000">
      <w:pPr>
        <w:tabs>
          <w:tab w:val="left" w:pos="5730"/>
        </w:tabs>
        <w:spacing w:before="280" w:after="280" w:line="360" w:lineRule="auto"/>
        <w:jc w:val="both"/>
        <w:rPr>
          <w:rFonts w:ascii="Arial" w:eastAsia="Arial" w:hAnsi="Arial" w:cs="Arial"/>
          <w:sz w:val="24"/>
          <w:szCs w:val="24"/>
        </w:rPr>
      </w:pPr>
      <w:r>
        <w:rPr>
          <w:rFonts w:ascii="Arial" w:eastAsia="Arial" w:hAnsi="Arial" w:cs="Arial"/>
          <w:b/>
          <w:bCs/>
          <w:sz w:val="24"/>
          <w:szCs w:val="24"/>
        </w:rPr>
        <w:t>Notifíquese. Personalmente</w:t>
      </w:r>
      <w:r>
        <w:rPr>
          <w:rFonts w:ascii="Arial" w:eastAsia="Arial" w:hAnsi="Arial" w:cs="Arial"/>
          <w:sz w:val="24"/>
          <w:szCs w:val="24"/>
        </w:rPr>
        <w:t xml:space="preserve">, a la parte actora; </w:t>
      </w:r>
      <w:r>
        <w:rPr>
          <w:rFonts w:ascii="Arial" w:eastAsia="Arial" w:hAnsi="Arial" w:cs="Arial"/>
          <w:b/>
          <w:bCs/>
          <w:sz w:val="24"/>
          <w:szCs w:val="24"/>
        </w:rPr>
        <w:t>por oficio</w:t>
      </w:r>
      <w:r>
        <w:rPr>
          <w:rFonts w:ascii="Arial" w:eastAsia="Arial" w:hAnsi="Arial" w:cs="Arial"/>
          <w:sz w:val="24"/>
          <w:szCs w:val="24"/>
        </w:rPr>
        <w:t xml:space="preserve"> a la autoridad responsable y autoridades vinculadas, así como a cada uno de los integrantes del Cabildo del Ayuntamiento de Tingüindín, Michoacán; y, </w:t>
      </w:r>
      <w:r>
        <w:rPr>
          <w:rFonts w:ascii="Arial" w:eastAsia="Arial" w:hAnsi="Arial" w:cs="Arial"/>
          <w:b/>
          <w:bCs/>
          <w:sz w:val="24"/>
          <w:szCs w:val="24"/>
        </w:rPr>
        <w:t>por estrados</w:t>
      </w:r>
      <w:r>
        <w:rPr>
          <w:rFonts w:ascii="Arial" w:eastAsia="Arial" w:hAnsi="Arial" w:cs="Arial"/>
          <w:sz w:val="24"/>
          <w:szCs w:val="24"/>
        </w:rPr>
        <w:t xml:space="preserve"> a los demás interesados. Lo anterior, de conformidad con lo dispuesto en los artículos 37, fracciones I, II y III, 38 y 39 de la Ley de Justicia en Materia Electoral y de Participación Ciudadana del Estado de Michoacán de Ocampo, así como 137, 138, 139, 140, 141 y 142 Reglamento Interior del Tribunal Electoral del Estado.</w:t>
      </w:r>
    </w:p>
    <w:p w14:paraId="25BBE0AA" w14:textId="32A19AF5" w:rsidR="00AD5C9D" w:rsidRDefault="007F380D">
      <w:pPr>
        <w:keepNext/>
        <w:pBdr>
          <w:top w:val="nil"/>
          <w:left w:val="nil"/>
          <w:bottom w:val="nil"/>
          <w:right w:val="nil"/>
          <w:between w:val="nil"/>
        </w:pBdr>
        <w:tabs>
          <w:tab w:val="left" w:pos="360"/>
        </w:tabs>
        <w:spacing w:before="280" w:after="280" w:line="360" w:lineRule="auto"/>
        <w:jc w:val="both"/>
        <w:rPr>
          <w:rFonts w:ascii="Arial" w:eastAsia="Arial" w:hAnsi="Arial" w:cs="Arial"/>
          <w:color w:val="000000"/>
          <w:sz w:val="24"/>
          <w:szCs w:val="24"/>
        </w:rPr>
      </w:pPr>
      <w:r w:rsidRPr="007F380D">
        <w:rPr>
          <w:rFonts w:ascii="Arial" w:eastAsia="Arial" w:hAnsi="Arial" w:cs="Arial"/>
          <w:color w:val="000000"/>
          <w:sz w:val="24"/>
          <w:szCs w:val="24"/>
        </w:rPr>
        <w:lastRenderedPageBreak/>
        <w:t xml:space="preserve">Así, en reunión interna jurisdiccional celebrada de manera virtual el día de hoy, por unanimidad de votos, lo acordaron y firman las Magistraturas integrantes del Pleno del Tribunal Electoral del Estado, la Magistrada Presidenta </w:t>
      </w:r>
      <w:proofErr w:type="spellStart"/>
      <w:r w:rsidRPr="007F380D">
        <w:rPr>
          <w:rFonts w:ascii="Arial" w:eastAsia="Arial" w:hAnsi="Arial" w:cs="Arial"/>
          <w:color w:val="000000"/>
          <w:sz w:val="24"/>
          <w:szCs w:val="24"/>
        </w:rPr>
        <w:t>Amelí</w:t>
      </w:r>
      <w:proofErr w:type="spellEnd"/>
      <w:r w:rsidRPr="007F380D">
        <w:rPr>
          <w:rFonts w:ascii="Arial" w:eastAsia="Arial" w:hAnsi="Arial" w:cs="Arial"/>
          <w:color w:val="000000"/>
          <w:sz w:val="24"/>
          <w:szCs w:val="24"/>
        </w:rPr>
        <w:t xml:space="preserve"> Gissel Navarro Lepe, las Magistradas </w:t>
      </w:r>
      <w:proofErr w:type="spellStart"/>
      <w:r w:rsidRPr="007F380D">
        <w:rPr>
          <w:rFonts w:ascii="Arial" w:eastAsia="Arial" w:hAnsi="Arial" w:cs="Arial"/>
          <w:color w:val="000000"/>
          <w:sz w:val="24"/>
          <w:szCs w:val="24"/>
        </w:rPr>
        <w:t>Yurisha</w:t>
      </w:r>
      <w:proofErr w:type="spellEnd"/>
      <w:r w:rsidRPr="007F380D">
        <w:rPr>
          <w:rFonts w:ascii="Arial" w:eastAsia="Arial" w:hAnsi="Arial" w:cs="Arial"/>
          <w:color w:val="000000"/>
          <w:sz w:val="24"/>
          <w:szCs w:val="24"/>
        </w:rPr>
        <w:t xml:space="preserve"> Andrade Morales y Alma Rosa Bahena Villalobos, así como los Magistrados Adrián Hernández Pinedo -quien fue ponente- y Eric López Villaseñor, ante el Secretario General de Acuerdos, Víctor Hugo Arroyo Sandoval, quien autoriza y da fe. Conste.</w:t>
      </w:r>
    </w:p>
    <w:tbl>
      <w:tblPr>
        <w:tblStyle w:val="a0"/>
        <w:tblW w:w="8642" w:type="dxa"/>
        <w:tblInd w:w="0" w:type="dxa"/>
        <w:tblLayout w:type="fixed"/>
        <w:tblLook w:val="0400" w:firstRow="0" w:lastRow="0" w:firstColumn="0" w:lastColumn="0" w:noHBand="0" w:noVBand="1"/>
      </w:tblPr>
      <w:tblGrid>
        <w:gridCol w:w="4248"/>
        <w:gridCol w:w="4394"/>
      </w:tblGrid>
      <w:tr w:rsidR="00AD5C9D" w14:paraId="3F4336E8" w14:textId="77777777">
        <w:trPr>
          <w:trHeight w:val="1185"/>
        </w:trPr>
        <w:tc>
          <w:tcPr>
            <w:tcW w:w="8642" w:type="dxa"/>
            <w:gridSpan w:val="2"/>
          </w:tcPr>
          <w:p w14:paraId="33A69327"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MAGISTRADA PRESIDENTA</w:t>
            </w:r>
          </w:p>
          <w:p w14:paraId="18681E41"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26CC5A6C" w14:textId="77777777" w:rsidR="007F380D" w:rsidRDefault="007F380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3D1ECD5D" w14:textId="77777777" w:rsidR="007F380D" w:rsidRDefault="007F380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6D5D6A58" w14:textId="77777777" w:rsidR="00AD5C9D" w:rsidRDefault="00000000">
            <w:pPr>
              <w:pBdr>
                <w:top w:val="nil"/>
                <w:left w:val="nil"/>
                <w:bottom w:val="nil"/>
                <w:right w:val="nil"/>
                <w:between w:val="nil"/>
              </w:pBdr>
              <w:spacing w:before="280"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AMELÍ GISSEL NAVARRO LEPE</w:t>
            </w:r>
          </w:p>
          <w:p w14:paraId="33C59DCB" w14:textId="77777777" w:rsidR="00AD5C9D" w:rsidRDefault="00AD5C9D">
            <w:pPr>
              <w:pBdr>
                <w:top w:val="nil"/>
                <w:left w:val="nil"/>
                <w:bottom w:val="nil"/>
                <w:right w:val="nil"/>
                <w:between w:val="nil"/>
              </w:pBdr>
              <w:spacing w:before="280" w:after="0" w:line="240" w:lineRule="auto"/>
              <w:jc w:val="center"/>
              <w:rPr>
                <w:rFonts w:ascii="Arial" w:eastAsia="Arial" w:hAnsi="Arial" w:cs="Arial"/>
                <w:b/>
                <w:bCs/>
                <w:color w:val="000000"/>
                <w:sz w:val="24"/>
                <w:szCs w:val="24"/>
              </w:rPr>
            </w:pPr>
          </w:p>
        </w:tc>
      </w:tr>
      <w:tr w:rsidR="00AD5C9D" w14:paraId="2D24021C" w14:textId="77777777">
        <w:trPr>
          <w:trHeight w:val="1259"/>
        </w:trPr>
        <w:tc>
          <w:tcPr>
            <w:tcW w:w="4248" w:type="dxa"/>
          </w:tcPr>
          <w:p w14:paraId="109E4B09"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MAGISTRADA</w:t>
            </w:r>
          </w:p>
          <w:p w14:paraId="23B14933"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6351F474" w14:textId="77777777" w:rsidR="00AD5C9D" w:rsidRDefault="00AD5C9D">
            <w:pPr>
              <w:pBdr>
                <w:top w:val="nil"/>
                <w:left w:val="nil"/>
                <w:bottom w:val="nil"/>
                <w:right w:val="nil"/>
                <w:between w:val="nil"/>
              </w:pBdr>
              <w:spacing w:after="0" w:line="240" w:lineRule="auto"/>
              <w:rPr>
                <w:rFonts w:ascii="Arial" w:eastAsia="Arial" w:hAnsi="Arial" w:cs="Arial"/>
                <w:b/>
                <w:bCs/>
                <w:color w:val="000000"/>
                <w:sz w:val="24"/>
                <w:szCs w:val="24"/>
              </w:rPr>
            </w:pPr>
          </w:p>
          <w:p w14:paraId="27AA2444" w14:textId="77777777" w:rsidR="007F380D" w:rsidRDefault="007F380D">
            <w:pPr>
              <w:pBdr>
                <w:top w:val="nil"/>
                <w:left w:val="nil"/>
                <w:bottom w:val="nil"/>
                <w:right w:val="nil"/>
                <w:between w:val="nil"/>
              </w:pBdr>
              <w:spacing w:after="0" w:line="240" w:lineRule="auto"/>
              <w:rPr>
                <w:rFonts w:ascii="Arial" w:eastAsia="Arial" w:hAnsi="Arial" w:cs="Arial"/>
                <w:b/>
                <w:bCs/>
                <w:color w:val="000000"/>
                <w:sz w:val="24"/>
                <w:szCs w:val="24"/>
              </w:rPr>
            </w:pPr>
          </w:p>
          <w:p w14:paraId="17C81CE9" w14:textId="77777777" w:rsidR="007F380D" w:rsidRDefault="007F380D">
            <w:pPr>
              <w:pBdr>
                <w:top w:val="nil"/>
                <w:left w:val="nil"/>
                <w:bottom w:val="nil"/>
                <w:right w:val="nil"/>
                <w:between w:val="nil"/>
              </w:pBdr>
              <w:spacing w:after="0" w:line="240" w:lineRule="auto"/>
              <w:rPr>
                <w:rFonts w:ascii="Arial" w:eastAsia="Arial" w:hAnsi="Arial" w:cs="Arial"/>
                <w:b/>
                <w:bCs/>
                <w:color w:val="000000"/>
                <w:sz w:val="24"/>
                <w:szCs w:val="24"/>
              </w:rPr>
            </w:pPr>
          </w:p>
          <w:p w14:paraId="5A1BF88E"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YURISHA ANDRADE MORALES</w:t>
            </w:r>
          </w:p>
        </w:tc>
        <w:tc>
          <w:tcPr>
            <w:tcW w:w="4394" w:type="dxa"/>
          </w:tcPr>
          <w:p w14:paraId="7E1B476F"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MAGISTRADA</w:t>
            </w:r>
          </w:p>
          <w:p w14:paraId="77906415"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17EDCBF3" w14:textId="77777777" w:rsidR="007F380D" w:rsidRDefault="007F380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49907BA1" w14:textId="77777777" w:rsidR="007F380D" w:rsidRDefault="007F380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795C7615" w14:textId="77777777" w:rsidR="00AD5C9D" w:rsidRDefault="00AD5C9D">
            <w:pPr>
              <w:pBdr>
                <w:top w:val="nil"/>
                <w:left w:val="nil"/>
                <w:bottom w:val="nil"/>
                <w:right w:val="nil"/>
                <w:between w:val="nil"/>
              </w:pBdr>
              <w:spacing w:after="0" w:line="240" w:lineRule="auto"/>
              <w:rPr>
                <w:rFonts w:ascii="Arial" w:eastAsia="Arial" w:hAnsi="Arial" w:cs="Arial"/>
                <w:b/>
                <w:bCs/>
                <w:color w:val="000000"/>
                <w:sz w:val="24"/>
                <w:szCs w:val="24"/>
              </w:rPr>
            </w:pPr>
          </w:p>
          <w:p w14:paraId="6B2AF897"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ALMA ROSA BAHENA VILLALOBOS</w:t>
            </w:r>
          </w:p>
          <w:p w14:paraId="6A8FA786"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241AA476"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tc>
      </w:tr>
      <w:tr w:rsidR="00AD5C9D" w14:paraId="2C92C3AC" w14:textId="77777777">
        <w:trPr>
          <w:trHeight w:val="1238"/>
        </w:trPr>
        <w:tc>
          <w:tcPr>
            <w:tcW w:w="4248" w:type="dxa"/>
          </w:tcPr>
          <w:p w14:paraId="5971AB56"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MAGISTRADO</w:t>
            </w:r>
          </w:p>
          <w:p w14:paraId="78C6E0CC"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00AAFB28" w14:textId="77777777" w:rsidR="00AD5C9D" w:rsidRDefault="00AD5C9D">
            <w:pPr>
              <w:pBdr>
                <w:top w:val="nil"/>
                <w:left w:val="nil"/>
                <w:bottom w:val="nil"/>
                <w:right w:val="nil"/>
                <w:between w:val="nil"/>
              </w:pBdr>
              <w:spacing w:after="0" w:line="240" w:lineRule="auto"/>
              <w:rPr>
                <w:rFonts w:ascii="Arial" w:eastAsia="Arial" w:hAnsi="Arial" w:cs="Arial"/>
                <w:b/>
                <w:bCs/>
                <w:color w:val="000000"/>
                <w:sz w:val="24"/>
                <w:szCs w:val="24"/>
              </w:rPr>
            </w:pPr>
          </w:p>
          <w:p w14:paraId="7AA4A015" w14:textId="77777777" w:rsidR="007F380D" w:rsidRDefault="007F380D">
            <w:pPr>
              <w:pBdr>
                <w:top w:val="nil"/>
                <w:left w:val="nil"/>
                <w:bottom w:val="nil"/>
                <w:right w:val="nil"/>
                <w:between w:val="nil"/>
              </w:pBdr>
              <w:spacing w:after="0" w:line="240" w:lineRule="auto"/>
              <w:rPr>
                <w:rFonts w:ascii="Arial" w:eastAsia="Arial" w:hAnsi="Arial" w:cs="Arial"/>
                <w:b/>
                <w:bCs/>
                <w:color w:val="000000"/>
                <w:sz w:val="24"/>
                <w:szCs w:val="24"/>
              </w:rPr>
            </w:pPr>
          </w:p>
          <w:p w14:paraId="0B068CD6" w14:textId="77777777" w:rsidR="007F380D" w:rsidRDefault="007F380D">
            <w:pPr>
              <w:pBdr>
                <w:top w:val="nil"/>
                <w:left w:val="nil"/>
                <w:bottom w:val="nil"/>
                <w:right w:val="nil"/>
                <w:between w:val="nil"/>
              </w:pBdr>
              <w:spacing w:after="0" w:line="240" w:lineRule="auto"/>
              <w:rPr>
                <w:rFonts w:ascii="Arial" w:eastAsia="Arial" w:hAnsi="Arial" w:cs="Arial"/>
                <w:b/>
                <w:bCs/>
                <w:color w:val="000000"/>
                <w:sz w:val="24"/>
                <w:szCs w:val="24"/>
              </w:rPr>
            </w:pPr>
          </w:p>
          <w:p w14:paraId="3A71E98D"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ADRIÁN HERNÁNDEZ PINEDO</w:t>
            </w:r>
          </w:p>
        </w:tc>
        <w:tc>
          <w:tcPr>
            <w:tcW w:w="4394" w:type="dxa"/>
          </w:tcPr>
          <w:p w14:paraId="3F198CA8"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MAGISTRADO</w:t>
            </w:r>
          </w:p>
          <w:p w14:paraId="5235E471" w14:textId="77777777" w:rsidR="00AD5C9D" w:rsidRDefault="00AD5C9D">
            <w:pPr>
              <w:pBdr>
                <w:top w:val="nil"/>
                <w:left w:val="nil"/>
                <w:bottom w:val="nil"/>
                <w:right w:val="nil"/>
                <w:between w:val="nil"/>
              </w:pBdr>
              <w:spacing w:after="0" w:line="240" w:lineRule="auto"/>
              <w:rPr>
                <w:rFonts w:ascii="Arial" w:eastAsia="Arial" w:hAnsi="Arial" w:cs="Arial"/>
                <w:b/>
                <w:bCs/>
                <w:color w:val="000000"/>
                <w:sz w:val="24"/>
                <w:szCs w:val="24"/>
              </w:rPr>
            </w:pPr>
          </w:p>
          <w:p w14:paraId="5DB509BA" w14:textId="77777777" w:rsidR="007F380D" w:rsidRDefault="007F380D">
            <w:pPr>
              <w:pBdr>
                <w:top w:val="nil"/>
                <w:left w:val="nil"/>
                <w:bottom w:val="nil"/>
                <w:right w:val="nil"/>
                <w:between w:val="nil"/>
              </w:pBdr>
              <w:spacing w:after="0" w:line="240" w:lineRule="auto"/>
              <w:rPr>
                <w:rFonts w:ascii="Arial" w:eastAsia="Arial" w:hAnsi="Arial" w:cs="Arial"/>
                <w:b/>
                <w:bCs/>
                <w:color w:val="000000"/>
                <w:sz w:val="24"/>
                <w:szCs w:val="24"/>
              </w:rPr>
            </w:pPr>
          </w:p>
          <w:p w14:paraId="11A38CAF" w14:textId="77777777" w:rsidR="007F380D" w:rsidRDefault="007F380D">
            <w:pPr>
              <w:pBdr>
                <w:top w:val="nil"/>
                <w:left w:val="nil"/>
                <w:bottom w:val="nil"/>
                <w:right w:val="nil"/>
                <w:between w:val="nil"/>
              </w:pBdr>
              <w:spacing w:after="0" w:line="240" w:lineRule="auto"/>
              <w:rPr>
                <w:rFonts w:ascii="Arial" w:eastAsia="Arial" w:hAnsi="Arial" w:cs="Arial"/>
                <w:b/>
                <w:bCs/>
                <w:color w:val="000000"/>
                <w:sz w:val="24"/>
                <w:szCs w:val="24"/>
              </w:rPr>
            </w:pPr>
          </w:p>
          <w:p w14:paraId="7889B3F7"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55CA00AB"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ERIC LÓPEZ VILLASEÑOR</w:t>
            </w:r>
          </w:p>
          <w:p w14:paraId="4188765D"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2B31AA40"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2B5D1246"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tc>
      </w:tr>
      <w:tr w:rsidR="00AD5C9D" w14:paraId="25D4AC47" w14:textId="77777777">
        <w:trPr>
          <w:trHeight w:val="324"/>
        </w:trPr>
        <w:tc>
          <w:tcPr>
            <w:tcW w:w="8642" w:type="dxa"/>
            <w:gridSpan w:val="2"/>
          </w:tcPr>
          <w:p w14:paraId="156978D3" w14:textId="77777777" w:rsidR="00AD5C9D" w:rsidRDefault="00000000">
            <w:pPr>
              <w:pBdr>
                <w:top w:val="nil"/>
                <w:left w:val="nil"/>
                <w:bottom w:val="nil"/>
                <w:right w:val="nil"/>
                <w:between w:val="nil"/>
              </w:pBd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SECRETARIO GENERAL DE ACUERDOS</w:t>
            </w:r>
          </w:p>
          <w:p w14:paraId="0A4CFA3E" w14:textId="77777777" w:rsidR="00AD5C9D" w:rsidRDefault="00AD5C9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78B6C83A" w14:textId="77777777" w:rsidR="007F380D" w:rsidRDefault="007F380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1D217051" w14:textId="77777777" w:rsidR="007F380D" w:rsidRDefault="007F380D">
            <w:pPr>
              <w:pBdr>
                <w:top w:val="nil"/>
                <w:left w:val="nil"/>
                <w:bottom w:val="nil"/>
                <w:right w:val="nil"/>
                <w:between w:val="nil"/>
              </w:pBdr>
              <w:spacing w:after="0" w:line="240" w:lineRule="auto"/>
              <w:jc w:val="center"/>
              <w:rPr>
                <w:rFonts w:ascii="Arial" w:eastAsia="Arial" w:hAnsi="Arial" w:cs="Arial"/>
                <w:b/>
                <w:bCs/>
                <w:color w:val="000000"/>
                <w:sz w:val="24"/>
                <w:szCs w:val="24"/>
              </w:rPr>
            </w:pPr>
          </w:p>
          <w:p w14:paraId="4628C9DB" w14:textId="77777777" w:rsidR="00AD5C9D" w:rsidRDefault="00000000">
            <w:pPr>
              <w:pBdr>
                <w:top w:val="nil"/>
                <w:left w:val="nil"/>
                <w:bottom w:val="nil"/>
                <w:right w:val="nil"/>
                <w:between w:val="nil"/>
              </w:pBdr>
              <w:spacing w:before="280"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VÍCTOR HUGO ARROYO SANDOVAL </w:t>
            </w:r>
          </w:p>
        </w:tc>
      </w:tr>
    </w:tbl>
    <w:p w14:paraId="6AE1F1D6" w14:textId="4CAE40BF" w:rsidR="00AD5C9D" w:rsidRDefault="00AC4A5E">
      <w:pPr>
        <w:spacing w:before="280" w:after="280" w:line="240" w:lineRule="auto"/>
        <w:ind w:right="-91"/>
        <w:jc w:val="both"/>
        <w:rPr>
          <w:rFonts w:ascii="Arial Narrow" w:eastAsia="Arial Narrow" w:hAnsi="Arial Narrow" w:cs="Arial Narrow"/>
          <w:b/>
          <w:bCs/>
          <w:sz w:val="20"/>
          <w:szCs w:val="20"/>
        </w:rPr>
      </w:pPr>
      <w:r w:rsidRPr="00AC4A5E">
        <w:rPr>
          <w:rFonts w:ascii="Arial Narrow" w:eastAsia="Arial Narrow" w:hAnsi="Arial Narrow" w:cs="Arial Narrow"/>
          <w:sz w:val="20"/>
          <w:szCs w:val="20"/>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AC4A5E">
        <w:rPr>
          <w:rFonts w:ascii="Arial Narrow" w:eastAsia="Arial Narrow" w:hAnsi="Arial Narrow" w:cs="Arial Narrow"/>
          <w:b/>
          <w:bCs/>
          <w:sz w:val="20"/>
          <w:szCs w:val="20"/>
        </w:rPr>
        <w:t xml:space="preserve">hago constar </w:t>
      </w:r>
      <w:r w:rsidRPr="00AC4A5E">
        <w:rPr>
          <w:rFonts w:ascii="Arial Narrow" w:eastAsia="Arial Narrow" w:hAnsi="Arial Narrow" w:cs="Arial Narrow"/>
          <w:sz w:val="20"/>
          <w:szCs w:val="20"/>
        </w:rPr>
        <w:t xml:space="preserve">que las firmas electrónicas que obran en el presente documento corresponden al acuerdo plenario de </w:t>
      </w:r>
      <w:r>
        <w:rPr>
          <w:rFonts w:ascii="Arial Narrow" w:eastAsia="Arial Narrow" w:hAnsi="Arial Narrow" w:cs="Arial Narrow"/>
          <w:sz w:val="20"/>
          <w:szCs w:val="20"/>
        </w:rPr>
        <w:t>in</w:t>
      </w:r>
      <w:r w:rsidRPr="00AC4A5E">
        <w:rPr>
          <w:rFonts w:ascii="Arial Narrow" w:eastAsia="Arial Narrow" w:hAnsi="Arial Narrow" w:cs="Arial Narrow"/>
          <w:sz w:val="20"/>
          <w:szCs w:val="20"/>
        </w:rPr>
        <w:t>cumplimiento</w:t>
      </w:r>
      <w:r>
        <w:rPr>
          <w:rFonts w:ascii="Arial Narrow" w:eastAsia="Arial Narrow" w:hAnsi="Arial Narrow" w:cs="Arial Narrow"/>
          <w:sz w:val="20"/>
          <w:szCs w:val="20"/>
        </w:rPr>
        <w:t xml:space="preserve"> de sentencia</w:t>
      </w:r>
      <w:r w:rsidRPr="00AC4A5E">
        <w:rPr>
          <w:rFonts w:ascii="Arial Narrow" w:eastAsia="Arial Narrow" w:hAnsi="Arial Narrow" w:cs="Arial Narrow"/>
          <w:sz w:val="20"/>
          <w:szCs w:val="20"/>
        </w:rPr>
        <w:t xml:space="preserve"> emitido por el Pleno del Tribunal Electoral del Estado, </w:t>
      </w:r>
      <w:r>
        <w:rPr>
          <w:rFonts w:ascii="Arial Narrow" w:eastAsia="Arial Narrow" w:hAnsi="Arial Narrow" w:cs="Arial Narrow"/>
          <w:sz w:val="20"/>
          <w:szCs w:val="20"/>
        </w:rPr>
        <w:t>en sesión pública</w:t>
      </w:r>
      <w:r w:rsidRPr="00AC4A5E">
        <w:rPr>
          <w:rFonts w:ascii="Arial Narrow" w:eastAsia="Arial Narrow" w:hAnsi="Arial Narrow" w:cs="Arial Narrow"/>
          <w:sz w:val="20"/>
          <w:szCs w:val="20"/>
        </w:rPr>
        <w:t xml:space="preserve"> celebrada el </w:t>
      </w:r>
      <w:r>
        <w:rPr>
          <w:rFonts w:ascii="Arial Narrow" w:eastAsia="Arial Narrow" w:hAnsi="Arial Narrow" w:cs="Arial Narrow"/>
          <w:sz w:val="20"/>
          <w:szCs w:val="20"/>
        </w:rPr>
        <w:t>ocho</w:t>
      </w:r>
      <w:r w:rsidRPr="00AC4A5E">
        <w:rPr>
          <w:rFonts w:ascii="Arial Narrow" w:eastAsia="Arial Narrow" w:hAnsi="Arial Narrow" w:cs="Arial Narrow"/>
          <w:sz w:val="20"/>
          <w:szCs w:val="20"/>
        </w:rPr>
        <w:t xml:space="preserve"> de octubre de dos mil veintiséis, dentro del juicio para la protección de los derechos político-electorales del ciudadano </w:t>
      </w:r>
      <w:r w:rsidRPr="00AC4A5E">
        <w:rPr>
          <w:rFonts w:ascii="Arial Narrow" w:eastAsia="Arial Narrow" w:hAnsi="Arial Narrow" w:cs="Arial Narrow"/>
          <w:b/>
          <w:bCs/>
          <w:sz w:val="20"/>
          <w:szCs w:val="20"/>
        </w:rPr>
        <w:t>TEEM-JDC-07</w:t>
      </w:r>
      <w:r>
        <w:rPr>
          <w:rFonts w:ascii="Arial Narrow" w:eastAsia="Arial Narrow" w:hAnsi="Arial Narrow" w:cs="Arial Narrow"/>
          <w:b/>
          <w:bCs/>
          <w:sz w:val="20"/>
          <w:szCs w:val="20"/>
        </w:rPr>
        <w:t>1</w:t>
      </w:r>
      <w:r w:rsidRPr="00AC4A5E">
        <w:rPr>
          <w:rFonts w:ascii="Arial Narrow" w:eastAsia="Arial Narrow" w:hAnsi="Arial Narrow" w:cs="Arial Narrow"/>
          <w:b/>
          <w:bCs/>
          <w:sz w:val="20"/>
          <w:szCs w:val="20"/>
        </w:rPr>
        <w:t>/2026</w:t>
      </w:r>
      <w:r w:rsidRPr="00AC4A5E">
        <w:rPr>
          <w:rFonts w:ascii="Arial Narrow" w:eastAsia="Arial Narrow" w:hAnsi="Arial Narrow" w:cs="Arial Narrow"/>
          <w:sz w:val="20"/>
          <w:szCs w:val="20"/>
        </w:rPr>
        <w:t xml:space="preserve">; documento que consta de </w:t>
      </w:r>
      <w:r>
        <w:rPr>
          <w:rFonts w:ascii="Arial Narrow" w:eastAsia="Arial Narrow" w:hAnsi="Arial Narrow" w:cs="Arial Narrow"/>
          <w:sz w:val="20"/>
          <w:szCs w:val="20"/>
        </w:rPr>
        <w:t>quince</w:t>
      </w:r>
      <w:r w:rsidRPr="00AC4A5E">
        <w:rPr>
          <w:rFonts w:ascii="Arial Narrow" w:eastAsia="Arial Narrow" w:hAnsi="Arial Narrow" w:cs="Arial Narrow"/>
          <w:sz w:val="20"/>
          <w:szCs w:val="20"/>
        </w:rPr>
        <w:t xml:space="preserve"> páginas, incluida la presente, mismo que se firma de manera electrónica. </w:t>
      </w:r>
      <w:r w:rsidRPr="00AC4A5E">
        <w:rPr>
          <w:rFonts w:ascii="Arial Narrow" w:eastAsia="Arial Narrow" w:hAnsi="Arial Narrow" w:cs="Arial Narrow"/>
          <w:b/>
          <w:bCs/>
          <w:sz w:val="20"/>
          <w:szCs w:val="20"/>
        </w:rPr>
        <w:t>Doy fe.</w:t>
      </w:r>
    </w:p>
    <w:p w14:paraId="79079AF8" w14:textId="77777777" w:rsidR="00AD5C9D" w:rsidRDefault="00000000">
      <w:pPr>
        <w:spacing w:before="280" w:line="240" w:lineRule="auto"/>
        <w:ind w:right="-91"/>
        <w:jc w:val="both"/>
        <w:rPr>
          <w:rFonts w:ascii="Arial Narrow" w:eastAsia="Arial Narrow" w:hAnsi="Arial Narrow" w:cs="Arial Narrow"/>
          <w:b/>
          <w:bCs/>
          <w:i/>
          <w:iCs/>
          <w:sz w:val="20"/>
          <w:szCs w:val="20"/>
        </w:rPr>
      </w:pPr>
      <w:r>
        <w:rPr>
          <w:rFonts w:ascii="Arial Narrow" w:eastAsia="Arial Narrow" w:hAnsi="Arial Narrow" w:cs="Arial Narrow"/>
          <w:b/>
          <w:bCs/>
          <w:sz w:val="20"/>
          <w:szCs w:val="20"/>
        </w:rPr>
        <w:t xml:space="preserve">Este documento es una representación gráfica autorizada mediante firmas electrónicas certificadas, el cual tiene plena validez jurídica de conformidad con el numeral tercero y cuarto del </w:t>
      </w:r>
      <w:r>
        <w:rPr>
          <w:rFonts w:ascii="Arial Narrow" w:eastAsia="Arial Narrow" w:hAnsi="Arial Narrow" w:cs="Arial Narrow"/>
          <w:b/>
          <w:bCs/>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AD5C9D" w:rsidSect="009719ED">
      <w:headerReference w:type="default" r:id="rId13"/>
      <w:footerReference w:type="default" r:id="rId14"/>
      <w:headerReference w:type="first" r:id="rId15"/>
      <w:footerReference w:type="first" r:id="rId16"/>
      <w:pgSz w:w="12242" w:h="19442"/>
      <w:pgMar w:top="425" w:right="1418" w:bottom="709" w:left="2268" w:header="1412"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78D16" w14:textId="77777777" w:rsidR="00B279D2" w:rsidRDefault="00B279D2">
      <w:pPr>
        <w:spacing w:after="0" w:line="240" w:lineRule="auto"/>
      </w:pPr>
      <w:r>
        <w:separator/>
      </w:r>
    </w:p>
  </w:endnote>
  <w:endnote w:type="continuationSeparator" w:id="0">
    <w:p w14:paraId="17A26F24" w14:textId="77777777" w:rsidR="00B279D2" w:rsidRDefault="00B27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0CEC5F19-0FEB-4E60-8B4F-F075F74FC5CF}"/>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53F436DC-638F-4CD5-AE8A-E7FB55AE18F8}"/>
    <w:embedItalic r:id="rId3" w:fontKey="{F0EF8C96-1B04-4493-9683-852AD99E106A}"/>
  </w:font>
  <w:font w:name="Play">
    <w:altName w:val="Calibri"/>
    <w:charset w:val="00"/>
    <w:family w:val="auto"/>
    <w:pitch w:val="default"/>
    <w:embedRegular r:id="rId4" w:fontKey="{4D18374D-943A-4285-861B-E95E50DA4D58}"/>
  </w:font>
  <w:font w:name="Aptos Display">
    <w:charset w:val="00"/>
    <w:family w:val="swiss"/>
    <w:pitch w:val="variable"/>
    <w:sig w:usb0="20000287" w:usb1="00000003" w:usb2="00000000" w:usb3="00000000" w:csb0="0000019F" w:csb1="00000000"/>
    <w:embedRegular r:id="rId5" w:fontKey="{182414AA-DE83-428A-856A-47A6E5593A02}"/>
    <w:embedItalic r:id="rId6" w:fontKey="{8B8E75C5-2F7F-4E0D-B794-5BECA53C2F6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EB831A86-4813-4D15-BF89-0D797D7830F4}"/>
  </w:font>
  <w:font w:name="Arial Narrow">
    <w:panose1 w:val="020B0606020202030204"/>
    <w:charset w:val="00"/>
    <w:family w:val="swiss"/>
    <w:pitch w:val="variable"/>
    <w:sig w:usb0="00000287" w:usb1="00000800" w:usb2="00000000" w:usb3="00000000" w:csb0="0000009F" w:csb1="00000000"/>
    <w:embedRegular r:id="rId8" w:fontKey="{208596E6-7F7B-43AF-8EEA-EA580C02E941}"/>
    <w:embedBold r:id="rId9" w:fontKey="{75E6EEAF-C674-42A6-9CC7-1AD16DF1FE06}"/>
    <w:embedItalic r:id="rId10" w:fontKey="{866F91B7-A38B-4C1A-8F92-794238AAF9B9}"/>
    <w:embedBoldItalic r:id="rId11" w:fontKey="{DC0A14DE-EF05-4A2C-B25E-D7EE681236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A90FD" w14:textId="77777777" w:rsidR="00AD5C9D" w:rsidRDefault="00000000">
    <w:pPr>
      <w:pBdr>
        <w:top w:val="nil"/>
        <w:left w:val="nil"/>
        <w:bottom w:val="nil"/>
        <w:right w:val="nil"/>
        <w:between w:val="nil"/>
      </w:pBdr>
      <w:tabs>
        <w:tab w:val="center" w:pos="4419"/>
        <w:tab w:val="right" w:pos="8838"/>
      </w:tabs>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sidR="007F380D">
      <w:rPr>
        <w:rFonts w:ascii="Arial Narrow" w:eastAsia="Arial Narrow" w:hAnsi="Arial Narrow" w:cs="Arial Narrow"/>
        <w:noProof/>
        <w:color w:val="000000"/>
        <w:sz w:val="20"/>
        <w:szCs w:val="20"/>
      </w:rPr>
      <w:t>2</w:t>
    </w:r>
    <w:r>
      <w:rPr>
        <w:rFonts w:ascii="Arial Narrow" w:eastAsia="Arial Narrow" w:hAnsi="Arial Narrow" w:cs="Arial Narrow"/>
        <w:color w:val="000000"/>
        <w:sz w:val="20"/>
        <w:szCs w:val="20"/>
      </w:rPr>
      <w:fldChar w:fldCharType="end"/>
    </w:r>
  </w:p>
  <w:p w14:paraId="47791792" w14:textId="77777777" w:rsidR="00AD5C9D" w:rsidRDefault="00AD5C9D">
    <w:pPr>
      <w:pBdr>
        <w:top w:val="nil"/>
        <w:left w:val="nil"/>
        <w:bottom w:val="nil"/>
        <w:right w:val="nil"/>
        <w:between w:val="nil"/>
      </w:pBdr>
      <w:tabs>
        <w:tab w:val="center" w:pos="4419"/>
        <w:tab w:val="right" w:pos="8838"/>
      </w:tabs>
      <w:spacing w:after="0" w:line="360" w:lineRule="auto"/>
      <w:rPr>
        <w:rFonts w:ascii="Arial" w:eastAsia="Arial" w:hAnsi="Arial" w:cs="Arial"/>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9644" w14:textId="77777777" w:rsidR="00AD5C9D" w:rsidRDefault="00000000">
    <w:pPr>
      <w:pBdr>
        <w:top w:val="nil"/>
        <w:left w:val="nil"/>
        <w:bottom w:val="nil"/>
        <w:right w:val="nil"/>
        <w:between w:val="nil"/>
      </w:pBdr>
      <w:tabs>
        <w:tab w:val="center" w:pos="4419"/>
        <w:tab w:val="right" w:pos="8838"/>
        <w:tab w:val="left" w:pos="1640"/>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7769C" w14:textId="77777777" w:rsidR="00B279D2" w:rsidRDefault="00B279D2">
      <w:pPr>
        <w:spacing w:after="0" w:line="240" w:lineRule="auto"/>
      </w:pPr>
      <w:r>
        <w:separator/>
      </w:r>
    </w:p>
  </w:footnote>
  <w:footnote w:type="continuationSeparator" w:id="0">
    <w:p w14:paraId="52F3ABC7" w14:textId="77777777" w:rsidR="00B279D2" w:rsidRDefault="00B279D2">
      <w:pPr>
        <w:spacing w:after="0" w:line="240" w:lineRule="auto"/>
      </w:pPr>
      <w:r>
        <w:continuationSeparator/>
      </w:r>
    </w:p>
  </w:footnote>
  <w:footnote w:id="1">
    <w:p w14:paraId="7AD9F846"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En lo sucesivo, todas las fechas corresponden al dos mil veintiséis, salvo señalamiento en contrario.</w:t>
      </w:r>
    </w:p>
  </w:footnote>
  <w:footnote w:id="2">
    <w:p w14:paraId="17167E68"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279, 283 y 284.</w:t>
      </w:r>
    </w:p>
  </w:footnote>
  <w:footnote w:id="3">
    <w:p w14:paraId="54FC21B0"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322. </w:t>
      </w:r>
    </w:p>
  </w:footnote>
  <w:footnote w:id="4">
    <w:p w14:paraId="67A548D5"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327.</w:t>
      </w:r>
    </w:p>
  </w:footnote>
  <w:footnote w:id="5">
    <w:p w14:paraId="4AE802CC"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351 y 352.</w:t>
      </w:r>
    </w:p>
  </w:footnote>
  <w:footnote w:id="6">
    <w:p w14:paraId="41C029C5"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de la 391 a la 412.</w:t>
      </w:r>
    </w:p>
  </w:footnote>
  <w:footnote w:id="7">
    <w:p w14:paraId="040F465C" w14:textId="77777777" w:rsidR="00AD5C9D" w:rsidRDefault="00000000">
      <w:pPr>
        <w:pBdr>
          <w:top w:val="nil"/>
          <w:left w:val="nil"/>
          <w:bottom w:val="nil"/>
          <w:right w:val="nil"/>
          <w:between w:val="nil"/>
        </w:pBdr>
        <w:spacing w:after="0"/>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Así como la jurisprudencia 24/2001 de la </w:t>
      </w:r>
      <w:r>
        <w:rPr>
          <w:rFonts w:ascii="Arial Narrow" w:eastAsia="Arial Narrow" w:hAnsi="Arial Narrow" w:cs="Arial Narrow"/>
          <w:i/>
          <w:iCs/>
          <w:color w:val="000000"/>
          <w:sz w:val="20"/>
          <w:szCs w:val="20"/>
        </w:rPr>
        <w:t>Sala Superior</w:t>
      </w:r>
      <w:r>
        <w:rPr>
          <w:rFonts w:ascii="Arial Narrow" w:eastAsia="Arial Narrow" w:hAnsi="Arial Narrow" w:cs="Arial Narrow"/>
          <w:color w:val="000000"/>
          <w:sz w:val="20"/>
          <w:szCs w:val="20"/>
        </w:rPr>
        <w:t xml:space="preserve">, de rubro: </w:t>
      </w:r>
      <w:r>
        <w:rPr>
          <w:rFonts w:ascii="Arial Narrow" w:eastAsia="Arial Narrow" w:hAnsi="Arial Narrow" w:cs="Arial Narrow"/>
          <w:i/>
          <w:iCs/>
          <w:color w:val="000000"/>
          <w:sz w:val="20"/>
          <w:szCs w:val="20"/>
        </w:rPr>
        <w:t>TRIBUNAL ELECTORAL DEL PODER JUDICIAL DE LA FEDERACIÓN. ESTÁ FACULTADO CONSTITUCIONALMENTE PARA EXIGIR EL CUMPLIMIENTO DE TODAS SUS RESOLUCIONES</w:t>
      </w:r>
      <w:r>
        <w:rPr>
          <w:rFonts w:ascii="Arial Narrow" w:eastAsia="Arial Narrow" w:hAnsi="Arial Narrow" w:cs="Arial Narrow"/>
          <w:color w:val="000000"/>
          <w:sz w:val="20"/>
          <w:szCs w:val="20"/>
        </w:rPr>
        <w:t>.</w:t>
      </w:r>
    </w:p>
  </w:footnote>
  <w:footnote w:id="8">
    <w:p w14:paraId="590AD817"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Como criterios orientadores para determinar la competencia del Pleno de este órgano jurisdiccional y no de la Magistratura Instructora, sobre el presente Acuerdo Plenario, la </w:t>
      </w:r>
      <w:r>
        <w:rPr>
          <w:rFonts w:ascii="Arial Narrow" w:eastAsia="Arial Narrow" w:hAnsi="Arial Narrow" w:cs="Arial Narrow"/>
          <w:i/>
          <w:iCs/>
          <w:color w:val="000000"/>
          <w:sz w:val="20"/>
          <w:szCs w:val="20"/>
        </w:rPr>
        <w:t>Sala Toluca</w:t>
      </w:r>
      <w:r>
        <w:rPr>
          <w:rFonts w:ascii="Arial Narrow" w:eastAsia="Arial Narrow" w:hAnsi="Arial Narrow" w:cs="Arial Narrow"/>
          <w:color w:val="000000"/>
          <w:sz w:val="20"/>
          <w:szCs w:val="20"/>
        </w:rPr>
        <w:t xml:space="preserve"> se ha pronunciado en los Acuerdos de Sala de los diversos ST-JDC-11/2023, ST-JDC-13/2023 Y ST-JDC-99/2023.</w:t>
      </w:r>
    </w:p>
  </w:footnote>
  <w:footnote w:id="9">
    <w:p w14:paraId="1010CBB1"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273.</w:t>
      </w:r>
    </w:p>
  </w:footnote>
  <w:footnote w:id="10">
    <w:p w14:paraId="6F62F6E7"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274.</w:t>
      </w:r>
    </w:p>
  </w:footnote>
  <w:footnote w:id="11">
    <w:p w14:paraId="42A6DF33"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275 a 278. </w:t>
      </w:r>
    </w:p>
  </w:footnote>
  <w:footnote w:id="12">
    <w:p w14:paraId="16CD74EE"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235.</w:t>
      </w:r>
    </w:p>
  </w:footnote>
  <w:footnote w:id="13">
    <w:p w14:paraId="630B9A49"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287. </w:t>
      </w:r>
    </w:p>
  </w:footnote>
  <w:footnote w:id="14">
    <w:p w14:paraId="4F2ADBD4"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321.</w:t>
      </w:r>
    </w:p>
  </w:footnote>
  <w:footnote w:id="15">
    <w:p w14:paraId="3A4030C7"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334.</w:t>
      </w:r>
    </w:p>
  </w:footnote>
  <w:footnote w:id="16">
    <w:p w14:paraId="4B9C1730" w14:textId="77777777" w:rsidR="00AD5C9D"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Arial Narrow" w:eastAsia="Arial Narrow" w:hAnsi="Arial Narrow" w:cs="Arial Narrow"/>
          <w:color w:val="000000"/>
          <w:sz w:val="20"/>
          <w:szCs w:val="20"/>
        </w:rPr>
        <w:t xml:space="preserve"> Foja 342.</w:t>
      </w:r>
    </w:p>
  </w:footnote>
  <w:footnote w:id="17">
    <w:p w14:paraId="3E325E8F" w14:textId="77777777" w:rsidR="00AD5C9D" w:rsidRDefault="00000000">
      <w:pPr>
        <w:pBdr>
          <w:top w:val="nil"/>
          <w:left w:val="nil"/>
          <w:bottom w:val="nil"/>
          <w:right w:val="nil"/>
          <w:between w:val="nil"/>
        </w:pBdr>
        <w:spacing w:after="0" w:line="240" w:lineRule="auto"/>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343.</w:t>
      </w:r>
    </w:p>
  </w:footnote>
  <w:footnote w:id="18">
    <w:p w14:paraId="2D6270C9"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344.</w:t>
      </w:r>
    </w:p>
  </w:footnote>
  <w:footnote w:id="19">
    <w:p w14:paraId="348DAAE2"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345.</w:t>
      </w:r>
    </w:p>
  </w:footnote>
  <w:footnote w:id="20">
    <w:p w14:paraId="39E16E1A"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346.</w:t>
      </w:r>
    </w:p>
  </w:footnote>
  <w:footnote w:id="21">
    <w:p w14:paraId="1849B8A9"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347.</w:t>
      </w:r>
    </w:p>
  </w:footnote>
  <w:footnote w:id="22">
    <w:p w14:paraId="5F3DDD5F"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348.</w:t>
      </w:r>
    </w:p>
  </w:footnote>
  <w:footnote w:id="23">
    <w:p w14:paraId="63626545"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391.</w:t>
      </w:r>
    </w:p>
  </w:footnote>
  <w:footnote w:id="24">
    <w:p w14:paraId="50D3E726"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de la 392 a la 397.</w:t>
      </w:r>
    </w:p>
  </w:footnote>
  <w:footnote w:id="25">
    <w:p w14:paraId="6C5789E6"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de la 398 a la 400.</w:t>
      </w:r>
    </w:p>
  </w:footnote>
  <w:footnote w:id="26">
    <w:p w14:paraId="75522860"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401 y 402.</w:t>
      </w:r>
    </w:p>
  </w:footnote>
  <w:footnote w:id="27">
    <w:p w14:paraId="6BE3D366"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403 y 404.</w:t>
      </w:r>
    </w:p>
  </w:footnote>
  <w:footnote w:id="28">
    <w:p w14:paraId="1E31D8E2"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de la 405 a la 410.</w:t>
      </w:r>
    </w:p>
  </w:footnote>
  <w:footnote w:id="29">
    <w:p w14:paraId="795A0E12"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323 y 324.</w:t>
      </w:r>
    </w:p>
  </w:footnote>
  <w:footnote w:id="30">
    <w:p w14:paraId="0EDABCAE" w14:textId="77777777" w:rsidR="00AD5C9D" w:rsidRDefault="00000000">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Arial Narrow" w:eastAsia="Arial Narrow" w:hAnsi="Arial Narrow" w:cs="Arial Narrow"/>
          <w:color w:val="000000"/>
          <w:sz w:val="20"/>
          <w:szCs w:val="20"/>
        </w:rPr>
        <w:t xml:space="preserve"> Foja 353 y 354.</w:t>
      </w:r>
    </w:p>
  </w:footnote>
  <w:footnote w:id="31">
    <w:p w14:paraId="788527AA"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 235.</w:t>
      </w:r>
    </w:p>
  </w:footnote>
  <w:footnote w:id="32">
    <w:p w14:paraId="274F9766" w14:textId="77777777" w:rsidR="00AD5C9D" w:rsidRDefault="00000000">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20"/>
          <w:szCs w:val="20"/>
        </w:rPr>
        <w:t xml:space="preserve"> Fojas 91 a 93.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A197" w14:textId="77777777" w:rsidR="00AD5C9D" w:rsidRDefault="00000000">
    <w:pPr>
      <w:pBdr>
        <w:top w:val="nil"/>
        <w:left w:val="nil"/>
        <w:bottom w:val="nil"/>
        <w:right w:val="nil"/>
        <w:between w:val="nil"/>
      </w:pBdr>
      <w:tabs>
        <w:tab w:val="center" w:pos="4419"/>
        <w:tab w:val="right" w:pos="8838"/>
        <w:tab w:val="left" w:pos="964"/>
      </w:tabs>
      <w:spacing w:after="0" w:line="240" w:lineRule="auto"/>
      <w:jc w:val="right"/>
      <w:rPr>
        <w:rFonts w:ascii="Arial Narrow" w:eastAsia="Arial Narrow" w:hAnsi="Arial Narrow" w:cs="Arial Narrow"/>
        <w:b/>
        <w:bCs/>
        <w:color w:val="ADADAD"/>
        <w:sz w:val="20"/>
        <w:szCs w:val="20"/>
      </w:rPr>
    </w:pPr>
    <w:r>
      <w:rPr>
        <w:rFonts w:ascii="Arial Narrow" w:eastAsia="Arial Narrow" w:hAnsi="Arial Narrow" w:cs="Arial Narrow"/>
        <w:b/>
        <w:bCs/>
        <w:color w:val="ADADAD"/>
        <w:sz w:val="20"/>
        <w:szCs w:val="20"/>
      </w:rPr>
      <w:t>Acuerdo plenario de incumplimiento</w:t>
    </w:r>
    <w:r>
      <w:rPr>
        <w:noProof/>
      </w:rPr>
      <w:drawing>
        <wp:anchor distT="0" distB="0" distL="0" distR="0" simplePos="0" relativeHeight="251658240" behindDoc="1" locked="0" layoutInCell="1" hidden="0" allowOverlap="1" wp14:anchorId="28167F3C" wp14:editId="021BF7DE">
          <wp:simplePos x="0" y="0"/>
          <wp:positionH relativeFrom="column">
            <wp:posOffset>0</wp:posOffset>
          </wp:positionH>
          <wp:positionV relativeFrom="paragraph">
            <wp:posOffset>-495933</wp:posOffset>
          </wp:positionV>
          <wp:extent cx="1666875" cy="590550"/>
          <wp:effectExtent l="0" t="0" r="0" b="0"/>
          <wp:wrapNone/>
          <wp:docPr id="16129229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7020" t="10592" r="5232" b="7325"/>
                  <a:stretch>
                    <a:fillRect/>
                  </a:stretch>
                </pic:blipFill>
                <pic:spPr>
                  <a:xfrm>
                    <a:off x="0" y="0"/>
                    <a:ext cx="1666875" cy="590550"/>
                  </a:xfrm>
                  <a:prstGeom prst="rect">
                    <a:avLst/>
                  </a:prstGeom>
                  <a:ln/>
                </pic:spPr>
              </pic:pic>
            </a:graphicData>
          </a:graphic>
        </wp:anchor>
      </w:drawing>
    </w:r>
  </w:p>
  <w:p w14:paraId="4920DFA4" w14:textId="77777777" w:rsidR="00AD5C9D" w:rsidRDefault="00000000">
    <w:pPr>
      <w:pBdr>
        <w:top w:val="nil"/>
        <w:left w:val="nil"/>
        <w:bottom w:val="nil"/>
        <w:right w:val="nil"/>
        <w:between w:val="nil"/>
      </w:pBdr>
      <w:tabs>
        <w:tab w:val="center" w:pos="4419"/>
        <w:tab w:val="right" w:pos="8838"/>
        <w:tab w:val="left" w:pos="964"/>
      </w:tabs>
      <w:spacing w:after="0" w:line="240" w:lineRule="auto"/>
      <w:jc w:val="right"/>
      <w:rPr>
        <w:rFonts w:ascii="Arial Narrow" w:eastAsia="Arial Narrow" w:hAnsi="Arial Narrow" w:cs="Arial Narrow"/>
        <w:b/>
        <w:bCs/>
        <w:color w:val="ADADAD"/>
        <w:sz w:val="20"/>
        <w:szCs w:val="20"/>
      </w:rPr>
    </w:pPr>
    <w:r>
      <w:rPr>
        <w:rFonts w:ascii="Arial Narrow" w:eastAsia="Arial Narrow" w:hAnsi="Arial Narrow" w:cs="Arial Narrow"/>
        <w:b/>
        <w:bCs/>
        <w:color w:val="ADADAD"/>
        <w:sz w:val="20"/>
        <w:szCs w:val="20"/>
      </w:rPr>
      <w:t xml:space="preserve">    TEEM-JDC-071/2026</w:t>
    </w:r>
  </w:p>
  <w:p w14:paraId="0D3082DA" w14:textId="77777777" w:rsidR="00AD5C9D" w:rsidRDefault="00AD5C9D">
    <w:pPr>
      <w:pBdr>
        <w:top w:val="nil"/>
        <w:left w:val="nil"/>
        <w:bottom w:val="nil"/>
        <w:right w:val="nil"/>
        <w:between w:val="nil"/>
      </w:pBdr>
      <w:tabs>
        <w:tab w:val="center" w:pos="4419"/>
        <w:tab w:val="right" w:pos="8838"/>
        <w:tab w:val="left" w:pos="964"/>
      </w:tabs>
      <w:spacing w:after="0" w:line="240" w:lineRule="auto"/>
      <w:jc w:val="right"/>
      <w:rPr>
        <w:rFonts w:ascii="Arial Narrow" w:eastAsia="Arial Narrow" w:hAnsi="Arial Narrow" w:cs="Arial Narrow"/>
        <w:b/>
        <w:bCs/>
        <w:color w:val="ADADAD"/>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E70C" w14:textId="77777777" w:rsidR="00AD5C9D" w:rsidRDefault="00000000">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14:anchorId="0600B5AD" wp14:editId="64465FE6">
          <wp:simplePos x="0" y="0"/>
          <wp:positionH relativeFrom="column">
            <wp:posOffset>17145</wp:posOffset>
          </wp:positionH>
          <wp:positionV relativeFrom="paragraph">
            <wp:posOffset>-582294</wp:posOffset>
          </wp:positionV>
          <wp:extent cx="1666875" cy="590550"/>
          <wp:effectExtent l="0" t="0" r="0" b="0"/>
          <wp:wrapNone/>
          <wp:docPr id="161292297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7020" t="10592" r="5232" b="7325"/>
                  <a:stretch>
                    <a:fillRect/>
                  </a:stretch>
                </pic:blipFill>
                <pic:spPr>
                  <a:xfrm>
                    <a:off x="0" y="0"/>
                    <a:ext cx="1666875" cy="5905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7B6F"/>
    <w:multiLevelType w:val="multilevel"/>
    <w:tmpl w:val="47F6366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D052904"/>
    <w:multiLevelType w:val="multilevel"/>
    <w:tmpl w:val="85E63E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8D324B"/>
    <w:multiLevelType w:val="multilevel"/>
    <w:tmpl w:val="4CCA5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F23D16"/>
    <w:multiLevelType w:val="multilevel"/>
    <w:tmpl w:val="5B52D980"/>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E713884"/>
    <w:multiLevelType w:val="multilevel"/>
    <w:tmpl w:val="C228350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F3C27A0"/>
    <w:multiLevelType w:val="multilevel"/>
    <w:tmpl w:val="9CDAF62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6985726C"/>
    <w:multiLevelType w:val="multilevel"/>
    <w:tmpl w:val="F4E6E49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6D5D5021"/>
    <w:multiLevelType w:val="multilevel"/>
    <w:tmpl w:val="6B04D1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9D822AC"/>
    <w:multiLevelType w:val="multilevel"/>
    <w:tmpl w:val="9F3AE92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827526291">
    <w:abstractNumId w:val="3"/>
  </w:num>
  <w:num w:numId="2" w16cid:durableId="1066489194">
    <w:abstractNumId w:val="0"/>
  </w:num>
  <w:num w:numId="3" w16cid:durableId="1735010047">
    <w:abstractNumId w:val="7"/>
  </w:num>
  <w:num w:numId="4" w16cid:durableId="170535870">
    <w:abstractNumId w:val="1"/>
  </w:num>
  <w:num w:numId="5" w16cid:durableId="2102291735">
    <w:abstractNumId w:val="2"/>
  </w:num>
  <w:num w:numId="6" w16cid:durableId="12612442">
    <w:abstractNumId w:val="8"/>
  </w:num>
  <w:num w:numId="7" w16cid:durableId="233709713">
    <w:abstractNumId w:val="5"/>
  </w:num>
  <w:num w:numId="8" w16cid:durableId="233702697">
    <w:abstractNumId w:val="6"/>
  </w:num>
  <w:num w:numId="9" w16cid:durableId="1891770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mirrorMargin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C9D"/>
    <w:rsid w:val="001842EF"/>
    <w:rsid w:val="00272C23"/>
    <w:rsid w:val="007F380D"/>
    <w:rsid w:val="00824958"/>
    <w:rsid w:val="009719ED"/>
    <w:rsid w:val="00AC4A5E"/>
    <w:rsid w:val="00AD5C9D"/>
    <w:rsid w:val="00B279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C413"/>
  <w15:docId w15:val="{EE4644CD-50FB-4B3D-BECD-568759EE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s-MX" w:eastAsia="es-MX"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1377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77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77D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1377D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rsid w:val="001377D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1377D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1377D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1377D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1377D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77D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77D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77D4"/>
    <w:rPr>
      <w:rFonts w:eastAsiaTheme="majorEastAsia" w:cstheme="majorBidi"/>
      <w:color w:val="272727" w:themeColor="text1" w:themeTint="D8"/>
    </w:rPr>
  </w:style>
  <w:style w:type="character" w:customStyle="1" w:styleId="TtuloCar">
    <w:name w:val="Título Car"/>
    <w:basedOn w:val="Fuentedeprrafopredeter"/>
    <w:uiPriority w:val="10"/>
    <w:rsid w:val="001377D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1377D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77D4"/>
    <w:pPr>
      <w:spacing w:before="160"/>
      <w:jc w:val="center"/>
    </w:pPr>
    <w:rPr>
      <w:i/>
      <w:iCs/>
      <w:color w:val="404040" w:themeColor="text1" w:themeTint="BF"/>
    </w:rPr>
  </w:style>
  <w:style w:type="character" w:customStyle="1" w:styleId="CitaCar">
    <w:name w:val="Cita Car"/>
    <w:basedOn w:val="Fuentedeprrafopredeter"/>
    <w:link w:val="Cita"/>
    <w:uiPriority w:val="29"/>
    <w:rsid w:val="001377D4"/>
    <w:rPr>
      <w:i/>
      <w:iCs/>
      <w:color w:val="404040" w:themeColor="text1" w:themeTint="BF"/>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1377D4"/>
    <w:pPr>
      <w:ind w:left="720"/>
      <w:contextualSpacing/>
    </w:pPr>
  </w:style>
  <w:style w:type="character" w:styleId="nfasisintenso">
    <w:name w:val="Intense Emphasis"/>
    <w:basedOn w:val="Fuentedeprrafopredeter"/>
    <w:uiPriority w:val="21"/>
    <w:qFormat/>
    <w:rsid w:val="001377D4"/>
    <w:rPr>
      <w:i/>
      <w:iCs/>
      <w:color w:val="0F4761" w:themeColor="accent1" w:themeShade="BF"/>
    </w:rPr>
  </w:style>
  <w:style w:type="paragraph" w:styleId="Citadestacada">
    <w:name w:val="Intense Quote"/>
    <w:basedOn w:val="Normal"/>
    <w:next w:val="Normal"/>
    <w:link w:val="CitadestacadaCar"/>
    <w:uiPriority w:val="30"/>
    <w:qFormat/>
    <w:rsid w:val="00137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77D4"/>
    <w:rPr>
      <w:i/>
      <w:iCs/>
      <w:color w:val="0F4761" w:themeColor="accent1" w:themeShade="BF"/>
    </w:rPr>
  </w:style>
  <w:style w:type="character" w:styleId="Referenciaintensa">
    <w:name w:val="Intense Reference"/>
    <w:basedOn w:val="Fuentedeprrafopredeter"/>
    <w:uiPriority w:val="32"/>
    <w:qFormat/>
    <w:rsid w:val="001377D4"/>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1377D4"/>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1377D4"/>
    <w:rPr>
      <w:rFonts w:eastAsiaTheme="minorEastAsia"/>
      <w:kern w:val="0"/>
      <w:sz w:val="20"/>
      <w:szCs w:val="20"/>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1377D4"/>
    <w:rPr>
      <w:vertAlign w:val="superscript"/>
    </w:rPr>
  </w:style>
  <w:style w:type="paragraph" w:styleId="Encabezado">
    <w:name w:val="header"/>
    <w:basedOn w:val="Normal"/>
    <w:link w:val="EncabezadoCar"/>
    <w:uiPriority w:val="99"/>
    <w:unhideWhenUsed/>
    <w:rsid w:val="001377D4"/>
    <w:pPr>
      <w:tabs>
        <w:tab w:val="center" w:pos="4419"/>
        <w:tab w:val="right" w:pos="8838"/>
      </w:tabs>
    </w:pPr>
  </w:style>
  <w:style w:type="character" w:customStyle="1" w:styleId="EncabezadoCar">
    <w:name w:val="Encabezado Car"/>
    <w:basedOn w:val="Fuentedeprrafopredeter"/>
    <w:link w:val="Encabezado"/>
    <w:uiPriority w:val="99"/>
    <w:rsid w:val="001377D4"/>
    <w:rPr>
      <w:rFonts w:eastAsiaTheme="minorEastAsia"/>
      <w:kern w:val="0"/>
      <w:sz w:val="21"/>
      <w:szCs w:val="21"/>
    </w:rPr>
  </w:style>
  <w:style w:type="paragraph" w:styleId="Piedepgina">
    <w:name w:val="footer"/>
    <w:basedOn w:val="Normal"/>
    <w:link w:val="PiedepginaCar"/>
    <w:uiPriority w:val="99"/>
    <w:unhideWhenUsed/>
    <w:rsid w:val="001377D4"/>
    <w:pPr>
      <w:tabs>
        <w:tab w:val="center" w:pos="4419"/>
        <w:tab w:val="right" w:pos="8838"/>
      </w:tabs>
    </w:pPr>
  </w:style>
  <w:style w:type="character" w:customStyle="1" w:styleId="PiedepginaCar">
    <w:name w:val="Pie de página Car"/>
    <w:basedOn w:val="Fuentedeprrafopredeter"/>
    <w:link w:val="Piedepgina"/>
    <w:uiPriority w:val="99"/>
    <w:rsid w:val="001377D4"/>
    <w:rPr>
      <w:rFonts w:eastAsiaTheme="minorEastAsia"/>
      <w:kern w:val="0"/>
      <w:sz w:val="21"/>
      <w:szCs w:val="21"/>
    </w:rPr>
  </w:style>
  <w:style w:type="table" w:styleId="Tablaconcuadrcula">
    <w:name w:val="Table Grid"/>
    <w:basedOn w:val="Tablanormal"/>
    <w:uiPriority w:val="39"/>
    <w:rsid w:val="001377D4"/>
    <w:pPr>
      <w:spacing w:after="0" w:line="240" w:lineRule="auto"/>
    </w:pPr>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1377D4"/>
    <w:pPr>
      <w:spacing w:after="0" w:line="240" w:lineRule="auto"/>
      <w:jc w:val="both"/>
    </w:pPr>
    <w:rPr>
      <w:rFonts w:eastAsiaTheme="minorHAnsi"/>
      <w:kern w:val="2"/>
      <w:sz w:val="24"/>
      <w:szCs w:val="24"/>
      <w:vertAlign w:val="superscript"/>
    </w:rPr>
  </w:style>
  <w:style w:type="paragraph" w:styleId="TtuloTDC">
    <w:name w:val="TOC Heading"/>
    <w:next w:val="Normal"/>
    <w:uiPriority w:val="39"/>
    <w:unhideWhenUsed/>
    <w:qFormat/>
    <w:rsid w:val="001377D4"/>
    <w:pPr>
      <w:spacing w:after="40" w:line="240" w:lineRule="auto"/>
    </w:pPr>
    <w:rPr>
      <w:color w:val="3A7C22" w:themeColor="accent6" w:themeShade="BF"/>
    </w:rPr>
  </w:style>
  <w:style w:type="paragraph" w:styleId="Sangradetextonormal">
    <w:name w:val="Body Text Indent"/>
    <w:basedOn w:val="Normal"/>
    <w:link w:val="SangradetextonormalCar"/>
    <w:uiPriority w:val="99"/>
    <w:unhideWhenUsed/>
    <w:rsid w:val="001377D4"/>
    <w:pPr>
      <w:spacing w:after="120" w:line="259" w:lineRule="auto"/>
      <w:ind w:left="283"/>
    </w:pPr>
    <w:rPr>
      <w:rFonts w:eastAsiaTheme="minorHAnsi"/>
      <w:sz w:val="22"/>
      <w:szCs w:val="22"/>
    </w:rPr>
  </w:style>
  <w:style w:type="character" w:customStyle="1" w:styleId="SangradetextonormalCar">
    <w:name w:val="Sangría de texto normal Car"/>
    <w:basedOn w:val="Fuentedeprrafopredeter"/>
    <w:link w:val="Sangradetextonormal"/>
    <w:uiPriority w:val="99"/>
    <w:rsid w:val="001377D4"/>
    <w:rPr>
      <w:kern w:val="0"/>
      <w:sz w:val="22"/>
      <w:szCs w:val="22"/>
    </w:rPr>
  </w:style>
  <w:style w:type="character" w:styleId="Hipervnculo">
    <w:name w:val="Hyperlink"/>
    <w:basedOn w:val="Fuentedeprrafopredeter"/>
    <w:uiPriority w:val="99"/>
    <w:unhideWhenUsed/>
    <w:rsid w:val="001377D4"/>
    <w:rPr>
      <w:color w:val="467886" w:themeColor="hyperlink"/>
      <w:u w:val="single"/>
    </w:rPr>
  </w:style>
  <w:style w:type="paragraph" w:customStyle="1" w:styleId="Default">
    <w:name w:val="Default"/>
    <w:qFormat/>
    <w:rsid w:val="001377D4"/>
    <w:pPr>
      <w:autoSpaceDE w:val="0"/>
      <w:autoSpaceDN w:val="0"/>
      <w:adjustRightInd w:val="0"/>
      <w:spacing w:after="0" w:line="240" w:lineRule="auto"/>
    </w:pPr>
    <w:rPr>
      <w:rFonts w:ascii="Arial" w:hAnsi="Arial" w:cs="Arial"/>
      <w:color w:val="000000"/>
    </w:rPr>
  </w:style>
  <w:style w:type="paragraph" w:styleId="TDC2">
    <w:name w:val="toc 2"/>
    <w:basedOn w:val="Normal"/>
    <w:next w:val="Normal"/>
    <w:autoRedefine/>
    <w:uiPriority w:val="39"/>
    <w:unhideWhenUsed/>
    <w:rsid w:val="00EF205C"/>
    <w:pPr>
      <w:tabs>
        <w:tab w:val="right" w:leader="dot" w:pos="8546"/>
      </w:tabs>
      <w:spacing w:after="100"/>
    </w:pPr>
  </w:style>
  <w:style w:type="character" w:styleId="Mencinsinresolver">
    <w:name w:val="Unresolved Mention"/>
    <w:basedOn w:val="Fuentedeprrafopredeter"/>
    <w:uiPriority w:val="99"/>
    <w:semiHidden/>
    <w:unhideWhenUsed/>
    <w:rsid w:val="00C94D7C"/>
    <w:rPr>
      <w:color w:val="605E5C"/>
      <w:shd w:val="clear" w:color="auto" w:fill="E1DFDD"/>
    </w:r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257BB7"/>
    <w:rPr>
      <w:rFonts w:eastAsiaTheme="minorEastAsia"/>
      <w:kern w:val="0"/>
      <w:sz w:val="21"/>
      <w:szCs w:val="21"/>
    </w:rPr>
  </w:style>
  <w:style w:type="character" w:styleId="Hipervnculovisitado">
    <w:name w:val="FollowedHyperlink"/>
    <w:basedOn w:val="Fuentedeprrafopredeter"/>
    <w:uiPriority w:val="99"/>
    <w:semiHidden/>
    <w:unhideWhenUsed/>
    <w:rsid w:val="00B0685D"/>
    <w:rPr>
      <w:color w:val="96607D" w:themeColor="followedHyperlink"/>
      <w:u w:val="single"/>
    </w:rPr>
  </w:style>
  <w:style w:type="paragraph" w:customStyle="1" w:styleId="Estilo">
    <w:name w:val="Estilo"/>
    <w:basedOn w:val="Sinespaciado"/>
    <w:link w:val="EstiloCar"/>
    <w:qFormat/>
    <w:rsid w:val="00D21AF3"/>
    <w:pPr>
      <w:jc w:val="both"/>
    </w:pPr>
    <w:rPr>
      <w:rFonts w:ascii="Arial" w:eastAsiaTheme="minorHAnsi" w:hAnsi="Arial"/>
      <w:sz w:val="24"/>
      <w:szCs w:val="22"/>
    </w:rPr>
  </w:style>
  <w:style w:type="character" w:customStyle="1" w:styleId="EstiloCar">
    <w:name w:val="Estilo Car"/>
    <w:basedOn w:val="Fuentedeprrafopredeter"/>
    <w:link w:val="Estilo"/>
    <w:rsid w:val="00D21AF3"/>
    <w:rPr>
      <w:rFonts w:ascii="Arial" w:hAnsi="Arial"/>
      <w:kern w:val="0"/>
      <w:szCs w:val="22"/>
    </w:rPr>
  </w:style>
  <w:style w:type="paragraph" w:styleId="Sinespaciado">
    <w:name w:val="No Spacing"/>
    <w:uiPriority w:val="1"/>
    <w:qFormat/>
    <w:rsid w:val="00D21AF3"/>
    <w:pPr>
      <w:spacing w:after="0" w:line="240" w:lineRule="auto"/>
    </w:pPr>
    <w:rPr>
      <w:rFonts w:eastAsiaTheme="minorEastAsia"/>
    </w:rPr>
  </w:style>
  <w:style w:type="paragraph" w:styleId="TDC1">
    <w:name w:val="toc 1"/>
    <w:basedOn w:val="Normal"/>
    <w:next w:val="Normal"/>
    <w:autoRedefine/>
    <w:uiPriority w:val="39"/>
    <w:unhideWhenUsed/>
    <w:rsid w:val="00AD66D5"/>
    <w:pPr>
      <w:spacing w:after="100"/>
    </w:pPr>
  </w:style>
  <w:style w:type="paragraph" w:styleId="TDC3">
    <w:name w:val="toc 3"/>
    <w:basedOn w:val="Normal"/>
    <w:next w:val="Normal"/>
    <w:autoRedefine/>
    <w:uiPriority w:val="39"/>
    <w:unhideWhenUsed/>
    <w:rsid w:val="00AD66D5"/>
    <w:pPr>
      <w:spacing w:after="100"/>
      <w:ind w:left="420"/>
    </w:pPr>
  </w:style>
  <w:style w:type="paragraph" w:customStyle="1" w:styleId="Normal0">
    <w:name w:val="Normal0"/>
    <w:qFormat/>
    <w:rsid w:val="00EE49A9"/>
    <w:pPr>
      <w:spacing w:line="259" w:lineRule="auto"/>
    </w:pPr>
    <w:rPr>
      <w:rFonts w:ascii="Calibri" w:eastAsia="Calibri" w:hAnsi="Calibri" w:cs="Calibri"/>
      <w:sz w:val="22"/>
      <w:szCs w:val="22"/>
      <w:lang w:val="es" w:eastAsia="ja-JP"/>
    </w:rPr>
  </w:style>
  <w:style w:type="paragraph" w:styleId="Revisin">
    <w:name w:val="Revision"/>
    <w:hidden/>
    <w:uiPriority w:val="99"/>
    <w:semiHidden/>
    <w:rsid w:val="00F02BE5"/>
    <w:pPr>
      <w:spacing w:after="0" w:line="240" w:lineRule="auto"/>
    </w:pPr>
    <w:rPr>
      <w:rFonts w:eastAsiaTheme="minorEastAsia"/>
    </w:rPr>
  </w:style>
  <w:style w:type="paragraph" w:styleId="NormalWeb">
    <w:name w:val="Normal (Web)"/>
    <w:basedOn w:val="Normal"/>
    <w:uiPriority w:val="99"/>
    <w:semiHidden/>
    <w:unhideWhenUsed/>
    <w:rsid w:val="002B473E"/>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316995"/>
    <w:rPr>
      <w:sz w:val="16"/>
      <w:szCs w:val="16"/>
    </w:rPr>
  </w:style>
  <w:style w:type="table" w:styleId="Tablanormal5">
    <w:name w:val="Plain Table 5"/>
    <w:basedOn w:val="Tablanormal"/>
    <w:uiPriority w:val="45"/>
    <w:rsid w:val="00B019A1"/>
    <w:pPr>
      <w:spacing w:after="0" w:line="240" w:lineRule="auto"/>
    </w:pPr>
    <w:rPr>
      <w:rFonts w:cs="Times New Roman"/>
    </w:rPr>
    <w:tblPr>
      <w:tblStyleRowBandSize w:val="1"/>
      <w:tblStyleColBandSize w:val="1"/>
      <w:tblInd w:w="0" w:type="nil"/>
    </w:tblPr>
    <w:tblStylePr w:type="firstRow">
      <w:rPr>
        <w:rFonts w:ascii="Aptos Display" w:eastAsia="Times New Roman" w:hAnsi="Aptos Display" w:cs="Times New Roman"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Aptos Display" w:eastAsia="Times New Roman" w:hAnsi="Aptos Display" w:cs="Times New Roman"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Aptos Display" w:eastAsia="Times New Roman" w:hAnsi="Aptos Display" w:cs="Times New Roman"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Aptos Display" w:eastAsia="Times New Roman" w:hAnsi="Aptos Display" w:cs="Times New Roman"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presidencia.tng@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esidencia.tng@gmail.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actuarios@teemcorreo.org.mx"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uFKFguLfs4s2U8Mu7RzDnqzA1Q==">CgMxLjAyDmguZHBsMzE4eHFyd2xwMg1oLjdxN2ZmaXhrb3FvMg5oLjhsNmpicnd5bHU0ZjINaC42N2EyNTVwdjh5MjIOaC5qM2Nhc2NiamkwYW8yDmguOTl6OXB0amU4eHd1Mg5oLnZhN3loOXFrdnR2YTIOaC5ybjhiZW45ZXB1cTcyDmguZWgzZXVzOHVubmprMg5oLmcxOXI5emRucXlubzgAciExdEVENU9yQjZ2WDhoeW9yNE9vS09KMGJ3SWxKNTBmSEs=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6DEA5C-B867-45CC-9292-D09B5CE16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4738</Words>
  <Characters>26062</Characters>
  <Application>Microsoft Office Word</Application>
  <DocSecurity>0</DocSecurity>
  <Lines>217</Lines>
  <Paragraphs>61</Paragraphs>
  <ScaleCrop>false</ScaleCrop>
  <Company/>
  <LinksUpToDate>false</LinksUpToDate>
  <CharactersWithSpaces>30739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Guevara Dávila</dc:creator>
  <cp:lastModifiedBy>VICTOR HUGO ARROYO SANDOVAL</cp:lastModifiedBy>
  <cp:revision>4</cp:revision>
  <dcterms:created xsi:type="dcterms:W3CDTF">2026-10-08T21:45:00Z</dcterms:created>
  <dcterms:modified xsi:type="dcterms:W3CDTF">2026-10-09T00:41:00Z</dcterms:modified>
</cp:coreProperties>
</file>