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7F71E" w14:textId="77777777" w:rsidR="00E11D56" w:rsidRDefault="00000000">
      <w:pPr>
        <w:spacing w:before="100" w:beforeAutospacing="1" w:after="100" w:afterAutospacing="1" w:line="360" w:lineRule="auto"/>
        <w:ind w:left="1416" w:hanging="1416"/>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8240" behindDoc="0" locked="0" layoutInCell="1" allowOverlap="1" wp14:anchorId="02D82494" wp14:editId="38FFFB63">
                <wp:simplePos x="0" y="0"/>
                <wp:positionH relativeFrom="margin">
                  <wp:posOffset>2712720</wp:posOffset>
                </wp:positionH>
                <wp:positionV relativeFrom="paragraph">
                  <wp:posOffset>9525</wp:posOffset>
                </wp:positionV>
                <wp:extent cx="2688590" cy="4162425"/>
                <wp:effectExtent l="0" t="0" r="0" b="9525"/>
                <wp:wrapNone/>
                <wp:docPr id="8"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88590" cy="4162425"/>
                        </a:xfrm>
                        <a:prstGeom prst="rect">
                          <a:avLst/>
                        </a:prstGeom>
                        <a:noFill/>
                        <a:ln>
                          <a:noFill/>
                        </a:ln>
                      </wps:spPr>
                      <wps:txbx>
                        <w:txbxContent>
                          <w:p w14:paraId="6960CBA4" w14:textId="77777777" w:rsidR="00E11D56" w:rsidRDefault="00000000">
                            <w:pPr>
                              <w:pStyle w:val="Default"/>
                              <w:spacing w:after="100" w:afterAutospacing="1"/>
                              <w:jc w:val="center"/>
                              <w:rPr>
                                <w:b/>
                              </w:rPr>
                            </w:pPr>
                            <w:r>
                              <w:rPr>
                                <w:b/>
                              </w:rPr>
                              <w:t>JUICIO PARA LA PROTECCIÓN DE LOS DERECHOS POLÍTICO-ELECTORALES DEL CIUDADANO</w:t>
                            </w:r>
                          </w:p>
                          <w:p w14:paraId="41715388" w14:textId="77777777" w:rsidR="00E11D56" w:rsidRDefault="00000000">
                            <w:pPr>
                              <w:pStyle w:val="Default"/>
                              <w:spacing w:after="100" w:afterAutospacing="1"/>
                              <w:jc w:val="both"/>
                            </w:pPr>
                            <w:r>
                              <w:rPr>
                                <w:b/>
                              </w:rPr>
                              <w:t xml:space="preserve">EXPEDIENTE: </w:t>
                            </w:r>
                            <w:r>
                              <w:t>TEEM-JDC-060/2026</w:t>
                            </w:r>
                          </w:p>
                          <w:p w14:paraId="339E5309" w14:textId="77777777" w:rsidR="00E11D56" w:rsidRDefault="00000000">
                            <w:pPr>
                              <w:pStyle w:val="Default"/>
                              <w:spacing w:after="100" w:afterAutospacing="1"/>
                              <w:jc w:val="both"/>
                            </w:pPr>
                            <w:r>
                              <w:rPr>
                                <w:b/>
                              </w:rPr>
                              <w:t xml:space="preserve">ACTORES: </w:t>
                            </w:r>
                            <w:r>
                              <w:t>RODRIGO IGLESIAS MONDRAGÓN Y OTRO</w:t>
                            </w:r>
                          </w:p>
                          <w:p w14:paraId="5BE456CF" w14:textId="77777777" w:rsidR="00E11D56" w:rsidRDefault="00000000">
                            <w:pPr>
                              <w:pStyle w:val="Default"/>
                              <w:spacing w:after="100" w:afterAutospacing="1"/>
                              <w:jc w:val="both"/>
                              <w:rPr>
                                <w:bCs/>
                              </w:rPr>
                            </w:pPr>
                            <w:r>
                              <w:rPr>
                                <w:b/>
                              </w:rPr>
                              <w:t xml:space="preserve">AUTORIDAD RESPONSABLE: </w:t>
                            </w:r>
                            <w:r>
                              <w:rPr>
                                <w:bCs/>
                              </w:rPr>
                              <w:t>INSTITUTO ELECTORAL DE MICHOACÁN</w:t>
                            </w:r>
                          </w:p>
                          <w:p w14:paraId="61E33B88" w14:textId="77777777" w:rsidR="00E11D56" w:rsidRDefault="00000000">
                            <w:pPr>
                              <w:pStyle w:val="Default"/>
                              <w:spacing w:after="100" w:afterAutospacing="1"/>
                              <w:jc w:val="both"/>
                              <w:rPr>
                                <w:b/>
                              </w:rPr>
                            </w:pPr>
                            <w:r>
                              <w:rPr>
                                <w:b/>
                                <w:color w:val="auto"/>
                              </w:rPr>
                              <w:t>MAGISTRADA</w:t>
                            </w:r>
                            <w:r>
                              <w:rPr>
                                <w:b/>
                              </w:rPr>
                              <w:t>:</w:t>
                            </w:r>
                            <w:r>
                              <w:t xml:space="preserve"> ALMA ROSA BAHENA VILLALOBOS</w:t>
                            </w:r>
                          </w:p>
                          <w:p w14:paraId="656FC5AB" w14:textId="77777777" w:rsidR="00E11D56" w:rsidRDefault="00000000">
                            <w:pPr>
                              <w:pStyle w:val="Default"/>
                              <w:jc w:val="both"/>
                            </w:pPr>
                            <w:r>
                              <w:rPr>
                                <w:b/>
                              </w:rPr>
                              <w:t>SECRETARIA INSTRUCTORA Y PROYECTISTA:</w:t>
                            </w:r>
                            <w:r>
                              <w:t xml:space="preserve"> SANDRA YÉPEZ CARRANZA</w:t>
                            </w:r>
                          </w:p>
                          <w:p w14:paraId="0BFF153B" w14:textId="77777777" w:rsidR="00E11D56" w:rsidRDefault="00E11D56">
                            <w:pPr>
                              <w:pStyle w:val="Default"/>
                              <w:jc w:val="both"/>
                            </w:pPr>
                          </w:p>
                          <w:p w14:paraId="53DE1F52" w14:textId="77777777" w:rsidR="00E11D56" w:rsidRDefault="00000000">
                            <w:pPr>
                              <w:pStyle w:val="Default"/>
                              <w:jc w:val="both"/>
                            </w:pPr>
                            <w:r>
                              <w:rPr>
                                <w:b/>
                                <w:bCs/>
                              </w:rPr>
                              <w:t>COLABORÓ:</w:t>
                            </w:r>
                            <w:r>
                              <w:t xml:space="preserve"> MANUEL CHAMORRO DELGADO.</w:t>
                            </w:r>
                          </w:p>
                          <w:p w14:paraId="0B64710C" w14:textId="77777777" w:rsidR="00E11D56" w:rsidRDefault="00E11D56">
                            <w:pPr>
                              <w:pStyle w:val="Default"/>
                              <w:spacing w:before="100" w:beforeAutospacing="1" w:after="100" w:afterAutospacing="1"/>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D82494" id="_x0000_t202" coordsize="21600,21600" o:spt="202" path="m,l,21600r21600,l21600,xe">
                <v:stroke joinstyle="miter"/>
                <v:path gradientshapeok="t" o:connecttype="rect"/>
              </v:shapetype>
              <v:shape id="Cuadro de texto 3" o:spid="_x0000_s1026" type="#_x0000_t202" style="position:absolute;left:0;text-align:left;margin-left:213.6pt;margin-top:.75pt;width:211.7pt;height:327.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" filled="f" stroked="f">
                <v:textbox>
                  <w:txbxContent>
                    <w:p w14:paraId="6960CBA4" w14:textId="77777777" w:rsidR="00E11D56" w:rsidRDefault="00000000">
                      <w:pPr>
                        <w:pStyle w:val="Default"/>
                        <w:spacing w:after="100" w:afterAutospacing="1"/>
                        <w:jc w:val="center"/>
                        <w:rPr>
                          <w:b/>
                        </w:rPr>
                      </w:pPr>
                      <w:r>
                        <w:rPr>
                          <w:b/>
                        </w:rPr>
                        <w:t>JUICIO PARA LA PROTECCIÓN DE LOS DERECHOS POLÍTICO-ELECTORALES DEL CIUDADANO</w:t>
                      </w:r>
                    </w:p>
                    <w:p w14:paraId="41715388" w14:textId="77777777" w:rsidR="00E11D56" w:rsidRDefault="00000000">
                      <w:pPr>
                        <w:pStyle w:val="Default"/>
                        <w:spacing w:after="100" w:afterAutospacing="1"/>
                        <w:jc w:val="both"/>
                      </w:pPr>
                      <w:r>
                        <w:rPr>
                          <w:b/>
                        </w:rPr>
                        <w:t xml:space="preserve">EXPEDIENTE: </w:t>
                      </w:r>
                      <w:r>
                        <w:t>TEEM-JDC-060/2026</w:t>
                      </w:r>
                    </w:p>
                    <w:p w14:paraId="339E5309" w14:textId="77777777" w:rsidR="00E11D56" w:rsidRDefault="00000000">
                      <w:pPr>
                        <w:pStyle w:val="Default"/>
                        <w:spacing w:after="100" w:afterAutospacing="1"/>
                        <w:jc w:val="both"/>
                      </w:pPr>
                      <w:r>
                        <w:rPr>
                          <w:b/>
                        </w:rPr>
                        <w:t xml:space="preserve">ACTORES: </w:t>
                      </w:r>
                      <w:r>
                        <w:t>RODRIGO IGLESIAS MONDRAGÓN Y OTRO</w:t>
                      </w:r>
                    </w:p>
                    <w:p w14:paraId="5BE456CF" w14:textId="77777777" w:rsidR="00E11D56" w:rsidRDefault="00000000">
                      <w:pPr>
                        <w:pStyle w:val="Default"/>
                        <w:spacing w:after="100" w:afterAutospacing="1"/>
                        <w:jc w:val="both"/>
                        <w:rPr>
                          <w:bCs/>
                        </w:rPr>
                      </w:pPr>
                      <w:r>
                        <w:rPr>
                          <w:b/>
                        </w:rPr>
                        <w:t xml:space="preserve">AUTORIDAD RESPONSABLE: </w:t>
                      </w:r>
                      <w:r>
                        <w:rPr>
                          <w:bCs/>
                        </w:rPr>
                        <w:t>INSTITUTO ELECTORAL DE MICHOACÁN</w:t>
                      </w:r>
                    </w:p>
                    <w:p w14:paraId="61E33B88" w14:textId="77777777" w:rsidR="00E11D56" w:rsidRDefault="00000000">
                      <w:pPr>
                        <w:pStyle w:val="Default"/>
                        <w:spacing w:after="100" w:afterAutospacing="1"/>
                        <w:jc w:val="both"/>
                        <w:rPr>
                          <w:b/>
                        </w:rPr>
                      </w:pPr>
                      <w:r>
                        <w:rPr>
                          <w:b/>
                          <w:color w:val="auto"/>
                        </w:rPr>
                        <w:t>MAGISTRADA</w:t>
                      </w:r>
                      <w:r>
                        <w:rPr>
                          <w:b/>
                        </w:rPr>
                        <w:t>:</w:t>
                      </w:r>
                      <w:r>
                        <w:t xml:space="preserve"> ALMA ROSA BAHENA VILLALOBOS</w:t>
                      </w:r>
                    </w:p>
                    <w:p w14:paraId="656FC5AB" w14:textId="77777777" w:rsidR="00E11D56" w:rsidRDefault="00000000">
                      <w:pPr>
                        <w:pStyle w:val="Default"/>
                        <w:jc w:val="both"/>
                      </w:pPr>
                      <w:r>
                        <w:rPr>
                          <w:b/>
                        </w:rPr>
                        <w:t>SECRETARIA INSTRUCTORA Y PROYECTISTA:</w:t>
                      </w:r>
                      <w:r>
                        <w:t xml:space="preserve"> SANDRA YÉPEZ CARRANZA</w:t>
                      </w:r>
                    </w:p>
                    <w:p w14:paraId="0BFF153B" w14:textId="77777777" w:rsidR="00E11D56" w:rsidRDefault="00E11D56">
                      <w:pPr>
                        <w:pStyle w:val="Default"/>
                        <w:jc w:val="both"/>
                      </w:pPr>
                    </w:p>
                    <w:p w14:paraId="53DE1F52" w14:textId="77777777" w:rsidR="00E11D56" w:rsidRDefault="00000000">
                      <w:pPr>
                        <w:pStyle w:val="Default"/>
                        <w:jc w:val="both"/>
                      </w:pPr>
                      <w:r>
                        <w:rPr>
                          <w:b/>
                          <w:bCs/>
                        </w:rPr>
                        <w:t>COLABORÓ:</w:t>
                      </w:r>
                      <w:r>
                        <w:t xml:space="preserve"> MANUEL CHAMORRO DELGADO.</w:t>
                      </w:r>
                    </w:p>
                    <w:p w14:paraId="0B64710C" w14:textId="77777777" w:rsidR="00E11D56" w:rsidRDefault="00E11D56">
                      <w:pPr>
                        <w:pStyle w:val="Default"/>
                        <w:spacing w:before="100" w:beforeAutospacing="1" w:after="100" w:afterAutospacing="1"/>
                        <w:jc w:val="both"/>
                      </w:pPr>
                    </w:p>
                  </w:txbxContent>
                </v:textbox>
                <w10:wrap anchorx="margin"/>
              </v:shape>
            </w:pict>
          </mc:Fallback>
        </mc:AlternateContent>
      </w:r>
    </w:p>
    <w:p w14:paraId="66C00187" w14:textId="77777777" w:rsidR="00E11D56" w:rsidRDefault="00E11D56">
      <w:pPr>
        <w:spacing w:before="100" w:beforeAutospacing="1" w:after="100" w:afterAutospacing="1" w:line="360" w:lineRule="auto"/>
        <w:ind w:left="1416" w:hanging="1416"/>
        <w:jc w:val="right"/>
        <w:rPr>
          <w:rFonts w:ascii="Arial" w:hAnsi="Arial" w:cs="Arial"/>
          <w:b/>
          <w:sz w:val="24"/>
          <w:szCs w:val="24"/>
        </w:rPr>
      </w:pPr>
    </w:p>
    <w:p w14:paraId="6F078AC1" w14:textId="77777777" w:rsidR="00E11D56" w:rsidRDefault="00E11D56">
      <w:pPr>
        <w:spacing w:before="100" w:beforeAutospacing="1" w:after="100" w:afterAutospacing="1" w:line="360" w:lineRule="auto"/>
        <w:jc w:val="right"/>
        <w:rPr>
          <w:rFonts w:ascii="Arial" w:hAnsi="Arial" w:cs="Arial"/>
          <w:sz w:val="24"/>
          <w:szCs w:val="24"/>
        </w:rPr>
      </w:pPr>
    </w:p>
    <w:p w14:paraId="0F6311D7" w14:textId="77777777" w:rsidR="00E11D56" w:rsidRDefault="00E11D56">
      <w:pPr>
        <w:spacing w:before="100" w:beforeAutospacing="1" w:after="100" w:afterAutospacing="1" w:line="360" w:lineRule="auto"/>
        <w:jc w:val="right"/>
        <w:rPr>
          <w:rFonts w:ascii="Arial" w:hAnsi="Arial" w:cs="Arial"/>
          <w:sz w:val="24"/>
          <w:szCs w:val="24"/>
        </w:rPr>
      </w:pPr>
    </w:p>
    <w:p w14:paraId="66B0252B" w14:textId="77777777" w:rsidR="00E11D56" w:rsidRDefault="00E11D56">
      <w:pPr>
        <w:spacing w:before="100" w:beforeAutospacing="1" w:after="100" w:afterAutospacing="1" w:line="360" w:lineRule="auto"/>
        <w:jc w:val="right"/>
        <w:rPr>
          <w:rFonts w:ascii="Arial" w:hAnsi="Arial" w:cs="Arial"/>
          <w:sz w:val="24"/>
          <w:szCs w:val="24"/>
        </w:rPr>
      </w:pPr>
    </w:p>
    <w:p w14:paraId="0E8EC814" w14:textId="77777777" w:rsidR="00E11D56" w:rsidRDefault="00E11D56">
      <w:pPr>
        <w:spacing w:before="100" w:beforeAutospacing="1" w:after="100" w:afterAutospacing="1" w:line="360" w:lineRule="auto"/>
        <w:jc w:val="right"/>
        <w:rPr>
          <w:rFonts w:ascii="Arial" w:hAnsi="Arial" w:cs="Arial"/>
          <w:sz w:val="24"/>
          <w:szCs w:val="24"/>
        </w:rPr>
      </w:pPr>
    </w:p>
    <w:p w14:paraId="169E587F" w14:textId="77777777" w:rsidR="00E11D56" w:rsidRDefault="00E11D56">
      <w:pPr>
        <w:spacing w:before="100" w:beforeAutospacing="1" w:after="100" w:afterAutospacing="1" w:line="360" w:lineRule="auto"/>
        <w:jc w:val="right"/>
        <w:rPr>
          <w:rFonts w:ascii="Arial" w:hAnsi="Arial" w:cs="Arial"/>
          <w:sz w:val="24"/>
          <w:szCs w:val="24"/>
        </w:rPr>
      </w:pPr>
    </w:p>
    <w:p w14:paraId="53B5C093" w14:textId="77777777" w:rsidR="00E11D56" w:rsidRDefault="00E11D56">
      <w:pPr>
        <w:spacing w:before="360" w:after="240" w:line="360" w:lineRule="auto"/>
        <w:jc w:val="right"/>
        <w:rPr>
          <w:rFonts w:ascii="Arial" w:hAnsi="Arial" w:cs="Arial"/>
          <w:sz w:val="24"/>
          <w:szCs w:val="24"/>
        </w:rPr>
      </w:pPr>
    </w:p>
    <w:p w14:paraId="4DD20B3A" w14:textId="77777777" w:rsidR="00E11D56" w:rsidRDefault="00E11D56">
      <w:pPr>
        <w:spacing w:before="360" w:after="240" w:line="360" w:lineRule="auto"/>
        <w:rPr>
          <w:rFonts w:ascii="Arial" w:hAnsi="Arial" w:cs="Arial"/>
          <w:sz w:val="24"/>
          <w:szCs w:val="24"/>
        </w:rPr>
      </w:pPr>
    </w:p>
    <w:p w14:paraId="409542D0" w14:textId="77777777" w:rsidR="00C26FDC" w:rsidRDefault="00C26FDC">
      <w:pPr>
        <w:spacing w:before="360" w:after="240" w:line="360" w:lineRule="auto"/>
        <w:rPr>
          <w:rFonts w:ascii="Arial" w:hAnsi="Arial" w:cs="Arial"/>
          <w:sz w:val="24"/>
          <w:szCs w:val="24"/>
        </w:rPr>
      </w:pPr>
    </w:p>
    <w:p w14:paraId="0E0598E6" w14:textId="53F60B78" w:rsidR="00E11D56" w:rsidRDefault="00000000">
      <w:pPr>
        <w:spacing w:before="360" w:after="240" w:line="360" w:lineRule="auto"/>
        <w:jc w:val="right"/>
        <w:rPr>
          <w:rFonts w:ascii="Arial" w:hAnsi="Arial" w:cs="Arial"/>
          <w:sz w:val="24"/>
          <w:szCs w:val="24"/>
        </w:rPr>
      </w:pPr>
      <w:r>
        <w:rPr>
          <w:rFonts w:ascii="Arial" w:hAnsi="Arial" w:cs="Arial"/>
          <w:sz w:val="24"/>
          <w:szCs w:val="24"/>
        </w:rPr>
        <w:t xml:space="preserve">Morelia, Michoacán, a </w:t>
      </w:r>
      <w:r w:rsidR="00F11E2B">
        <w:rPr>
          <w:rFonts w:ascii="Arial" w:hAnsi="Arial" w:cs="Arial"/>
          <w:sz w:val="24"/>
          <w:szCs w:val="24"/>
        </w:rPr>
        <w:t xml:space="preserve">nueve </w:t>
      </w:r>
      <w:r>
        <w:rPr>
          <w:rFonts w:ascii="Arial" w:hAnsi="Arial" w:cs="Arial"/>
          <w:sz w:val="24"/>
          <w:szCs w:val="24"/>
        </w:rPr>
        <w:t xml:space="preserve">de julio dos mil </w:t>
      </w:r>
      <w:bookmarkStart w:id="0" w:name="_Hlk202779193"/>
      <w:r>
        <w:rPr>
          <w:rFonts w:ascii="Arial" w:hAnsi="Arial" w:cs="Arial"/>
          <w:sz w:val="24"/>
          <w:szCs w:val="24"/>
        </w:rPr>
        <w:t>veintiséis</w:t>
      </w:r>
      <w:r>
        <w:rPr>
          <w:rStyle w:val="Refdenotaalpie"/>
          <w:rFonts w:ascii="Arial" w:hAnsi="Arial" w:cs="Arial"/>
          <w:sz w:val="24"/>
          <w:szCs w:val="24"/>
        </w:rPr>
        <w:footnoteReference w:id="2"/>
      </w:r>
      <w:bookmarkEnd w:id="0"/>
      <w:r>
        <w:rPr>
          <w:rFonts w:ascii="Arial" w:hAnsi="Arial" w:cs="Arial"/>
          <w:sz w:val="24"/>
          <w:szCs w:val="24"/>
        </w:rPr>
        <w:t>.</w:t>
      </w:r>
    </w:p>
    <w:p w14:paraId="07C76774" w14:textId="77777777" w:rsidR="00E11D56" w:rsidRDefault="00000000">
      <w:pPr>
        <w:tabs>
          <w:tab w:val="left" w:pos="544"/>
        </w:tabs>
        <w:spacing w:before="100" w:beforeAutospacing="1" w:after="100" w:afterAutospacing="1" w:line="360" w:lineRule="auto"/>
        <w:jc w:val="both"/>
        <w:rPr>
          <w:rFonts w:ascii="Arial" w:eastAsia="Arial" w:hAnsi="Arial" w:cs="Arial"/>
          <w:sz w:val="24"/>
          <w:szCs w:val="24"/>
        </w:rPr>
      </w:pPr>
      <w:r>
        <w:rPr>
          <w:rFonts w:ascii="Arial" w:hAnsi="Arial" w:cs="Arial"/>
          <w:b/>
          <w:sz w:val="24"/>
          <w:szCs w:val="24"/>
        </w:rPr>
        <w:t xml:space="preserve">Sentencia </w:t>
      </w:r>
      <w:r>
        <w:rPr>
          <w:rFonts w:ascii="Arial" w:hAnsi="Arial" w:cs="Arial"/>
          <w:bCs/>
          <w:sz w:val="24"/>
          <w:szCs w:val="24"/>
        </w:rPr>
        <w:t xml:space="preserve">que: </w:t>
      </w:r>
      <w:r>
        <w:rPr>
          <w:rFonts w:ascii="Arial" w:eastAsia="Arial" w:hAnsi="Arial" w:cs="Arial"/>
          <w:b/>
          <w:bCs/>
          <w:sz w:val="24"/>
          <w:szCs w:val="24"/>
        </w:rPr>
        <w:t xml:space="preserve">I. </w:t>
      </w:r>
      <w:r>
        <w:rPr>
          <w:rFonts w:ascii="Arial" w:eastAsia="Arial" w:hAnsi="Arial" w:cs="Arial"/>
          <w:sz w:val="24"/>
          <w:szCs w:val="24"/>
        </w:rPr>
        <w:t>T</w:t>
      </w:r>
      <w:proofErr w:type="spellStart"/>
      <w:r>
        <w:rPr>
          <w:rFonts w:ascii="Arial" w:eastAsia="Arial" w:hAnsi="Arial" w:cs="Arial"/>
          <w:sz w:val="24"/>
          <w:szCs w:val="24"/>
          <w:lang w:val="es-ES_tradnl"/>
        </w:rPr>
        <w:t>iene</w:t>
      </w:r>
      <w:proofErr w:type="spellEnd"/>
      <w:r>
        <w:rPr>
          <w:rFonts w:ascii="Arial" w:hAnsi="Arial" w:cs="Arial"/>
          <w:sz w:val="24"/>
          <w:szCs w:val="24"/>
          <w:lang w:val="es-ES_tradnl"/>
        </w:rPr>
        <w:t xml:space="preserve"> por </w:t>
      </w:r>
      <w:r>
        <w:rPr>
          <w:rFonts w:ascii="Arial" w:hAnsi="Arial" w:cs="Arial"/>
          <w:b/>
          <w:bCs/>
          <w:sz w:val="24"/>
          <w:szCs w:val="24"/>
          <w:lang w:val="es-ES_tradnl"/>
        </w:rPr>
        <w:t>no presentado</w:t>
      </w:r>
      <w:r>
        <w:rPr>
          <w:rFonts w:ascii="Arial" w:hAnsi="Arial" w:cs="Arial"/>
          <w:b/>
          <w:sz w:val="24"/>
          <w:szCs w:val="24"/>
          <w:lang w:val="es-ES_tradnl"/>
        </w:rPr>
        <w:t xml:space="preserve"> </w:t>
      </w:r>
      <w:r>
        <w:rPr>
          <w:rFonts w:ascii="Arial" w:hAnsi="Arial" w:cs="Arial"/>
          <w:bCs/>
          <w:sz w:val="24"/>
          <w:szCs w:val="24"/>
          <w:lang w:val="es-ES_tradnl"/>
        </w:rPr>
        <w:t xml:space="preserve">el medio de impugnación respecto de uno de los actores por carecer de firma autógrafa; </w:t>
      </w:r>
      <w:r>
        <w:rPr>
          <w:rFonts w:ascii="Arial" w:hAnsi="Arial" w:cs="Arial"/>
          <w:b/>
          <w:sz w:val="24"/>
          <w:szCs w:val="24"/>
          <w:lang w:val="es-ES_tradnl"/>
        </w:rPr>
        <w:t>II.</w:t>
      </w:r>
      <w:r>
        <w:rPr>
          <w:rFonts w:ascii="Arial" w:hAnsi="Arial" w:cs="Arial"/>
          <w:bCs/>
          <w:sz w:val="24"/>
          <w:szCs w:val="24"/>
          <w:lang w:val="es-ES_tradnl"/>
        </w:rPr>
        <w:t xml:space="preserve"> </w:t>
      </w:r>
      <w:r>
        <w:rPr>
          <w:rFonts w:ascii="Arial" w:eastAsia="Arial" w:hAnsi="Arial" w:cs="Arial"/>
          <w:sz w:val="24"/>
          <w:szCs w:val="24"/>
        </w:rPr>
        <w:t xml:space="preserve">Declara </w:t>
      </w:r>
      <w:r>
        <w:rPr>
          <w:rFonts w:ascii="Arial" w:eastAsia="Arial" w:hAnsi="Arial" w:cs="Arial"/>
          <w:b/>
          <w:bCs/>
          <w:sz w:val="24"/>
          <w:szCs w:val="24"/>
        </w:rPr>
        <w:t xml:space="preserve">inexistente </w:t>
      </w:r>
      <w:r>
        <w:rPr>
          <w:rFonts w:ascii="Arial" w:eastAsia="Arial" w:hAnsi="Arial" w:cs="Arial"/>
          <w:sz w:val="24"/>
          <w:szCs w:val="24"/>
        </w:rPr>
        <w:t xml:space="preserve">la omisión atribuida al Instituto Electoral de Michoacán; y, </w:t>
      </w:r>
      <w:r>
        <w:rPr>
          <w:rFonts w:ascii="Arial" w:eastAsia="Arial" w:hAnsi="Arial" w:cs="Arial"/>
          <w:b/>
          <w:bCs/>
          <w:sz w:val="24"/>
          <w:szCs w:val="24"/>
        </w:rPr>
        <w:t>III</w:t>
      </w:r>
      <w:r>
        <w:rPr>
          <w:rFonts w:ascii="Arial" w:eastAsia="Arial MT" w:hAnsi="Arial" w:cs="Arial"/>
          <w:b/>
          <w:bCs/>
          <w:sz w:val="24"/>
          <w:szCs w:val="24"/>
          <w:lang w:val="es-ES"/>
        </w:rPr>
        <w:t xml:space="preserve">. Vincula </w:t>
      </w:r>
      <w:r>
        <w:rPr>
          <w:rFonts w:ascii="Arial" w:eastAsia="Arial MT" w:hAnsi="Arial" w:cs="Arial"/>
          <w:sz w:val="24"/>
          <w:szCs w:val="24"/>
          <w:lang w:val="es-ES"/>
        </w:rPr>
        <w:t>a la Secretaría General de Acuerdos de este Tribunal, al Sistema Michoacano de Radio y Televisión, así como al Ayuntamiento de Zitácuaro, Michoacán, para que procedan conforme a lo determinado en la presente sentencia</w:t>
      </w:r>
      <w:r>
        <w:rPr>
          <w:rFonts w:ascii="Arial" w:hAnsi="Arial" w:cs="Arial"/>
          <w:sz w:val="24"/>
          <w:szCs w:val="24"/>
        </w:rPr>
        <w:t>.</w:t>
      </w:r>
    </w:p>
    <w:sdt>
      <w:sdtPr>
        <w:rPr>
          <w:rFonts w:asciiTheme="minorHAnsi" w:eastAsiaTheme="minorEastAsia" w:hAnsiTheme="minorHAnsi" w:cstheme="minorBidi"/>
          <w:color w:val="auto"/>
          <w:sz w:val="21"/>
          <w:szCs w:val="21"/>
        </w:rPr>
        <w:id w:val="-1320036328"/>
        <w:docPartObj>
          <w:docPartGallery w:val="Table of Contents"/>
          <w:docPartUnique/>
        </w:docPartObj>
      </w:sdtPr>
      <w:sdtEndPr>
        <w:rPr>
          <w:b/>
          <w:bCs/>
        </w:rPr>
      </w:sdtEndPr>
      <w:sdtContent>
        <w:p w14:paraId="07D893F4" w14:textId="77777777" w:rsidR="00E11D56" w:rsidRDefault="00000000">
          <w:pPr>
            <w:pStyle w:val="TtuloTDC"/>
            <w:spacing w:before="100" w:beforeAutospacing="1" w:after="100" w:afterAutospacing="1"/>
            <w:jc w:val="center"/>
            <w:rPr>
              <w:rFonts w:ascii="Arial" w:hAnsi="Arial" w:cs="Arial"/>
              <w:b/>
              <w:bCs/>
              <w:color w:val="000000" w:themeColor="text1"/>
              <w:sz w:val="24"/>
              <w:szCs w:val="24"/>
            </w:rPr>
          </w:pPr>
          <w:r>
            <w:rPr>
              <w:rFonts w:ascii="Arial" w:hAnsi="Arial" w:cs="Arial"/>
              <w:b/>
              <w:bCs/>
              <w:color w:val="000000" w:themeColor="text1"/>
              <w:sz w:val="24"/>
              <w:szCs w:val="24"/>
            </w:rPr>
            <w:t>CONTENIDO</w:t>
          </w:r>
        </w:p>
        <w:p w14:paraId="7081733A" w14:textId="79B96B29" w:rsidR="007C33B4" w:rsidRDefault="00000000">
          <w:pPr>
            <w:pStyle w:val="TDC2"/>
            <w:rPr>
              <w:noProof/>
              <w:kern w:val="2"/>
              <w:sz w:val="24"/>
              <w:szCs w:val="24"/>
              <w:lang w:eastAsia="es-MX"/>
              <w14:ligatures w14:val="standardContextual"/>
            </w:rPr>
          </w:pPr>
          <w:r>
            <w:rPr>
              <w:rFonts w:ascii="Arial Narrow" w:hAnsi="Arial Narrow" w:cs="Arial"/>
              <w:sz w:val="20"/>
              <w:szCs w:val="20"/>
            </w:rPr>
            <w:fldChar w:fldCharType="begin"/>
          </w:r>
          <w:r>
            <w:rPr>
              <w:rFonts w:ascii="Arial Narrow" w:hAnsi="Arial Narrow" w:cs="Arial"/>
              <w:sz w:val="20"/>
              <w:szCs w:val="20"/>
            </w:rPr>
            <w:instrText xml:space="preserve"> TOC \o "1-3" \h \z \u </w:instrText>
          </w:r>
          <w:r>
            <w:rPr>
              <w:rFonts w:ascii="Arial Narrow" w:hAnsi="Arial Narrow" w:cs="Arial"/>
              <w:sz w:val="20"/>
              <w:szCs w:val="20"/>
            </w:rPr>
            <w:fldChar w:fldCharType="separate"/>
          </w:r>
          <w:hyperlink w:anchor="_Toc234501831" w:history="1">
            <w:r w:rsidR="007C33B4" w:rsidRPr="00ED2553">
              <w:rPr>
                <w:rStyle w:val="Hipervnculo"/>
                <w:rFonts w:ascii="Arial" w:hAnsi="Arial" w:cs="Arial"/>
                <w:b/>
                <w:bCs/>
                <w:noProof/>
              </w:rPr>
              <w:t>GLOSARIO</w:t>
            </w:r>
            <w:r w:rsidR="007C33B4">
              <w:rPr>
                <w:noProof/>
                <w:webHidden/>
              </w:rPr>
              <w:tab/>
            </w:r>
            <w:r w:rsidR="007C33B4">
              <w:rPr>
                <w:noProof/>
                <w:webHidden/>
              </w:rPr>
              <w:fldChar w:fldCharType="begin"/>
            </w:r>
            <w:r w:rsidR="007C33B4">
              <w:rPr>
                <w:noProof/>
                <w:webHidden/>
              </w:rPr>
              <w:instrText xml:space="preserve"> PAGEREF _Toc234501831 \h </w:instrText>
            </w:r>
            <w:r w:rsidR="007C33B4">
              <w:rPr>
                <w:noProof/>
                <w:webHidden/>
              </w:rPr>
            </w:r>
            <w:r w:rsidR="007C33B4">
              <w:rPr>
                <w:noProof/>
                <w:webHidden/>
              </w:rPr>
              <w:fldChar w:fldCharType="separate"/>
            </w:r>
            <w:r w:rsidR="000767C7">
              <w:rPr>
                <w:noProof/>
                <w:webHidden/>
              </w:rPr>
              <w:t>2</w:t>
            </w:r>
            <w:r w:rsidR="007C33B4">
              <w:rPr>
                <w:noProof/>
                <w:webHidden/>
              </w:rPr>
              <w:fldChar w:fldCharType="end"/>
            </w:r>
          </w:hyperlink>
        </w:p>
        <w:p w14:paraId="312E7534" w14:textId="10906D71" w:rsidR="007C33B4" w:rsidRDefault="007C33B4">
          <w:pPr>
            <w:pStyle w:val="TDC2"/>
            <w:tabs>
              <w:tab w:val="left" w:pos="420"/>
            </w:tabs>
            <w:rPr>
              <w:noProof/>
              <w:kern w:val="2"/>
              <w:sz w:val="24"/>
              <w:szCs w:val="24"/>
              <w:lang w:eastAsia="es-MX"/>
              <w14:ligatures w14:val="standardContextual"/>
            </w:rPr>
          </w:pPr>
          <w:hyperlink w:anchor="_Toc234501832" w:history="1">
            <w:r w:rsidRPr="00ED2553">
              <w:rPr>
                <w:rStyle w:val="Hipervnculo"/>
                <w:rFonts w:ascii="Arial" w:hAnsi="Arial" w:cs="Arial"/>
                <w:b/>
                <w:bCs/>
                <w:noProof/>
                <w:lang w:eastAsia="es-ES"/>
              </w:rPr>
              <w:t>I.</w:t>
            </w:r>
            <w:r>
              <w:rPr>
                <w:noProof/>
                <w:kern w:val="2"/>
                <w:sz w:val="24"/>
                <w:szCs w:val="24"/>
                <w:lang w:eastAsia="es-MX"/>
                <w14:ligatures w14:val="standardContextual"/>
              </w:rPr>
              <w:tab/>
            </w:r>
            <w:r w:rsidRPr="00ED2553">
              <w:rPr>
                <w:rStyle w:val="Hipervnculo"/>
                <w:rFonts w:ascii="Arial" w:hAnsi="Arial" w:cs="Arial"/>
                <w:b/>
                <w:bCs/>
                <w:noProof/>
                <w:lang w:eastAsia="es-ES"/>
              </w:rPr>
              <w:t>ANTECEDENTES</w:t>
            </w:r>
            <w:r>
              <w:rPr>
                <w:noProof/>
                <w:webHidden/>
              </w:rPr>
              <w:tab/>
            </w:r>
            <w:r>
              <w:rPr>
                <w:noProof/>
                <w:webHidden/>
              </w:rPr>
              <w:fldChar w:fldCharType="begin"/>
            </w:r>
            <w:r>
              <w:rPr>
                <w:noProof/>
                <w:webHidden/>
              </w:rPr>
              <w:instrText xml:space="preserve"> PAGEREF _Toc234501832 \h </w:instrText>
            </w:r>
            <w:r>
              <w:rPr>
                <w:noProof/>
                <w:webHidden/>
              </w:rPr>
            </w:r>
            <w:r>
              <w:rPr>
                <w:noProof/>
                <w:webHidden/>
              </w:rPr>
              <w:fldChar w:fldCharType="separate"/>
            </w:r>
            <w:r w:rsidR="000767C7">
              <w:rPr>
                <w:noProof/>
                <w:webHidden/>
              </w:rPr>
              <w:t>3</w:t>
            </w:r>
            <w:r>
              <w:rPr>
                <w:noProof/>
                <w:webHidden/>
              </w:rPr>
              <w:fldChar w:fldCharType="end"/>
            </w:r>
          </w:hyperlink>
        </w:p>
        <w:p w14:paraId="5E530C8D" w14:textId="4F3CE24F" w:rsidR="007C33B4" w:rsidRDefault="007C33B4">
          <w:pPr>
            <w:pStyle w:val="TDC2"/>
            <w:tabs>
              <w:tab w:val="left" w:pos="420"/>
            </w:tabs>
            <w:rPr>
              <w:noProof/>
              <w:kern w:val="2"/>
              <w:sz w:val="24"/>
              <w:szCs w:val="24"/>
              <w:lang w:eastAsia="es-MX"/>
              <w14:ligatures w14:val="standardContextual"/>
            </w:rPr>
          </w:pPr>
          <w:hyperlink w:anchor="_Toc234501833" w:history="1">
            <w:r w:rsidRPr="00ED2553">
              <w:rPr>
                <w:rStyle w:val="Hipervnculo"/>
                <w:rFonts w:ascii="Arial" w:hAnsi="Arial" w:cs="Arial"/>
                <w:b/>
                <w:bCs/>
                <w:noProof/>
                <w:lang w:eastAsia="es-ES"/>
              </w:rPr>
              <w:t>II.</w:t>
            </w:r>
            <w:r>
              <w:rPr>
                <w:noProof/>
                <w:kern w:val="2"/>
                <w:sz w:val="24"/>
                <w:szCs w:val="24"/>
                <w:lang w:eastAsia="es-MX"/>
                <w14:ligatures w14:val="standardContextual"/>
              </w:rPr>
              <w:tab/>
            </w:r>
            <w:r w:rsidRPr="00ED2553">
              <w:rPr>
                <w:rStyle w:val="Hipervnculo"/>
                <w:rFonts w:ascii="Arial" w:hAnsi="Arial" w:cs="Arial"/>
                <w:b/>
                <w:bCs/>
                <w:noProof/>
                <w:lang w:eastAsia="es-ES"/>
              </w:rPr>
              <w:t>TRÁMITE</w:t>
            </w:r>
            <w:r>
              <w:rPr>
                <w:noProof/>
                <w:webHidden/>
              </w:rPr>
              <w:tab/>
            </w:r>
            <w:r>
              <w:rPr>
                <w:noProof/>
                <w:webHidden/>
              </w:rPr>
              <w:fldChar w:fldCharType="begin"/>
            </w:r>
            <w:r>
              <w:rPr>
                <w:noProof/>
                <w:webHidden/>
              </w:rPr>
              <w:instrText xml:space="preserve"> PAGEREF _Toc234501833 \h </w:instrText>
            </w:r>
            <w:r>
              <w:rPr>
                <w:noProof/>
                <w:webHidden/>
              </w:rPr>
            </w:r>
            <w:r>
              <w:rPr>
                <w:noProof/>
                <w:webHidden/>
              </w:rPr>
              <w:fldChar w:fldCharType="separate"/>
            </w:r>
            <w:r w:rsidR="000767C7">
              <w:rPr>
                <w:noProof/>
                <w:webHidden/>
              </w:rPr>
              <w:t>5</w:t>
            </w:r>
            <w:r>
              <w:rPr>
                <w:noProof/>
                <w:webHidden/>
              </w:rPr>
              <w:fldChar w:fldCharType="end"/>
            </w:r>
          </w:hyperlink>
        </w:p>
        <w:p w14:paraId="3315740F" w14:textId="678FE2E5" w:rsidR="007C33B4" w:rsidRDefault="007C33B4">
          <w:pPr>
            <w:pStyle w:val="TDC2"/>
            <w:tabs>
              <w:tab w:val="left" w:pos="720"/>
            </w:tabs>
            <w:rPr>
              <w:noProof/>
              <w:kern w:val="2"/>
              <w:sz w:val="24"/>
              <w:szCs w:val="24"/>
              <w:lang w:eastAsia="es-MX"/>
              <w14:ligatures w14:val="standardContextual"/>
            </w:rPr>
          </w:pPr>
          <w:hyperlink w:anchor="_Toc234501834" w:history="1">
            <w:r w:rsidRPr="00ED2553">
              <w:rPr>
                <w:rStyle w:val="Hipervnculo"/>
                <w:rFonts w:ascii="Arial" w:hAnsi="Arial" w:cs="Arial"/>
                <w:b/>
                <w:bCs/>
                <w:noProof/>
                <w:lang w:val="es-ES_tradnl"/>
              </w:rPr>
              <w:t>III.</w:t>
            </w:r>
            <w:r>
              <w:rPr>
                <w:noProof/>
                <w:kern w:val="2"/>
                <w:sz w:val="24"/>
                <w:szCs w:val="24"/>
                <w:lang w:eastAsia="es-MX"/>
                <w14:ligatures w14:val="standardContextual"/>
              </w:rPr>
              <w:tab/>
            </w:r>
            <w:r w:rsidRPr="00ED2553">
              <w:rPr>
                <w:rStyle w:val="Hipervnculo"/>
                <w:rFonts w:ascii="Arial" w:hAnsi="Arial" w:cs="Arial"/>
                <w:b/>
                <w:bCs/>
                <w:noProof/>
                <w:lang w:val="es-ES_tradnl"/>
              </w:rPr>
              <w:t>COMPETENCIA</w:t>
            </w:r>
            <w:r>
              <w:rPr>
                <w:noProof/>
                <w:webHidden/>
              </w:rPr>
              <w:tab/>
            </w:r>
            <w:r>
              <w:rPr>
                <w:noProof/>
                <w:webHidden/>
              </w:rPr>
              <w:fldChar w:fldCharType="begin"/>
            </w:r>
            <w:r>
              <w:rPr>
                <w:noProof/>
                <w:webHidden/>
              </w:rPr>
              <w:instrText xml:space="preserve"> PAGEREF _Toc234501834 \h </w:instrText>
            </w:r>
            <w:r>
              <w:rPr>
                <w:noProof/>
                <w:webHidden/>
              </w:rPr>
            </w:r>
            <w:r>
              <w:rPr>
                <w:noProof/>
                <w:webHidden/>
              </w:rPr>
              <w:fldChar w:fldCharType="separate"/>
            </w:r>
            <w:r w:rsidR="000767C7">
              <w:rPr>
                <w:noProof/>
                <w:webHidden/>
              </w:rPr>
              <w:t>5</w:t>
            </w:r>
            <w:r>
              <w:rPr>
                <w:noProof/>
                <w:webHidden/>
              </w:rPr>
              <w:fldChar w:fldCharType="end"/>
            </w:r>
          </w:hyperlink>
        </w:p>
        <w:p w14:paraId="5912406F" w14:textId="2536C0A1" w:rsidR="007C33B4" w:rsidRDefault="007C33B4">
          <w:pPr>
            <w:pStyle w:val="TDC2"/>
            <w:tabs>
              <w:tab w:val="left" w:pos="720"/>
            </w:tabs>
            <w:rPr>
              <w:noProof/>
              <w:kern w:val="2"/>
              <w:sz w:val="24"/>
              <w:szCs w:val="24"/>
              <w:lang w:eastAsia="es-MX"/>
              <w14:ligatures w14:val="standardContextual"/>
            </w:rPr>
          </w:pPr>
          <w:hyperlink w:anchor="_Toc234501835" w:history="1">
            <w:r w:rsidRPr="00ED2553">
              <w:rPr>
                <w:rStyle w:val="Hipervnculo"/>
                <w:rFonts w:ascii="Arial" w:hAnsi="Arial" w:cs="Arial"/>
                <w:b/>
                <w:bCs/>
                <w:noProof/>
                <w:lang w:val="es-ES_tradnl"/>
              </w:rPr>
              <w:t>IV.</w:t>
            </w:r>
            <w:r>
              <w:rPr>
                <w:noProof/>
                <w:kern w:val="2"/>
                <w:sz w:val="24"/>
                <w:szCs w:val="24"/>
                <w:lang w:eastAsia="es-MX"/>
                <w14:ligatures w14:val="standardContextual"/>
              </w:rPr>
              <w:tab/>
            </w:r>
            <w:r w:rsidRPr="00ED2553">
              <w:rPr>
                <w:rStyle w:val="Hipervnculo"/>
                <w:rFonts w:ascii="Arial" w:hAnsi="Arial" w:cs="Arial"/>
                <w:b/>
                <w:bCs/>
                <w:noProof/>
                <w:lang w:val="es-ES_tradnl"/>
              </w:rPr>
              <w:t>IMPROCEDENCIA</w:t>
            </w:r>
            <w:r>
              <w:rPr>
                <w:noProof/>
                <w:webHidden/>
              </w:rPr>
              <w:tab/>
            </w:r>
            <w:r>
              <w:rPr>
                <w:noProof/>
                <w:webHidden/>
              </w:rPr>
              <w:fldChar w:fldCharType="begin"/>
            </w:r>
            <w:r>
              <w:rPr>
                <w:noProof/>
                <w:webHidden/>
              </w:rPr>
              <w:instrText xml:space="preserve"> PAGEREF _Toc234501835 \h </w:instrText>
            </w:r>
            <w:r>
              <w:rPr>
                <w:noProof/>
                <w:webHidden/>
              </w:rPr>
            </w:r>
            <w:r>
              <w:rPr>
                <w:noProof/>
                <w:webHidden/>
              </w:rPr>
              <w:fldChar w:fldCharType="separate"/>
            </w:r>
            <w:r w:rsidR="000767C7">
              <w:rPr>
                <w:noProof/>
                <w:webHidden/>
              </w:rPr>
              <w:t>6</w:t>
            </w:r>
            <w:r>
              <w:rPr>
                <w:noProof/>
                <w:webHidden/>
              </w:rPr>
              <w:fldChar w:fldCharType="end"/>
            </w:r>
          </w:hyperlink>
        </w:p>
        <w:p w14:paraId="2C3ECC20" w14:textId="55FF959B" w:rsidR="007C33B4" w:rsidRDefault="007C33B4">
          <w:pPr>
            <w:pStyle w:val="TDC2"/>
            <w:tabs>
              <w:tab w:val="left" w:pos="720"/>
            </w:tabs>
            <w:rPr>
              <w:noProof/>
              <w:kern w:val="2"/>
              <w:sz w:val="24"/>
              <w:szCs w:val="24"/>
              <w:lang w:eastAsia="es-MX"/>
              <w14:ligatures w14:val="standardContextual"/>
            </w:rPr>
          </w:pPr>
          <w:hyperlink w:anchor="_Toc234501836" w:history="1">
            <w:r w:rsidRPr="00ED2553">
              <w:rPr>
                <w:rStyle w:val="Hipervnculo"/>
                <w:rFonts w:ascii="Arial" w:hAnsi="Arial" w:cs="Arial"/>
                <w:b/>
                <w:bCs/>
                <w:noProof/>
                <w:lang w:val="es-ES_tradnl"/>
              </w:rPr>
              <w:t>V.</w:t>
            </w:r>
            <w:r>
              <w:rPr>
                <w:noProof/>
                <w:kern w:val="2"/>
                <w:sz w:val="24"/>
                <w:szCs w:val="24"/>
                <w:lang w:eastAsia="es-MX"/>
                <w14:ligatures w14:val="standardContextual"/>
              </w:rPr>
              <w:tab/>
            </w:r>
            <w:r w:rsidRPr="00ED2553">
              <w:rPr>
                <w:rStyle w:val="Hipervnculo"/>
                <w:rFonts w:ascii="Arial" w:hAnsi="Arial" w:cs="Arial"/>
                <w:b/>
                <w:bCs/>
                <w:noProof/>
                <w:lang w:val="es-ES_tradnl"/>
              </w:rPr>
              <w:t>REQUISITOS DE PROCEDIBILIDAD</w:t>
            </w:r>
            <w:r>
              <w:rPr>
                <w:noProof/>
                <w:webHidden/>
              </w:rPr>
              <w:tab/>
            </w:r>
            <w:r>
              <w:rPr>
                <w:noProof/>
                <w:webHidden/>
              </w:rPr>
              <w:fldChar w:fldCharType="begin"/>
            </w:r>
            <w:r>
              <w:rPr>
                <w:noProof/>
                <w:webHidden/>
              </w:rPr>
              <w:instrText xml:space="preserve"> PAGEREF _Toc234501836 \h </w:instrText>
            </w:r>
            <w:r>
              <w:rPr>
                <w:noProof/>
                <w:webHidden/>
              </w:rPr>
            </w:r>
            <w:r>
              <w:rPr>
                <w:noProof/>
                <w:webHidden/>
              </w:rPr>
              <w:fldChar w:fldCharType="separate"/>
            </w:r>
            <w:r w:rsidR="000767C7">
              <w:rPr>
                <w:noProof/>
                <w:webHidden/>
              </w:rPr>
              <w:t>8</w:t>
            </w:r>
            <w:r>
              <w:rPr>
                <w:noProof/>
                <w:webHidden/>
              </w:rPr>
              <w:fldChar w:fldCharType="end"/>
            </w:r>
          </w:hyperlink>
        </w:p>
        <w:p w14:paraId="0029AD63" w14:textId="32741441" w:rsidR="007C33B4" w:rsidRDefault="007C33B4">
          <w:pPr>
            <w:pStyle w:val="TDC2"/>
            <w:tabs>
              <w:tab w:val="left" w:pos="720"/>
            </w:tabs>
            <w:rPr>
              <w:noProof/>
              <w:kern w:val="2"/>
              <w:sz w:val="24"/>
              <w:szCs w:val="24"/>
              <w:lang w:eastAsia="es-MX"/>
              <w14:ligatures w14:val="standardContextual"/>
            </w:rPr>
          </w:pPr>
          <w:hyperlink w:anchor="_Toc234501837" w:history="1">
            <w:r w:rsidRPr="00ED2553">
              <w:rPr>
                <w:rStyle w:val="Hipervnculo"/>
                <w:rFonts w:ascii="Arial" w:hAnsi="Arial" w:cs="Arial"/>
                <w:b/>
                <w:noProof/>
              </w:rPr>
              <w:t>VI.</w:t>
            </w:r>
            <w:r>
              <w:rPr>
                <w:noProof/>
                <w:kern w:val="2"/>
                <w:sz w:val="24"/>
                <w:szCs w:val="24"/>
                <w:lang w:eastAsia="es-MX"/>
                <w14:ligatures w14:val="standardContextual"/>
              </w:rPr>
              <w:tab/>
            </w:r>
            <w:r w:rsidRPr="00ED2553">
              <w:rPr>
                <w:rStyle w:val="Hipervnculo"/>
                <w:rFonts w:ascii="Arial" w:hAnsi="Arial" w:cs="Arial"/>
                <w:b/>
                <w:bCs/>
                <w:noProof/>
                <w:lang w:val="es-ES_tradnl"/>
              </w:rPr>
              <w:t>JUZGAR</w:t>
            </w:r>
            <w:r w:rsidRPr="00ED2553">
              <w:rPr>
                <w:rStyle w:val="Hipervnculo"/>
                <w:rFonts w:ascii="Arial" w:hAnsi="Arial" w:cs="Arial"/>
                <w:b/>
                <w:noProof/>
              </w:rPr>
              <w:t xml:space="preserve"> CON PERSPECTIVA INTERCULTURAL</w:t>
            </w:r>
            <w:r>
              <w:rPr>
                <w:noProof/>
                <w:webHidden/>
              </w:rPr>
              <w:tab/>
            </w:r>
            <w:r>
              <w:rPr>
                <w:noProof/>
                <w:webHidden/>
              </w:rPr>
              <w:fldChar w:fldCharType="begin"/>
            </w:r>
            <w:r>
              <w:rPr>
                <w:noProof/>
                <w:webHidden/>
              </w:rPr>
              <w:instrText xml:space="preserve"> PAGEREF _Toc234501837 \h </w:instrText>
            </w:r>
            <w:r>
              <w:rPr>
                <w:noProof/>
                <w:webHidden/>
              </w:rPr>
            </w:r>
            <w:r>
              <w:rPr>
                <w:noProof/>
                <w:webHidden/>
              </w:rPr>
              <w:fldChar w:fldCharType="separate"/>
            </w:r>
            <w:r w:rsidR="000767C7">
              <w:rPr>
                <w:noProof/>
                <w:webHidden/>
              </w:rPr>
              <w:t>9</w:t>
            </w:r>
            <w:r>
              <w:rPr>
                <w:noProof/>
                <w:webHidden/>
              </w:rPr>
              <w:fldChar w:fldCharType="end"/>
            </w:r>
          </w:hyperlink>
        </w:p>
        <w:p w14:paraId="59ED668F" w14:textId="092EBC9C" w:rsidR="007C33B4" w:rsidRDefault="007C33B4">
          <w:pPr>
            <w:pStyle w:val="TDC2"/>
            <w:tabs>
              <w:tab w:val="left" w:pos="720"/>
            </w:tabs>
            <w:rPr>
              <w:noProof/>
              <w:kern w:val="2"/>
              <w:sz w:val="24"/>
              <w:szCs w:val="24"/>
              <w:lang w:eastAsia="es-MX"/>
              <w14:ligatures w14:val="standardContextual"/>
            </w:rPr>
          </w:pPr>
          <w:hyperlink w:anchor="_Toc234501838" w:history="1">
            <w:r w:rsidRPr="00ED2553">
              <w:rPr>
                <w:rStyle w:val="Hipervnculo"/>
                <w:rFonts w:ascii="Arial" w:hAnsi="Arial" w:cs="Arial"/>
                <w:b/>
                <w:noProof/>
              </w:rPr>
              <w:t>VII.</w:t>
            </w:r>
            <w:r>
              <w:rPr>
                <w:noProof/>
                <w:kern w:val="2"/>
                <w:sz w:val="24"/>
                <w:szCs w:val="24"/>
                <w:lang w:eastAsia="es-MX"/>
                <w14:ligatures w14:val="standardContextual"/>
              </w:rPr>
              <w:tab/>
            </w:r>
            <w:r w:rsidRPr="00ED2553">
              <w:rPr>
                <w:rStyle w:val="Hipervnculo"/>
                <w:rFonts w:ascii="Arial" w:hAnsi="Arial" w:cs="Arial"/>
                <w:b/>
                <w:bCs/>
                <w:noProof/>
              </w:rPr>
              <w:t>CONTEXTO DE LA </w:t>
            </w:r>
            <w:r w:rsidRPr="00ED2553">
              <w:rPr>
                <w:rStyle w:val="Hipervnculo"/>
                <w:rFonts w:ascii="Arial" w:hAnsi="Arial" w:cs="Arial"/>
                <w:b/>
                <w:bCs/>
                <w:i/>
                <w:iCs/>
                <w:noProof/>
              </w:rPr>
              <w:t>COMUNIDAD</w:t>
            </w:r>
            <w:r>
              <w:rPr>
                <w:noProof/>
                <w:webHidden/>
              </w:rPr>
              <w:tab/>
            </w:r>
            <w:r>
              <w:rPr>
                <w:noProof/>
                <w:webHidden/>
              </w:rPr>
              <w:fldChar w:fldCharType="begin"/>
            </w:r>
            <w:r>
              <w:rPr>
                <w:noProof/>
                <w:webHidden/>
              </w:rPr>
              <w:instrText xml:space="preserve"> PAGEREF _Toc234501838 \h </w:instrText>
            </w:r>
            <w:r>
              <w:rPr>
                <w:noProof/>
                <w:webHidden/>
              </w:rPr>
            </w:r>
            <w:r>
              <w:rPr>
                <w:noProof/>
                <w:webHidden/>
              </w:rPr>
              <w:fldChar w:fldCharType="separate"/>
            </w:r>
            <w:r w:rsidR="000767C7">
              <w:rPr>
                <w:noProof/>
                <w:webHidden/>
              </w:rPr>
              <w:t>10</w:t>
            </w:r>
            <w:r>
              <w:rPr>
                <w:noProof/>
                <w:webHidden/>
              </w:rPr>
              <w:fldChar w:fldCharType="end"/>
            </w:r>
          </w:hyperlink>
        </w:p>
        <w:p w14:paraId="0384739D" w14:textId="4BAC2E99" w:rsidR="007C33B4" w:rsidRDefault="007C33B4">
          <w:pPr>
            <w:pStyle w:val="TDC2"/>
            <w:tabs>
              <w:tab w:val="left" w:pos="720"/>
            </w:tabs>
            <w:rPr>
              <w:noProof/>
              <w:kern w:val="2"/>
              <w:sz w:val="24"/>
              <w:szCs w:val="24"/>
              <w:lang w:eastAsia="es-MX"/>
              <w14:ligatures w14:val="standardContextual"/>
            </w:rPr>
          </w:pPr>
          <w:hyperlink w:anchor="_Toc234501839" w:history="1">
            <w:r w:rsidRPr="00ED2553">
              <w:rPr>
                <w:rStyle w:val="Hipervnculo"/>
                <w:rFonts w:ascii="Arial" w:hAnsi="Arial" w:cs="Arial"/>
                <w:b/>
                <w:bCs/>
                <w:noProof/>
                <w:lang w:val="es-ES_tradnl"/>
              </w:rPr>
              <w:t>VIII.</w:t>
            </w:r>
            <w:r>
              <w:rPr>
                <w:noProof/>
                <w:kern w:val="2"/>
                <w:sz w:val="24"/>
                <w:szCs w:val="24"/>
                <w:lang w:eastAsia="es-MX"/>
                <w14:ligatures w14:val="standardContextual"/>
              </w:rPr>
              <w:tab/>
            </w:r>
            <w:r w:rsidRPr="00ED2553">
              <w:rPr>
                <w:rStyle w:val="Hipervnculo"/>
                <w:rFonts w:ascii="Arial" w:hAnsi="Arial" w:cs="Arial"/>
                <w:b/>
                <w:bCs/>
                <w:noProof/>
                <w:lang w:val="es-ES_tradnl"/>
              </w:rPr>
              <w:t>ESTUDIO DE FONDO</w:t>
            </w:r>
            <w:r>
              <w:rPr>
                <w:noProof/>
                <w:webHidden/>
              </w:rPr>
              <w:tab/>
            </w:r>
            <w:r>
              <w:rPr>
                <w:noProof/>
                <w:webHidden/>
              </w:rPr>
              <w:fldChar w:fldCharType="begin"/>
            </w:r>
            <w:r>
              <w:rPr>
                <w:noProof/>
                <w:webHidden/>
              </w:rPr>
              <w:instrText xml:space="preserve"> PAGEREF _Toc234501839 \h </w:instrText>
            </w:r>
            <w:r>
              <w:rPr>
                <w:noProof/>
                <w:webHidden/>
              </w:rPr>
            </w:r>
            <w:r>
              <w:rPr>
                <w:noProof/>
                <w:webHidden/>
              </w:rPr>
              <w:fldChar w:fldCharType="separate"/>
            </w:r>
            <w:r w:rsidR="000767C7">
              <w:rPr>
                <w:noProof/>
                <w:webHidden/>
              </w:rPr>
              <w:t>13</w:t>
            </w:r>
            <w:r>
              <w:rPr>
                <w:noProof/>
                <w:webHidden/>
              </w:rPr>
              <w:fldChar w:fldCharType="end"/>
            </w:r>
          </w:hyperlink>
        </w:p>
        <w:p w14:paraId="0B5412F9" w14:textId="2219DAE8" w:rsidR="007C33B4" w:rsidRDefault="007C33B4">
          <w:pPr>
            <w:pStyle w:val="TDC2"/>
            <w:rPr>
              <w:noProof/>
              <w:kern w:val="2"/>
              <w:sz w:val="24"/>
              <w:szCs w:val="24"/>
              <w:lang w:eastAsia="es-MX"/>
              <w14:ligatures w14:val="standardContextual"/>
            </w:rPr>
          </w:pPr>
          <w:hyperlink w:anchor="_Toc234501840" w:history="1">
            <w:r w:rsidRPr="00ED2553">
              <w:rPr>
                <w:rStyle w:val="Hipervnculo"/>
                <w:rFonts w:ascii="Arial" w:hAnsi="Arial" w:cs="Arial"/>
                <w:b/>
                <w:bCs/>
                <w:noProof/>
              </w:rPr>
              <w:t>8.1. Identificación de la controversia</w:t>
            </w:r>
            <w:r>
              <w:rPr>
                <w:noProof/>
                <w:webHidden/>
              </w:rPr>
              <w:tab/>
            </w:r>
            <w:r>
              <w:rPr>
                <w:noProof/>
                <w:webHidden/>
              </w:rPr>
              <w:fldChar w:fldCharType="begin"/>
            </w:r>
            <w:r>
              <w:rPr>
                <w:noProof/>
                <w:webHidden/>
              </w:rPr>
              <w:instrText xml:space="preserve"> PAGEREF _Toc234501840 \h </w:instrText>
            </w:r>
            <w:r>
              <w:rPr>
                <w:noProof/>
                <w:webHidden/>
              </w:rPr>
            </w:r>
            <w:r>
              <w:rPr>
                <w:noProof/>
                <w:webHidden/>
              </w:rPr>
              <w:fldChar w:fldCharType="separate"/>
            </w:r>
            <w:r w:rsidR="000767C7">
              <w:rPr>
                <w:noProof/>
                <w:webHidden/>
              </w:rPr>
              <w:t>13</w:t>
            </w:r>
            <w:r>
              <w:rPr>
                <w:noProof/>
                <w:webHidden/>
              </w:rPr>
              <w:fldChar w:fldCharType="end"/>
            </w:r>
          </w:hyperlink>
        </w:p>
        <w:p w14:paraId="33689221" w14:textId="0C58663C" w:rsidR="007C33B4" w:rsidRDefault="007C33B4">
          <w:pPr>
            <w:pStyle w:val="TDC2"/>
            <w:rPr>
              <w:noProof/>
              <w:kern w:val="2"/>
              <w:sz w:val="24"/>
              <w:szCs w:val="24"/>
              <w:lang w:eastAsia="es-MX"/>
              <w14:ligatures w14:val="standardContextual"/>
            </w:rPr>
          </w:pPr>
          <w:hyperlink w:anchor="_Toc234501841" w:history="1">
            <w:r w:rsidRPr="00ED2553">
              <w:rPr>
                <w:rStyle w:val="Hipervnculo"/>
                <w:rFonts w:ascii="Arial" w:hAnsi="Arial" w:cs="Arial"/>
                <w:b/>
                <w:bCs/>
                <w:noProof/>
              </w:rPr>
              <w:t>8.2. Contexto de la controversia</w:t>
            </w:r>
            <w:r>
              <w:rPr>
                <w:noProof/>
                <w:webHidden/>
              </w:rPr>
              <w:tab/>
            </w:r>
            <w:r>
              <w:rPr>
                <w:noProof/>
                <w:webHidden/>
              </w:rPr>
              <w:fldChar w:fldCharType="begin"/>
            </w:r>
            <w:r>
              <w:rPr>
                <w:noProof/>
                <w:webHidden/>
              </w:rPr>
              <w:instrText xml:space="preserve"> PAGEREF _Toc234501841 \h </w:instrText>
            </w:r>
            <w:r>
              <w:rPr>
                <w:noProof/>
                <w:webHidden/>
              </w:rPr>
            </w:r>
            <w:r>
              <w:rPr>
                <w:noProof/>
                <w:webHidden/>
              </w:rPr>
              <w:fldChar w:fldCharType="separate"/>
            </w:r>
            <w:r w:rsidR="000767C7">
              <w:rPr>
                <w:noProof/>
                <w:webHidden/>
              </w:rPr>
              <w:t>14</w:t>
            </w:r>
            <w:r>
              <w:rPr>
                <w:noProof/>
                <w:webHidden/>
              </w:rPr>
              <w:fldChar w:fldCharType="end"/>
            </w:r>
          </w:hyperlink>
        </w:p>
        <w:p w14:paraId="4DBAD441" w14:textId="38DDB323" w:rsidR="007C33B4" w:rsidRDefault="007C33B4">
          <w:pPr>
            <w:pStyle w:val="TDC2"/>
            <w:rPr>
              <w:noProof/>
              <w:kern w:val="2"/>
              <w:sz w:val="24"/>
              <w:szCs w:val="24"/>
              <w:lang w:eastAsia="es-MX"/>
              <w14:ligatures w14:val="standardContextual"/>
            </w:rPr>
          </w:pPr>
          <w:hyperlink w:anchor="_Toc234501842" w:history="1">
            <w:r w:rsidRPr="00ED2553">
              <w:rPr>
                <w:rStyle w:val="Hipervnculo"/>
                <w:rFonts w:ascii="Arial" w:hAnsi="Arial" w:cs="Arial"/>
                <w:b/>
                <w:bCs/>
                <w:noProof/>
              </w:rPr>
              <w:t>8.3. Precisión de la impugnación</w:t>
            </w:r>
            <w:r>
              <w:rPr>
                <w:noProof/>
                <w:webHidden/>
              </w:rPr>
              <w:tab/>
            </w:r>
            <w:r>
              <w:rPr>
                <w:noProof/>
                <w:webHidden/>
              </w:rPr>
              <w:fldChar w:fldCharType="begin"/>
            </w:r>
            <w:r>
              <w:rPr>
                <w:noProof/>
                <w:webHidden/>
              </w:rPr>
              <w:instrText xml:space="preserve"> PAGEREF _Toc234501842 \h </w:instrText>
            </w:r>
            <w:r>
              <w:rPr>
                <w:noProof/>
                <w:webHidden/>
              </w:rPr>
            </w:r>
            <w:r>
              <w:rPr>
                <w:noProof/>
                <w:webHidden/>
              </w:rPr>
              <w:fldChar w:fldCharType="separate"/>
            </w:r>
            <w:r w:rsidR="000767C7">
              <w:rPr>
                <w:noProof/>
                <w:webHidden/>
              </w:rPr>
              <w:t>16</w:t>
            </w:r>
            <w:r>
              <w:rPr>
                <w:noProof/>
                <w:webHidden/>
              </w:rPr>
              <w:fldChar w:fldCharType="end"/>
            </w:r>
          </w:hyperlink>
        </w:p>
        <w:p w14:paraId="136D9A68" w14:textId="7F9D2657" w:rsidR="007C33B4" w:rsidRDefault="007C33B4">
          <w:pPr>
            <w:pStyle w:val="TDC2"/>
            <w:rPr>
              <w:noProof/>
              <w:kern w:val="2"/>
              <w:sz w:val="24"/>
              <w:szCs w:val="24"/>
              <w:lang w:eastAsia="es-MX"/>
              <w14:ligatures w14:val="standardContextual"/>
            </w:rPr>
          </w:pPr>
          <w:hyperlink w:anchor="_Toc234501843" w:history="1">
            <w:r w:rsidRPr="00ED2553">
              <w:rPr>
                <w:rStyle w:val="Hipervnculo"/>
                <w:rFonts w:ascii="Arial" w:hAnsi="Arial" w:cs="Arial"/>
                <w:b/>
                <w:bCs/>
                <w:noProof/>
              </w:rPr>
              <w:t>8.4. Agravios</w:t>
            </w:r>
            <w:r>
              <w:rPr>
                <w:noProof/>
                <w:webHidden/>
              </w:rPr>
              <w:tab/>
            </w:r>
            <w:r>
              <w:rPr>
                <w:noProof/>
                <w:webHidden/>
              </w:rPr>
              <w:fldChar w:fldCharType="begin"/>
            </w:r>
            <w:r>
              <w:rPr>
                <w:noProof/>
                <w:webHidden/>
              </w:rPr>
              <w:instrText xml:space="preserve"> PAGEREF _Toc234501843 \h </w:instrText>
            </w:r>
            <w:r>
              <w:rPr>
                <w:noProof/>
                <w:webHidden/>
              </w:rPr>
            </w:r>
            <w:r>
              <w:rPr>
                <w:noProof/>
                <w:webHidden/>
              </w:rPr>
              <w:fldChar w:fldCharType="separate"/>
            </w:r>
            <w:r w:rsidR="000767C7">
              <w:rPr>
                <w:noProof/>
                <w:webHidden/>
              </w:rPr>
              <w:t>17</w:t>
            </w:r>
            <w:r>
              <w:rPr>
                <w:noProof/>
                <w:webHidden/>
              </w:rPr>
              <w:fldChar w:fldCharType="end"/>
            </w:r>
          </w:hyperlink>
        </w:p>
        <w:p w14:paraId="6EC9449F" w14:textId="648459A1" w:rsidR="007C33B4" w:rsidRDefault="007C33B4">
          <w:pPr>
            <w:pStyle w:val="TDC2"/>
            <w:rPr>
              <w:noProof/>
              <w:kern w:val="2"/>
              <w:sz w:val="24"/>
              <w:szCs w:val="24"/>
              <w:lang w:eastAsia="es-MX"/>
              <w14:ligatures w14:val="standardContextual"/>
            </w:rPr>
          </w:pPr>
          <w:hyperlink w:anchor="_Toc234501844" w:history="1">
            <w:r w:rsidRPr="00ED2553">
              <w:rPr>
                <w:rStyle w:val="Hipervnculo"/>
                <w:rFonts w:ascii="Arial" w:hAnsi="Arial" w:cs="Arial"/>
                <w:b/>
                <w:bCs/>
                <w:noProof/>
              </w:rPr>
              <w:t>8.5. Pretensión.</w:t>
            </w:r>
            <w:r>
              <w:rPr>
                <w:noProof/>
                <w:webHidden/>
              </w:rPr>
              <w:tab/>
            </w:r>
            <w:r>
              <w:rPr>
                <w:noProof/>
                <w:webHidden/>
              </w:rPr>
              <w:fldChar w:fldCharType="begin"/>
            </w:r>
            <w:r>
              <w:rPr>
                <w:noProof/>
                <w:webHidden/>
              </w:rPr>
              <w:instrText xml:space="preserve"> PAGEREF _Toc234501844 \h </w:instrText>
            </w:r>
            <w:r>
              <w:rPr>
                <w:noProof/>
                <w:webHidden/>
              </w:rPr>
            </w:r>
            <w:r>
              <w:rPr>
                <w:noProof/>
                <w:webHidden/>
              </w:rPr>
              <w:fldChar w:fldCharType="separate"/>
            </w:r>
            <w:r w:rsidR="000767C7">
              <w:rPr>
                <w:noProof/>
                <w:webHidden/>
              </w:rPr>
              <w:t>18</w:t>
            </w:r>
            <w:r>
              <w:rPr>
                <w:noProof/>
                <w:webHidden/>
              </w:rPr>
              <w:fldChar w:fldCharType="end"/>
            </w:r>
          </w:hyperlink>
        </w:p>
        <w:p w14:paraId="3A5A747C" w14:textId="02DD7AA8" w:rsidR="007C33B4" w:rsidRDefault="007C33B4">
          <w:pPr>
            <w:pStyle w:val="TDC2"/>
            <w:rPr>
              <w:noProof/>
              <w:kern w:val="2"/>
              <w:sz w:val="24"/>
              <w:szCs w:val="24"/>
              <w:lang w:eastAsia="es-MX"/>
              <w14:ligatures w14:val="standardContextual"/>
            </w:rPr>
          </w:pPr>
          <w:hyperlink w:anchor="_Toc234501845" w:history="1">
            <w:r w:rsidRPr="00ED2553">
              <w:rPr>
                <w:rStyle w:val="Hipervnculo"/>
                <w:rFonts w:ascii="Arial" w:hAnsi="Arial" w:cs="Arial"/>
                <w:b/>
                <w:bCs/>
                <w:noProof/>
              </w:rPr>
              <w:t>8.6. Metodología de estudio</w:t>
            </w:r>
            <w:r>
              <w:rPr>
                <w:noProof/>
                <w:webHidden/>
              </w:rPr>
              <w:tab/>
            </w:r>
            <w:r>
              <w:rPr>
                <w:noProof/>
                <w:webHidden/>
              </w:rPr>
              <w:fldChar w:fldCharType="begin"/>
            </w:r>
            <w:r>
              <w:rPr>
                <w:noProof/>
                <w:webHidden/>
              </w:rPr>
              <w:instrText xml:space="preserve"> PAGEREF _Toc234501845 \h </w:instrText>
            </w:r>
            <w:r>
              <w:rPr>
                <w:noProof/>
                <w:webHidden/>
              </w:rPr>
            </w:r>
            <w:r>
              <w:rPr>
                <w:noProof/>
                <w:webHidden/>
              </w:rPr>
              <w:fldChar w:fldCharType="separate"/>
            </w:r>
            <w:r w:rsidR="000767C7">
              <w:rPr>
                <w:noProof/>
                <w:webHidden/>
              </w:rPr>
              <w:t>18</w:t>
            </w:r>
            <w:r>
              <w:rPr>
                <w:noProof/>
                <w:webHidden/>
              </w:rPr>
              <w:fldChar w:fldCharType="end"/>
            </w:r>
          </w:hyperlink>
        </w:p>
        <w:p w14:paraId="3B33821A" w14:textId="624FBD6C" w:rsidR="007C33B4" w:rsidRDefault="007C33B4">
          <w:pPr>
            <w:pStyle w:val="TDC2"/>
            <w:rPr>
              <w:noProof/>
              <w:kern w:val="2"/>
              <w:sz w:val="24"/>
              <w:szCs w:val="24"/>
              <w:lang w:eastAsia="es-MX"/>
              <w14:ligatures w14:val="standardContextual"/>
            </w:rPr>
          </w:pPr>
          <w:hyperlink w:anchor="_Toc234501846" w:history="1">
            <w:r w:rsidRPr="00ED2553">
              <w:rPr>
                <w:rStyle w:val="Hipervnculo"/>
                <w:rFonts w:ascii="Arial" w:hAnsi="Arial" w:cs="Arial"/>
                <w:b/>
                <w:bCs/>
                <w:noProof/>
              </w:rPr>
              <w:t>8.7. Marco normativo</w:t>
            </w:r>
            <w:r>
              <w:rPr>
                <w:noProof/>
                <w:webHidden/>
              </w:rPr>
              <w:tab/>
            </w:r>
            <w:r>
              <w:rPr>
                <w:noProof/>
                <w:webHidden/>
              </w:rPr>
              <w:fldChar w:fldCharType="begin"/>
            </w:r>
            <w:r>
              <w:rPr>
                <w:noProof/>
                <w:webHidden/>
              </w:rPr>
              <w:instrText xml:space="preserve"> PAGEREF _Toc234501846 \h </w:instrText>
            </w:r>
            <w:r>
              <w:rPr>
                <w:noProof/>
                <w:webHidden/>
              </w:rPr>
            </w:r>
            <w:r>
              <w:rPr>
                <w:noProof/>
                <w:webHidden/>
              </w:rPr>
              <w:fldChar w:fldCharType="separate"/>
            </w:r>
            <w:r w:rsidR="000767C7">
              <w:rPr>
                <w:noProof/>
                <w:webHidden/>
              </w:rPr>
              <w:t>18</w:t>
            </w:r>
            <w:r>
              <w:rPr>
                <w:noProof/>
                <w:webHidden/>
              </w:rPr>
              <w:fldChar w:fldCharType="end"/>
            </w:r>
          </w:hyperlink>
        </w:p>
        <w:p w14:paraId="4212FD1B" w14:textId="58889C5E" w:rsidR="007C33B4" w:rsidRDefault="007C33B4">
          <w:pPr>
            <w:pStyle w:val="TDC2"/>
            <w:rPr>
              <w:noProof/>
              <w:kern w:val="2"/>
              <w:sz w:val="24"/>
              <w:szCs w:val="24"/>
              <w:lang w:eastAsia="es-MX"/>
              <w14:ligatures w14:val="standardContextual"/>
            </w:rPr>
          </w:pPr>
          <w:hyperlink w:anchor="_Toc234501847" w:history="1">
            <w:r w:rsidRPr="00ED2553">
              <w:rPr>
                <w:rStyle w:val="Hipervnculo"/>
                <w:rFonts w:ascii="Arial" w:hAnsi="Arial" w:cs="Arial"/>
                <w:b/>
                <w:bCs/>
                <w:noProof/>
              </w:rPr>
              <w:t>8.8. Análisis de agravios y decisión</w:t>
            </w:r>
            <w:r>
              <w:rPr>
                <w:noProof/>
                <w:webHidden/>
              </w:rPr>
              <w:tab/>
            </w:r>
            <w:r>
              <w:rPr>
                <w:noProof/>
                <w:webHidden/>
              </w:rPr>
              <w:fldChar w:fldCharType="begin"/>
            </w:r>
            <w:r>
              <w:rPr>
                <w:noProof/>
                <w:webHidden/>
              </w:rPr>
              <w:instrText xml:space="preserve"> PAGEREF _Toc234501847 \h </w:instrText>
            </w:r>
            <w:r>
              <w:rPr>
                <w:noProof/>
                <w:webHidden/>
              </w:rPr>
            </w:r>
            <w:r>
              <w:rPr>
                <w:noProof/>
                <w:webHidden/>
              </w:rPr>
              <w:fldChar w:fldCharType="separate"/>
            </w:r>
            <w:r w:rsidR="000767C7">
              <w:rPr>
                <w:noProof/>
                <w:webHidden/>
              </w:rPr>
              <w:t>22</w:t>
            </w:r>
            <w:r>
              <w:rPr>
                <w:noProof/>
                <w:webHidden/>
              </w:rPr>
              <w:fldChar w:fldCharType="end"/>
            </w:r>
          </w:hyperlink>
        </w:p>
        <w:p w14:paraId="6D84D098" w14:textId="38DAE871" w:rsidR="007C33B4" w:rsidRDefault="007C33B4">
          <w:pPr>
            <w:pStyle w:val="TDC2"/>
            <w:tabs>
              <w:tab w:val="left" w:pos="720"/>
            </w:tabs>
            <w:rPr>
              <w:noProof/>
              <w:kern w:val="2"/>
              <w:sz w:val="24"/>
              <w:szCs w:val="24"/>
              <w:lang w:eastAsia="es-MX"/>
              <w14:ligatures w14:val="standardContextual"/>
            </w:rPr>
          </w:pPr>
          <w:hyperlink w:anchor="_Toc234501848" w:history="1">
            <w:r w:rsidRPr="00ED2553">
              <w:rPr>
                <w:rStyle w:val="Hipervnculo"/>
                <w:rFonts w:ascii="Arial" w:hAnsi="Arial" w:cs="Arial"/>
                <w:b/>
                <w:bCs/>
                <w:noProof/>
                <w:lang w:val="es-ES_tradnl"/>
              </w:rPr>
              <w:t>IX.</w:t>
            </w:r>
            <w:r>
              <w:rPr>
                <w:noProof/>
                <w:kern w:val="2"/>
                <w:sz w:val="24"/>
                <w:szCs w:val="24"/>
                <w:lang w:eastAsia="es-MX"/>
                <w14:ligatures w14:val="standardContextual"/>
              </w:rPr>
              <w:tab/>
            </w:r>
            <w:r w:rsidRPr="00ED2553">
              <w:rPr>
                <w:rStyle w:val="Hipervnculo"/>
                <w:rFonts w:ascii="Arial" w:hAnsi="Arial" w:cs="Arial"/>
                <w:b/>
                <w:bCs/>
                <w:noProof/>
                <w:lang w:val="es-ES_tradnl"/>
              </w:rPr>
              <w:t>RESUMEN DE LA SENTENCIA</w:t>
            </w:r>
            <w:r>
              <w:rPr>
                <w:noProof/>
                <w:webHidden/>
              </w:rPr>
              <w:tab/>
            </w:r>
            <w:r>
              <w:rPr>
                <w:noProof/>
                <w:webHidden/>
              </w:rPr>
              <w:fldChar w:fldCharType="begin"/>
            </w:r>
            <w:r>
              <w:rPr>
                <w:noProof/>
                <w:webHidden/>
              </w:rPr>
              <w:instrText xml:space="preserve"> PAGEREF _Toc234501848 \h </w:instrText>
            </w:r>
            <w:r>
              <w:rPr>
                <w:noProof/>
                <w:webHidden/>
              </w:rPr>
            </w:r>
            <w:r>
              <w:rPr>
                <w:noProof/>
                <w:webHidden/>
              </w:rPr>
              <w:fldChar w:fldCharType="separate"/>
            </w:r>
            <w:r w:rsidR="000767C7">
              <w:rPr>
                <w:noProof/>
                <w:webHidden/>
              </w:rPr>
              <w:t>30</w:t>
            </w:r>
            <w:r>
              <w:rPr>
                <w:noProof/>
                <w:webHidden/>
              </w:rPr>
              <w:fldChar w:fldCharType="end"/>
            </w:r>
          </w:hyperlink>
        </w:p>
        <w:p w14:paraId="1B43449E" w14:textId="37B6A513" w:rsidR="007C33B4" w:rsidRDefault="007C33B4">
          <w:pPr>
            <w:pStyle w:val="TDC2"/>
            <w:rPr>
              <w:noProof/>
              <w:kern w:val="2"/>
              <w:sz w:val="24"/>
              <w:szCs w:val="24"/>
              <w:lang w:eastAsia="es-MX"/>
              <w14:ligatures w14:val="standardContextual"/>
            </w:rPr>
          </w:pPr>
          <w:hyperlink w:anchor="_Toc234501849" w:history="1">
            <w:r w:rsidRPr="00ED2553">
              <w:rPr>
                <w:rStyle w:val="Hipervnculo"/>
                <w:rFonts w:ascii="Arial" w:hAnsi="Arial" w:cs="Arial"/>
                <w:b/>
                <w:bCs/>
                <w:noProof/>
              </w:rPr>
              <w:t>X. RESOLUTIVOS</w:t>
            </w:r>
            <w:r>
              <w:rPr>
                <w:noProof/>
                <w:webHidden/>
              </w:rPr>
              <w:tab/>
            </w:r>
            <w:r>
              <w:rPr>
                <w:noProof/>
                <w:webHidden/>
              </w:rPr>
              <w:fldChar w:fldCharType="begin"/>
            </w:r>
            <w:r>
              <w:rPr>
                <w:noProof/>
                <w:webHidden/>
              </w:rPr>
              <w:instrText xml:space="preserve"> PAGEREF _Toc234501849 \h </w:instrText>
            </w:r>
            <w:r>
              <w:rPr>
                <w:noProof/>
                <w:webHidden/>
              </w:rPr>
            </w:r>
            <w:r>
              <w:rPr>
                <w:noProof/>
                <w:webHidden/>
              </w:rPr>
              <w:fldChar w:fldCharType="separate"/>
            </w:r>
            <w:r w:rsidR="000767C7">
              <w:rPr>
                <w:noProof/>
                <w:webHidden/>
              </w:rPr>
              <w:t>32</w:t>
            </w:r>
            <w:r>
              <w:rPr>
                <w:noProof/>
                <w:webHidden/>
              </w:rPr>
              <w:fldChar w:fldCharType="end"/>
            </w:r>
          </w:hyperlink>
        </w:p>
        <w:p w14:paraId="74A3C66E" w14:textId="7EAC1C5D" w:rsidR="00E11D56" w:rsidRDefault="00000000">
          <w:pPr>
            <w:spacing w:line="240" w:lineRule="auto"/>
            <w:jc w:val="both"/>
          </w:pPr>
          <w:r>
            <w:rPr>
              <w:rFonts w:ascii="Arial Narrow" w:hAnsi="Arial Narrow" w:cs="Arial"/>
              <w:b/>
              <w:bCs/>
              <w:sz w:val="20"/>
              <w:szCs w:val="20"/>
            </w:rPr>
            <w:fldChar w:fldCharType="end"/>
          </w:r>
        </w:p>
      </w:sdtContent>
    </w:sdt>
    <w:p w14:paraId="4A006AEA" w14:textId="77777777" w:rsidR="00E11D56" w:rsidRDefault="00000000">
      <w:pPr>
        <w:pStyle w:val="Ttulo2"/>
        <w:spacing w:before="100" w:beforeAutospacing="1" w:after="100" w:afterAutospacing="1" w:line="360" w:lineRule="auto"/>
        <w:jc w:val="center"/>
        <w:rPr>
          <w:rFonts w:ascii="Arial" w:hAnsi="Arial" w:cs="Arial"/>
          <w:b/>
          <w:bCs/>
          <w:color w:val="000000" w:themeColor="text1"/>
          <w:sz w:val="24"/>
          <w:szCs w:val="24"/>
        </w:rPr>
      </w:pPr>
      <w:bookmarkStart w:id="1" w:name="_Toc234501831"/>
      <w:bookmarkStart w:id="2" w:name="_Hlk233808791"/>
      <w:r>
        <w:rPr>
          <w:rFonts w:ascii="Arial" w:hAnsi="Arial" w:cs="Arial"/>
          <w:b/>
          <w:bCs/>
          <w:color w:val="000000" w:themeColor="text1"/>
          <w:sz w:val="24"/>
          <w:szCs w:val="24"/>
        </w:rPr>
        <w:t>GLOSARIO</w:t>
      </w:r>
      <w:bookmarkEnd w:id="1"/>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2263"/>
        <w:gridCol w:w="5670"/>
      </w:tblGrid>
      <w:tr w:rsidR="00E11D56" w14:paraId="22FFAA57" w14:textId="77777777">
        <w:trPr>
          <w:trHeight w:val="195"/>
        </w:trPr>
        <w:tc>
          <w:tcPr>
            <w:tcW w:w="2263" w:type="dxa"/>
            <w:vAlign w:val="center"/>
          </w:tcPr>
          <w:p w14:paraId="0D125DB7" w14:textId="77777777" w:rsidR="00E11D56" w:rsidRDefault="00000000">
            <w:pPr>
              <w:pStyle w:val="Sangradetextonormal"/>
              <w:spacing w:after="100" w:afterAutospacing="1"/>
              <w:ind w:left="0"/>
              <w:rPr>
                <w:rFonts w:ascii="Arial Narrow" w:hAnsi="Arial Narrow" w:cs="Arial"/>
                <w:b/>
                <w:i/>
                <w:sz w:val="20"/>
                <w:szCs w:val="20"/>
              </w:rPr>
            </w:pPr>
            <w:r>
              <w:rPr>
                <w:rFonts w:ascii="Arial Narrow" w:hAnsi="Arial Narrow" w:cs="Arial"/>
                <w:b/>
                <w:i/>
                <w:sz w:val="20"/>
                <w:szCs w:val="20"/>
                <w:lang w:val="es-MX"/>
              </w:rPr>
              <w:t>Actores</w:t>
            </w:r>
            <w:r>
              <w:rPr>
                <w:rFonts w:ascii="Arial Narrow" w:hAnsi="Arial Narrow" w:cs="Arial"/>
                <w:bCs/>
                <w:iCs/>
                <w:sz w:val="20"/>
                <w:szCs w:val="20"/>
                <w:lang w:val="es-MX"/>
              </w:rPr>
              <w:t xml:space="preserve"> o</w:t>
            </w:r>
            <w:r>
              <w:rPr>
                <w:rFonts w:ascii="Arial Narrow" w:hAnsi="Arial Narrow" w:cs="Arial"/>
                <w:b/>
                <w:i/>
                <w:sz w:val="20"/>
                <w:szCs w:val="20"/>
                <w:lang w:val="es-MX"/>
              </w:rPr>
              <w:t xml:space="preserve"> parte actora:</w:t>
            </w:r>
          </w:p>
        </w:tc>
        <w:tc>
          <w:tcPr>
            <w:tcW w:w="5670" w:type="dxa"/>
            <w:vAlign w:val="center"/>
          </w:tcPr>
          <w:p w14:paraId="14A1ECA1" w14:textId="77777777" w:rsidR="00E11D56" w:rsidRDefault="00000000">
            <w:pPr>
              <w:pStyle w:val="Sangradetextonormal"/>
              <w:spacing w:after="100" w:afterAutospacing="1"/>
              <w:ind w:left="0"/>
              <w:rPr>
                <w:rFonts w:ascii="Arial Narrow" w:hAnsi="Arial Narrow" w:cs="Arial"/>
                <w:sz w:val="20"/>
                <w:szCs w:val="20"/>
              </w:rPr>
            </w:pPr>
            <w:r>
              <w:rPr>
                <w:rFonts w:ascii="Arial Narrow" w:eastAsia="Arial" w:hAnsi="Arial Narrow" w:cs="Arial"/>
                <w:sz w:val="20"/>
                <w:szCs w:val="20"/>
              </w:rPr>
              <w:t>Rodrigo Iglesias Mondragón y Armando García Garduño.</w:t>
            </w:r>
          </w:p>
        </w:tc>
      </w:tr>
      <w:tr w:rsidR="00E11D56" w14:paraId="73274ACC" w14:textId="77777777">
        <w:trPr>
          <w:trHeight w:val="195"/>
        </w:trPr>
        <w:tc>
          <w:tcPr>
            <w:tcW w:w="2263" w:type="dxa"/>
            <w:vAlign w:val="center"/>
          </w:tcPr>
          <w:p w14:paraId="45369AE1" w14:textId="77777777" w:rsidR="00E11D56" w:rsidRDefault="00000000">
            <w:pPr>
              <w:pStyle w:val="Sangradetextonormal"/>
              <w:spacing w:after="100" w:afterAutospacing="1"/>
              <w:ind w:left="0"/>
              <w:rPr>
                <w:rFonts w:ascii="Arial Narrow" w:hAnsi="Arial Narrow" w:cs="Arial"/>
                <w:b/>
                <w:i/>
                <w:sz w:val="20"/>
                <w:szCs w:val="20"/>
              </w:rPr>
            </w:pPr>
            <w:r>
              <w:rPr>
                <w:rFonts w:ascii="Arial Narrow" w:hAnsi="Arial Narrow" w:cs="Arial"/>
                <w:b/>
                <w:i/>
                <w:sz w:val="20"/>
                <w:szCs w:val="20"/>
              </w:rPr>
              <w:t>Actor:</w:t>
            </w:r>
            <w:r>
              <w:rPr>
                <w:rFonts w:ascii="Arial Narrow" w:hAnsi="Arial Narrow" w:cs="Arial"/>
                <w:bCs/>
                <w:iCs/>
                <w:sz w:val="20"/>
                <w:szCs w:val="20"/>
                <w:lang w:val="es-MX"/>
              </w:rPr>
              <w:t xml:space="preserve"> </w:t>
            </w:r>
          </w:p>
        </w:tc>
        <w:tc>
          <w:tcPr>
            <w:tcW w:w="5670" w:type="dxa"/>
            <w:vAlign w:val="center"/>
          </w:tcPr>
          <w:p w14:paraId="5AE08A52" w14:textId="77777777" w:rsidR="00E11D56" w:rsidRDefault="00000000">
            <w:pPr>
              <w:pStyle w:val="Sangradetextonormal"/>
              <w:spacing w:after="100" w:afterAutospacing="1"/>
              <w:ind w:left="0"/>
              <w:rPr>
                <w:rFonts w:ascii="Arial Narrow" w:eastAsia="Arial" w:hAnsi="Arial Narrow" w:cs="Arial"/>
                <w:sz w:val="20"/>
                <w:szCs w:val="20"/>
              </w:rPr>
            </w:pPr>
            <w:r>
              <w:rPr>
                <w:rFonts w:ascii="Arial Narrow" w:eastAsia="Arial" w:hAnsi="Arial Narrow" w:cs="Arial"/>
                <w:sz w:val="20"/>
                <w:szCs w:val="20"/>
              </w:rPr>
              <w:t>Rodrigo Iglesias Mondragón.</w:t>
            </w:r>
          </w:p>
        </w:tc>
      </w:tr>
      <w:tr w:rsidR="00E11D56" w14:paraId="179EDD9C" w14:textId="77777777">
        <w:trPr>
          <w:trHeight w:val="195"/>
        </w:trPr>
        <w:tc>
          <w:tcPr>
            <w:tcW w:w="2263" w:type="dxa"/>
            <w:vAlign w:val="center"/>
          </w:tcPr>
          <w:p w14:paraId="456D5A3D" w14:textId="77777777" w:rsidR="00E11D56" w:rsidRDefault="00000000">
            <w:pPr>
              <w:pStyle w:val="Sangradetextonormal"/>
              <w:spacing w:after="100" w:afterAutospacing="1"/>
              <w:ind w:left="0"/>
              <w:rPr>
                <w:rFonts w:ascii="Arial Narrow" w:hAnsi="Arial Narrow" w:cs="Arial"/>
                <w:b/>
                <w:i/>
                <w:sz w:val="20"/>
                <w:szCs w:val="20"/>
              </w:rPr>
            </w:pPr>
            <w:r>
              <w:rPr>
                <w:rFonts w:ascii="Arial Narrow" w:hAnsi="Arial Narrow" w:cs="Arial"/>
                <w:b/>
                <w:i/>
                <w:sz w:val="20"/>
                <w:szCs w:val="20"/>
              </w:rPr>
              <w:t>actor 2:</w:t>
            </w:r>
          </w:p>
        </w:tc>
        <w:tc>
          <w:tcPr>
            <w:tcW w:w="5670" w:type="dxa"/>
            <w:vAlign w:val="center"/>
          </w:tcPr>
          <w:p w14:paraId="0F2B9FD1" w14:textId="77777777" w:rsidR="00E11D56" w:rsidRDefault="00000000">
            <w:pPr>
              <w:pStyle w:val="Sangradetextonormal"/>
              <w:spacing w:after="100" w:afterAutospacing="1"/>
              <w:ind w:left="0"/>
              <w:rPr>
                <w:rFonts w:ascii="Arial Narrow" w:eastAsia="Arial" w:hAnsi="Arial Narrow" w:cs="Arial"/>
                <w:sz w:val="20"/>
                <w:szCs w:val="20"/>
              </w:rPr>
            </w:pPr>
            <w:r>
              <w:rPr>
                <w:rFonts w:ascii="Arial Narrow" w:eastAsia="Arial" w:hAnsi="Arial Narrow" w:cs="Arial"/>
                <w:sz w:val="20"/>
                <w:szCs w:val="20"/>
              </w:rPr>
              <w:t>Armando García Garduño.</w:t>
            </w:r>
          </w:p>
        </w:tc>
      </w:tr>
      <w:tr w:rsidR="00E11D56" w14:paraId="7F1946FE" w14:textId="77777777">
        <w:trPr>
          <w:trHeight w:val="195"/>
        </w:trPr>
        <w:tc>
          <w:tcPr>
            <w:tcW w:w="2263" w:type="dxa"/>
            <w:vAlign w:val="center"/>
          </w:tcPr>
          <w:p w14:paraId="44A8647E" w14:textId="77777777" w:rsidR="00E11D56" w:rsidRDefault="00000000">
            <w:pPr>
              <w:pStyle w:val="Sangradetextonormal"/>
              <w:spacing w:after="100" w:afterAutospacing="1"/>
              <w:ind w:left="0"/>
              <w:rPr>
                <w:rFonts w:ascii="Arial Narrow" w:hAnsi="Arial Narrow" w:cs="Arial"/>
                <w:b/>
                <w:i/>
                <w:sz w:val="20"/>
                <w:szCs w:val="20"/>
              </w:rPr>
            </w:pPr>
            <w:r>
              <w:rPr>
                <w:rFonts w:ascii="Arial Narrow" w:hAnsi="Arial Narrow" w:cs="Arial"/>
                <w:b/>
                <w:i/>
                <w:sz w:val="20"/>
                <w:szCs w:val="20"/>
              </w:rPr>
              <w:t xml:space="preserve">autoridad responsable, IEM </w:t>
            </w:r>
            <w:r>
              <w:rPr>
                <w:rFonts w:ascii="Arial Narrow" w:hAnsi="Arial Narrow" w:cs="Arial"/>
                <w:bCs/>
                <w:iCs/>
                <w:sz w:val="20"/>
                <w:szCs w:val="20"/>
                <w:lang w:val="es-MX"/>
              </w:rPr>
              <w:t>o</w:t>
            </w:r>
            <w:r>
              <w:rPr>
                <w:rFonts w:ascii="Arial Narrow" w:hAnsi="Arial Narrow" w:cs="Arial"/>
                <w:b/>
                <w:i/>
                <w:sz w:val="20"/>
                <w:szCs w:val="20"/>
              </w:rPr>
              <w:t xml:space="preserve"> Instituto:</w:t>
            </w:r>
          </w:p>
        </w:tc>
        <w:tc>
          <w:tcPr>
            <w:tcW w:w="5670" w:type="dxa"/>
            <w:vAlign w:val="center"/>
          </w:tcPr>
          <w:p w14:paraId="0B23FFCE" w14:textId="77777777" w:rsidR="00E11D56" w:rsidRDefault="00000000">
            <w:pPr>
              <w:pStyle w:val="Sangradetextonormal"/>
              <w:spacing w:after="100" w:afterAutospacing="1"/>
              <w:ind w:left="0"/>
              <w:rPr>
                <w:rFonts w:ascii="Arial Narrow" w:eastAsia="Arial" w:hAnsi="Arial Narrow" w:cs="Arial"/>
                <w:sz w:val="20"/>
                <w:szCs w:val="20"/>
                <w:lang w:val="pt-PT"/>
              </w:rPr>
            </w:pPr>
            <w:r>
              <w:rPr>
                <w:rFonts w:ascii="Arial Narrow" w:eastAsia="Arial" w:hAnsi="Arial Narrow" w:cs="Arial"/>
                <w:sz w:val="20"/>
                <w:szCs w:val="20"/>
                <w:lang w:val="pt-PT"/>
              </w:rPr>
              <w:t xml:space="preserve">Instituto Electoral de Michoacán. </w:t>
            </w:r>
          </w:p>
        </w:tc>
      </w:tr>
      <w:tr w:rsidR="00E11D56" w14:paraId="3EA175C2" w14:textId="77777777">
        <w:trPr>
          <w:trHeight w:val="195"/>
        </w:trPr>
        <w:tc>
          <w:tcPr>
            <w:tcW w:w="2263" w:type="dxa"/>
            <w:vAlign w:val="center"/>
          </w:tcPr>
          <w:p w14:paraId="07C57138" w14:textId="77777777" w:rsidR="00E11D56" w:rsidRDefault="00000000">
            <w:pPr>
              <w:pStyle w:val="Sangradetextonormal"/>
              <w:spacing w:after="100" w:afterAutospacing="1"/>
              <w:ind w:left="0"/>
              <w:rPr>
                <w:rFonts w:ascii="Arial Narrow" w:hAnsi="Arial Narrow" w:cs="Arial"/>
                <w:b/>
                <w:i/>
                <w:sz w:val="20"/>
                <w:szCs w:val="20"/>
              </w:rPr>
            </w:pPr>
            <w:r>
              <w:rPr>
                <w:rFonts w:ascii="Arial Narrow" w:hAnsi="Arial Narrow" w:cs="Arial"/>
                <w:b/>
                <w:i/>
                <w:sz w:val="20"/>
                <w:szCs w:val="20"/>
              </w:rPr>
              <w:t>Ayuntamiento:</w:t>
            </w:r>
          </w:p>
        </w:tc>
        <w:tc>
          <w:tcPr>
            <w:tcW w:w="5670" w:type="dxa"/>
            <w:vAlign w:val="center"/>
          </w:tcPr>
          <w:p w14:paraId="3C951709" w14:textId="77777777" w:rsidR="00E11D56" w:rsidRDefault="00000000">
            <w:pPr>
              <w:pStyle w:val="Sangradetextonormal"/>
              <w:spacing w:after="100" w:afterAutospacing="1"/>
              <w:ind w:left="0"/>
              <w:rPr>
                <w:rFonts w:ascii="Arial Narrow" w:eastAsia="Arial" w:hAnsi="Arial Narrow" w:cs="Arial"/>
                <w:sz w:val="20"/>
                <w:szCs w:val="20"/>
              </w:rPr>
            </w:pPr>
            <w:r>
              <w:rPr>
                <w:rFonts w:ascii="Arial Narrow" w:eastAsia="Arial" w:hAnsi="Arial Narrow" w:cs="Arial"/>
                <w:sz w:val="20"/>
                <w:szCs w:val="20"/>
              </w:rPr>
              <w:t>Ayuntamiento de Zitácuaro, Michoacán.</w:t>
            </w:r>
          </w:p>
        </w:tc>
      </w:tr>
      <w:tr w:rsidR="00E11D56" w14:paraId="078D1040" w14:textId="77777777">
        <w:trPr>
          <w:trHeight w:val="195"/>
        </w:trPr>
        <w:tc>
          <w:tcPr>
            <w:tcW w:w="2263" w:type="dxa"/>
            <w:vAlign w:val="center"/>
          </w:tcPr>
          <w:p w14:paraId="532F63E0" w14:textId="77777777" w:rsidR="00E11D56" w:rsidRDefault="00000000">
            <w:pPr>
              <w:pStyle w:val="Sangradetextonormal"/>
              <w:spacing w:after="100" w:afterAutospacing="1"/>
              <w:ind w:left="0"/>
              <w:rPr>
                <w:rFonts w:ascii="Arial Narrow" w:hAnsi="Arial Narrow"/>
                <w:b/>
                <w:bCs/>
                <w:i/>
                <w:iCs/>
                <w:sz w:val="20"/>
                <w:szCs w:val="20"/>
              </w:rPr>
            </w:pPr>
            <w:r>
              <w:rPr>
                <w:rFonts w:ascii="Arial Narrow" w:hAnsi="Arial Narrow"/>
                <w:b/>
                <w:bCs/>
                <w:i/>
                <w:iCs/>
                <w:sz w:val="20"/>
                <w:szCs w:val="20"/>
              </w:rPr>
              <w:t>Código Electoral:</w:t>
            </w:r>
          </w:p>
        </w:tc>
        <w:tc>
          <w:tcPr>
            <w:tcW w:w="5670" w:type="dxa"/>
            <w:vAlign w:val="center"/>
          </w:tcPr>
          <w:p w14:paraId="5C175E64" w14:textId="77777777" w:rsidR="00E11D56" w:rsidRDefault="00000000">
            <w:pPr>
              <w:pStyle w:val="Sangradetextonormal"/>
              <w:spacing w:after="100" w:afterAutospacing="1"/>
              <w:ind w:left="0"/>
              <w:rPr>
                <w:rFonts w:ascii="Arial Narrow" w:hAnsi="Arial Narrow" w:cs="Arial"/>
                <w:sz w:val="20"/>
                <w:szCs w:val="20"/>
              </w:rPr>
            </w:pPr>
            <w:r>
              <w:rPr>
                <w:rFonts w:ascii="Arial Narrow" w:hAnsi="Arial Narrow"/>
                <w:sz w:val="20"/>
                <w:szCs w:val="20"/>
              </w:rPr>
              <w:t xml:space="preserve">Código Electoral del Estado de Michoacán de Ocampo. </w:t>
            </w:r>
          </w:p>
        </w:tc>
      </w:tr>
      <w:tr w:rsidR="00E11D56" w14:paraId="7044B6C7" w14:textId="77777777">
        <w:trPr>
          <w:trHeight w:val="195"/>
        </w:trPr>
        <w:tc>
          <w:tcPr>
            <w:tcW w:w="2263" w:type="dxa"/>
            <w:vAlign w:val="center"/>
          </w:tcPr>
          <w:p w14:paraId="49B52CA2" w14:textId="77777777" w:rsidR="00E11D56" w:rsidRDefault="00000000">
            <w:pPr>
              <w:pStyle w:val="Sangradetextonormal"/>
              <w:spacing w:after="100" w:afterAutospacing="1"/>
              <w:ind w:left="0"/>
              <w:rPr>
                <w:rFonts w:ascii="Arial Narrow" w:hAnsi="Arial Narrow"/>
                <w:b/>
                <w:bCs/>
                <w:i/>
                <w:iCs/>
                <w:sz w:val="20"/>
                <w:szCs w:val="20"/>
              </w:rPr>
            </w:pPr>
            <w:r>
              <w:rPr>
                <w:rFonts w:ascii="Arial Narrow" w:hAnsi="Arial Narrow"/>
                <w:b/>
                <w:bCs/>
                <w:i/>
                <w:iCs/>
                <w:sz w:val="20"/>
                <w:szCs w:val="20"/>
              </w:rPr>
              <w:t>Comisión de pueblos indígenas:</w:t>
            </w:r>
          </w:p>
        </w:tc>
        <w:tc>
          <w:tcPr>
            <w:tcW w:w="5670" w:type="dxa"/>
            <w:vAlign w:val="center"/>
          </w:tcPr>
          <w:p w14:paraId="467E2455" w14:textId="77777777" w:rsidR="00E11D56" w:rsidRDefault="00000000">
            <w:pPr>
              <w:pStyle w:val="Sangradetextonormal"/>
              <w:spacing w:after="100" w:afterAutospacing="1"/>
              <w:ind w:left="0"/>
              <w:rPr>
                <w:rFonts w:ascii="Arial Narrow" w:hAnsi="Arial Narrow"/>
                <w:sz w:val="20"/>
                <w:szCs w:val="20"/>
              </w:rPr>
            </w:pPr>
            <w:r>
              <w:rPr>
                <w:rFonts w:ascii="Arial Narrow" w:hAnsi="Arial Narrow"/>
                <w:sz w:val="20"/>
                <w:szCs w:val="20"/>
              </w:rPr>
              <w:t xml:space="preserve">Comisión Electoral para la Atención de Pueblos Indígenas del Instituto Electoral de Michoacán. </w:t>
            </w:r>
          </w:p>
        </w:tc>
      </w:tr>
      <w:tr w:rsidR="00E11D56" w14:paraId="158DA1B6" w14:textId="77777777">
        <w:trPr>
          <w:trHeight w:val="195"/>
        </w:trPr>
        <w:tc>
          <w:tcPr>
            <w:tcW w:w="2263" w:type="dxa"/>
            <w:vAlign w:val="center"/>
          </w:tcPr>
          <w:p w14:paraId="1724F1B2" w14:textId="77777777" w:rsidR="00E11D56" w:rsidRDefault="00000000">
            <w:pPr>
              <w:pStyle w:val="Sangradetextonormal"/>
              <w:spacing w:after="100" w:afterAutospacing="1"/>
              <w:ind w:left="0"/>
              <w:rPr>
                <w:rFonts w:ascii="Arial Narrow" w:hAnsi="Arial Narrow"/>
                <w:b/>
                <w:bCs/>
                <w:i/>
                <w:iCs/>
                <w:sz w:val="20"/>
                <w:szCs w:val="20"/>
              </w:rPr>
            </w:pPr>
            <w:r>
              <w:rPr>
                <w:rFonts w:ascii="Arial Narrow" w:hAnsi="Arial Narrow"/>
                <w:b/>
                <w:bCs/>
                <w:i/>
                <w:iCs/>
                <w:sz w:val="20"/>
                <w:szCs w:val="20"/>
              </w:rPr>
              <w:t>comunidad:</w:t>
            </w:r>
          </w:p>
        </w:tc>
        <w:tc>
          <w:tcPr>
            <w:tcW w:w="5670" w:type="dxa"/>
            <w:vAlign w:val="center"/>
          </w:tcPr>
          <w:p w14:paraId="7F5907D0" w14:textId="77777777" w:rsidR="00E11D56" w:rsidRDefault="00000000">
            <w:pPr>
              <w:pStyle w:val="Sangradetextonormal"/>
              <w:spacing w:after="100" w:afterAutospacing="1"/>
              <w:ind w:left="0"/>
              <w:rPr>
                <w:rFonts w:ascii="Arial Narrow" w:hAnsi="Arial Narrow"/>
                <w:sz w:val="20"/>
                <w:szCs w:val="20"/>
              </w:rPr>
            </w:pPr>
            <w:r>
              <w:rPr>
                <w:rFonts w:ascii="Arial Narrow" w:hAnsi="Arial Narrow" w:cs="Arial"/>
                <w:sz w:val="20"/>
                <w:szCs w:val="20"/>
                <w:lang w:val="pt-PT"/>
              </w:rPr>
              <w:t>Comunidad de Franciso Serrato, Zitácuaro, Michoacán.</w:t>
            </w:r>
          </w:p>
        </w:tc>
      </w:tr>
      <w:tr w:rsidR="00E11D56" w14:paraId="0A0FB863" w14:textId="77777777">
        <w:trPr>
          <w:trHeight w:val="195"/>
        </w:trPr>
        <w:tc>
          <w:tcPr>
            <w:tcW w:w="2263" w:type="dxa"/>
            <w:vAlign w:val="center"/>
          </w:tcPr>
          <w:p w14:paraId="7581935D" w14:textId="77777777" w:rsidR="00E11D56" w:rsidRDefault="00000000">
            <w:pPr>
              <w:pStyle w:val="Sangradetextonormal"/>
              <w:spacing w:after="100" w:afterAutospacing="1"/>
              <w:ind w:left="0"/>
              <w:rPr>
                <w:rFonts w:ascii="Arial Narrow" w:hAnsi="Arial Narrow"/>
                <w:b/>
                <w:bCs/>
                <w:i/>
                <w:iCs/>
                <w:sz w:val="20"/>
                <w:szCs w:val="20"/>
              </w:rPr>
            </w:pPr>
            <w:r>
              <w:rPr>
                <w:rFonts w:ascii="Arial Narrow" w:hAnsi="Arial Narrow"/>
                <w:b/>
                <w:bCs/>
                <w:i/>
                <w:iCs/>
                <w:sz w:val="20"/>
                <w:szCs w:val="20"/>
              </w:rPr>
              <w:t>Concejo Comunal Indígena:</w:t>
            </w:r>
          </w:p>
        </w:tc>
        <w:tc>
          <w:tcPr>
            <w:tcW w:w="5670" w:type="dxa"/>
            <w:vAlign w:val="center"/>
          </w:tcPr>
          <w:p w14:paraId="06FF453C" w14:textId="77777777" w:rsidR="00E11D56" w:rsidRDefault="00000000">
            <w:pPr>
              <w:pStyle w:val="Sangradetextonormal"/>
              <w:spacing w:after="100" w:afterAutospacing="1"/>
              <w:ind w:left="0"/>
              <w:rPr>
                <w:rFonts w:ascii="Arial Narrow" w:hAnsi="Arial Narrow" w:cs="Arial"/>
                <w:sz w:val="20"/>
                <w:szCs w:val="20"/>
                <w:lang w:val="es-MX"/>
              </w:rPr>
            </w:pPr>
            <w:r>
              <w:rPr>
                <w:rFonts w:ascii="Arial Narrow" w:hAnsi="Arial Narrow" w:cs="Arial"/>
                <w:sz w:val="20"/>
                <w:szCs w:val="20"/>
                <w:lang w:val="es-MX"/>
              </w:rPr>
              <w:t xml:space="preserve">Concejo Comunal Indígena de Francisco Serrato, electo en Asamblea celebrada los días veintinueve y treinta de diciembre de dos mil veinticuatro. </w:t>
            </w:r>
          </w:p>
        </w:tc>
      </w:tr>
      <w:tr w:rsidR="00E11D56" w14:paraId="0C9B5C35" w14:textId="77777777">
        <w:trPr>
          <w:trHeight w:val="195"/>
        </w:trPr>
        <w:tc>
          <w:tcPr>
            <w:tcW w:w="2263" w:type="dxa"/>
            <w:vAlign w:val="center"/>
          </w:tcPr>
          <w:p w14:paraId="18215A2D" w14:textId="77777777" w:rsidR="00E11D56" w:rsidRDefault="00000000">
            <w:pPr>
              <w:pStyle w:val="Sangradetextonormal"/>
              <w:spacing w:after="100" w:afterAutospacing="1"/>
              <w:ind w:left="0"/>
              <w:rPr>
                <w:rFonts w:ascii="Arial Narrow" w:hAnsi="Arial Narrow"/>
                <w:b/>
                <w:bCs/>
                <w:i/>
                <w:iCs/>
                <w:sz w:val="20"/>
                <w:szCs w:val="20"/>
              </w:rPr>
            </w:pPr>
            <w:r>
              <w:rPr>
                <w:rFonts w:ascii="Arial Narrow" w:hAnsi="Arial Narrow"/>
                <w:b/>
                <w:bCs/>
                <w:i/>
                <w:iCs/>
                <w:sz w:val="20"/>
                <w:szCs w:val="20"/>
              </w:rPr>
              <w:t xml:space="preserve">Concejo de Autogobierno: </w:t>
            </w:r>
          </w:p>
        </w:tc>
        <w:tc>
          <w:tcPr>
            <w:tcW w:w="5670" w:type="dxa"/>
            <w:vAlign w:val="center"/>
          </w:tcPr>
          <w:p w14:paraId="528D2A44" w14:textId="77777777" w:rsidR="00E11D56" w:rsidRDefault="00000000">
            <w:pPr>
              <w:pStyle w:val="Sangradetextonormal"/>
              <w:spacing w:after="100" w:afterAutospacing="1"/>
              <w:ind w:left="0"/>
              <w:rPr>
                <w:rFonts w:ascii="Arial Narrow" w:hAnsi="Arial Narrow" w:cs="Arial"/>
                <w:sz w:val="20"/>
                <w:szCs w:val="20"/>
                <w:lang w:val="es-MX"/>
              </w:rPr>
            </w:pPr>
            <w:r>
              <w:rPr>
                <w:rFonts w:ascii="Arial Narrow" w:hAnsi="Arial Narrow" w:cs="Arial"/>
                <w:sz w:val="20"/>
                <w:szCs w:val="20"/>
                <w:lang w:val="es-MX"/>
              </w:rPr>
              <w:t>Concejo de Autogobierno de Francisco Serrato, electo por las personas integrantes del concejo comunal indígena en Asamblea celebrada los días veintinueve y treinta de diciembre de dos mil veinticuatro.</w:t>
            </w:r>
          </w:p>
        </w:tc>
      </w:tr>
      <w:tr w:rsidR="00E11D56" w14:paraId="34E0CCB2" w14:textId="77777777">
        <w:trPr>
          <w:trHeight w:val="195"/>
        </w:trPr>
        <w:tc>
          <w:tcPr>
            <w:tcW w:w="2263" w:type="dxa"/>
            <w:vAlign w:val="center"/>
          </w:tcPr>
          <w:p w14:paraId="3F2D0724" w14:textId="77777777" w:rsidR="00E11D56" w:rsidRDefault="00000000">
            <w:pPr>
              <w:pStyle w:val="Sangradetextonormal"/>
              <w:spacing w:after="100" w:afterAutospacing="1"/>
              <w:ind w:left="0"/>
              <w:rPr>
                <w:rFonts w:ascii="Arial Narrow" w:hAnsi="Arial Narrow" w:cs="Arial"/>
                <w:b/>
                <w:bCs/>
                <w:i/>
                <w:iCs/>
                <w:sz w:val="20"/>
                <w:szCs w:val="20"/>
              </w:rPr>
            </w:pPr>
            <w:r>
              <w:rPr>
                <w:rFonts w:ascii="Arial Narrow" w:hAnsi="Arial Narrow"/>
                <w:b/>
                <w:bCs/>
                <w:i/>
                <w:iCs/>
                <w:sz w:val="20"/>
                <w:szCs w:val="20"/>
              </w:rPr>
              <w:t>Constitución General:</w:t>
            </w:r>
          </w:p>
        </w:tc>
        <w:tc>
          <w:tcPr>
            <w:tcW w:w="5670" w:type="dxa"/>
            <w:vAlign w:val="center"/>
          </w:tcPr>
          <w:p w14:paraId="3D77B829" w14:textId="77777777" w:rsidR="00E11D56" w:rsidRDefault="00000000">
            <w:pPr>
              <w:pStyle w:val="Sangradetextonormal"/>
              <w:spacing w:after="100" w:afterAutospacing="1"/>
              <w:ind w:left="0"/>
              <w:rPr>
                <w:rFonts w:ascii="Arial Narrow" w:hAnsi="Arial Narrow" w:cs="Arial"/>
                <w:sz w:val="20"/>
                <w:szCs w:val="20"/>
              </w:rPr>
            </w:pPr>
            <w:r>
              <w:rPr>
                <w:rFonts w:ascii="Arial Narrow" w:hAnsi="Arial Narrow"/>
                <w:sz w:val="20"/>
                <w:szCs w:val="20"/>
              </w:rPr>
              <w:t>Constitución Política de los Estados Unidos Mexicanos.</w:t>
            </w:r>
          </w:p>
        </w:tc>
      </w:tr>
      <w:tr w:rsidR="00E11D56" w14:paraId="1956521B" w14:textId="77777777">
        <w:trPr>
          <w:trHeight w:val="195"/>
        </w:trPr>
        <w:tc>
          <w:tcPr>
            <w:tcW w:w="2263" w:type="dxa"/>
            <w:vAlign w:val="center"/>
          </w:tcPr>
          <w:p w14:paraId="2F198D4D" w14:textId="77777777" w:rsidR="00E11D56" w:rsidRDefault="00000000">
            <w:pPr>
              <w:pStyle w:val="Sangradetextonormal"/>
              <w:spacing w:after="100" w:afterAutospacing="1"/>
              <w:ind w:left="0"/>
              <w:rPr>
                <w:rFonts w:ascii="Arial Narrow" w:hAnsi="Arial Narrow" w:cs="Arial"/>
                <w:b/>
                <w:i/>
                <w:sz w:val="20"/>
                <w:szCs w:val="20"/>
              </w:rPr>
            </w:pPr>
            <w:r>
              <w:rPr>
                <w:rFonts w:ascii="Arial Narrow" w:hAnsi="Arial Narrow"/>
                <w:b/>
                <w:bCs/>
                <w:i/>
                <w:iCs/>
                <w:sz w:val="20"/>
                <w:szCs w:val="20"/>
              </w:rPr>
              <w:t>Constitución Local:</w:t>
            </w:r>
          </w:p>
        </w:tc>
        <w:tc>
          <w:tcPr>
            <w:tcW w:w="5670" w:type="dxa"/>
            <w:vAlign w:val="center"/>
          </w:tcPr>
          <w:p w14:paraId="024E8523" w14:textId="77777777" w:rsidR="00E11D56" w:rsidRDefault="00000000">
            <w:pPr>
              <w:pStyle w:val="Sangradetextonormal"/>
              <w:spacing w:after="100" w:afterAutospacing="1"/>
              <w:ind w:left="0"/>
              <w:rPr>
                <w:rFonts w:ascii="Arial Narrow" w:hAnsi="Arial Narrow" w:cs="Arial"/>
                <w:sz w:val="20"/>
                <w:szCs w:val="20"/>
              </w:rPr>
            </w:pPr>
            <w:r>
              <w:rPr>
                <w:rFonts w:ascii="Arial Narrow" w:hAnsi="Arial Narrow"/>
                <w:sz w:val="20"/>
                <w:szCs w:val="20"/>
              </w:rPr>
              <w:t>Constitución Política del Estado Libre y Soberano de Michoacán de Ocampo.</w:t>
            </w:r>
          </w:p>
        </w:tc>
      </w:tr>
      <w:tr w:rsidR="00E11D56" w14:paraId="7A82A434" w14:textId="77777777">
        <w:trPr>
          <w:trHeight w:val="177"/>
        </w:trPr>
        <w:tc>
          <w:tcPr>
            <w:tcW w:w="2263" w:type="dxa"/>
            <w:vAlign w:val="center"/>
          </w:tcPr>
          <w:p w14:paraId="1F9886BE" w14:textId="77777777" w:rsidR="00E11D56" w:rsidRDefault="00000000">
            <w:pPr>
              <w:pStyle w:val="Sangradetextonormal"/>
              <w:spacing w:after="100" w:afterAutospacing="1"/>
              <w:ind w:left="0"/>
              <w:rPr>
                <w:rFonts w:ascii="Arial Narrow" w:hAnsi="Arial Narrow" w:cs="Arial"/>
                <w:b/>
                <w:i/>
                <w:sz w:val="20"/>
                <w:szCs w:val="20"/>
                <w:lang w:val="es-MX"/>
              </w:rPr>
            </w:pPr>
            <w:r>
              <w:rPr>
                <w:rFonts w:ascii="Arial Narrow" w:hAnsi="Arial Narrow" w:cs="Arial"/>
                <w:b/>
                <w:i/>
                <w:sz w:val="20"/>
                <w:szCs w:val="20"/>
                <w:lang w:val="es-MX"/>
              </w:rPr>
              <w:t>juicio de la ciudadanía:</w:t>
            </w:r>
          </w:p>
        </w:tc>
        <w:tc>
          <w:tcPr>
            <w:tcW w:w="5670" w:type="dxa"/>
            <w:vAlign w:val="center"/>
          </w:tcPr>
          <w:p w14:paraId="3975E298" w14:textId="77777777" w:rsidR="00E11D56" w:rsidRDefault="00000000">
            <w:pPr>
              <w:pStyle w:val="Sangradetextonormal"/>
              <w:spacing w:after="100" w:afterAutospacing="1"/>
              <w:ind w:left="0"/>
              <w:rPr>
                <w:rFonts w:ascii="Arial Narrow" w:hAnsi="Arial Narrow" w:cs="Arial"/>
                <w:sz w:val="20"/>
                <w:szCs w:val="20"/>
                <w:lang w:val="es-MX"/>
              </w:rPr>
            </w:pPr>
            <w:r>
              <w:rPr>
                <w:rFonts w:ascii="Arial Narrow" w:hAnsi="Arial Narrow" w:cs="Arial"/>
                <w:sz w:val="20"/>
                <w:szCs w:val="20"/>
                <w:lang w:val="es-MX"/>
              </w:rPr>
              <w:t>Juicio para la Protección de los Derechos Político-Electorales del Ciudadano.</w:t>
            </w:r>
          </w:p>
        </w:tc>
      </w:tr>
      <w:tr w:rsidR="00E11D56" w14:paraId="5052ECEC" w14:textId="77777777">
        <w:trPr>
          <w:trHeight w:val="307"/>
        </w:trPr>
        <w:tc>
          <w:tcPr>
            <w:tcW w:w="2263" w:type="dxa"/>
            <w:vAlign w:val="center"/>
          </w:tcPr>
          <w:p w14:paraId="00E24792" w14:textId="77777777" w:rsidR="00E11D56" w:rsidRDefault="00000000">
            <w:pPr>
              <w:pStyle w:val="Sangradetextonormal"/>
              <w:spacing w:after="100" w:afterAutospacing="1"/>
              <w:ind w:left="0"/>
              <w:rPr>
                <w:rFonts w:ascii="Arial Narrow" w:hAnsi="Arial Narrow" w:cs="Arial"/>
                <w:b/>
                <w:i/>
                <w:sz w:val="20"/>
                <w:szCs w:val="20"/>
                <w:lang w:val="es-MX"/>
              </w:rPr>
            </w:pPr>
            <w:r>
              <w:rPr>
                <w:rFonts w:ascii="Arial Narrow" w:hAnsi="Arial Narrow" w:cs="Arial"/>
                <w:b/>
                <w:i/>
                <w:sz w:val="20"/>
                <w:szCs w:val="20"/>
                <w:lang w:val="es-MX"/>
              </w:rPr>
              <w:t>Ley de Justicia Electoral:</w:t>
            </w:r>
          </w:p>
        </w:tc>
        <w:tc>
          <w:tcPr>
            <w:tcW w:w="5670" w:type="dxa"/>
            <w:vAlign w:val="center"/>
          </w:tcPr>
          <w:p w14:paraId="03E05614" w14:textId="77777777" w:rsidR="00E11D56" w:rsidRDefault="00000000">
            <w:pPr>
              <w:pStyle w:val="Sangradetextonormal"/>
              <w:spacing w:after="100" w:afterAutospacing="1"/>
              <w:ind w:left="0"/>
              <w:rPr>
                <w:rFonts w:ascii="Arial Narrow" w:hAnsi="Arial Narrow" w:cs="Arial"/>
                <w:sz w:val="20"/>
                <w:szCs w:val="20"/>
                <w:lang w:val="es-MX"/>
              </w:rPr>
            </w:pPr>
            <w:r>
              <w:rPr>
                <w:rFonts w:ascii="Arial Narrow" w:hAnsi="Arial Narrow" w:cs="Arial"/>
                <w:sz w:val="20"/>
                <w:szCs w:val="20"/>
                <w:lang w:val="es-MX"/>
              </w:rPr>
              <w:t>Ley de Justicia en Materia Electoral y de Participación Ciudadana del Estado de Michoacán de Ocampo.</w:t>
            </w:r>
          </w:p>
        </w:tc>
      </w:tr>
      <w:tr w:rsidR="00E11D56" w14:paraId="789B6286" w14:textId="77777777">
        <w:trPr>
          <w:trHeight w:val="307"/>
        </w:trPr>
        <w:tc>
          <w:tcPr>
            <w:tcW w:w="2263" w:type="dxa"/>
            <w:vAlign w:val="center"/>
          </w:tcPr>
          <w:p w14:paraId="1857ECCA" w14:textId="77777777" w:rsidR="00E11D56" w:rsidRDefault="00000000">
            <w:pPr>
              <w:pStyle w:val="Sangradetextonormal"/>
              <w:spacing w:after="100" w:afterAutospacing="1"/>
              <w:ind w:left="0"/>
              <w:rPr>
                <w:rFonts w:ascii="Arial Narrow" w:hAnsi="Arial Narrow" w:cs="Arial"/>
                <w:b/>
                <w:i/>
                <w:sz w:val="20"/>
                <w:szCs w:val="20"/>
              </w:rPr>
            </w:pPr>
            <w:r>
              <w:rPr>
                <w:rFonts w:ascii="Arial Narrow" w:hAnsi="Arial Narrow" w:cs="Arial"/>
                <w:b/>
                <w:i/>
                <w:sz w:val="20"/>
                <w:szCs w:val="20"/>
                <w:lang w:val="es-MX"/>
              </w:rPr>
              <w:t>Ley Orgánica Municipal:</w:t>
            </w:r>
          </w:p>
        </w:tc>
        <w:tc>
          <w:tcPr>
            <w:tcW w:w="5670" w:type="dxa"/>
            <w:vAlign w:val="center"/>
          </w:tcPr>
          <w:p w14:paraId="0023CDD0" w14:textId="77777777" w:rsidR="00E11D56" w:rsidRDefault="00000000">
            <w:pPr>
              <w:pStyle w:val="Sangradetextonormal"/>
              <w:spacing w:after="100" w:afterAutospacing="1"/>
              <w:ind w:left="0"/>
              <w:rPr>
                <w:rFonts w:ascii="Arial Narrow" w:hAnsi="Arial Narrow" w:cs="Arial"/>
                <w:sz w:val="20"/>
                <w:szCs w:val="20"/>
              </w:rPr>
            </w:pPr>
            <w:r>
              <w:rPr>
                <w:rFonts w:ascii="Arial Narrow" w:hAnsi="Arial Narrow" w:cs="Arial"/>
                <w:sz w:val="20"/>
                <w:szCs w:val="20"/>
                <w:lang w:val="es-MX"/>
              </w:rPr>
              <w:t>Ley Orgánica Municipal del Estado de Michoacán de Ocampo.</w:t>
            </w:r>
          </w:p>
        </w:tc>
      </w:tr>
      <w:tr w:rsidR="00E11D56" w14:paraId="661F876D" w14:textId="77777777">
        <w:trPr>
          <w:trHeight w:val="125"/>
        </w:trPr>
        <w:tc>
          <w:tcPr>
            <w:tcW w:w="2263" w:type="dxa"/>
            <w:vAlign w:val="center"/>
          </w:tcPr>
          <w:p w14:paraId="7C1FB732" w14:textId="77777777" w:rsidR="00E11D56" w:rsidRDefault="00000000">
            <w:pPr>
              <w:pStyle w:val="Sangradetextonormal"/>
              <w:spacing w:after="100" w:afterAutospacing="1"/>
              <w:ind w:left="0"/>
              <w:rPr>
                <w:rFonts w:ascii="Arial Narrow" w:hAnsi="Arial Narrow" w:cs="Arial"/>
                <w:b/>
                <w:bCs/>
                <w:i/>
                <w:sz w:val="20"/>
                <w:szCs w:val="20"/>
                <w:lang w:val="es-MX"/>
              </w:rPr>
            </w:pPr>
            <w:r>
              <w:rPr>
                <w:rFonts w:ascii="Arial Narrow" w:hAnsi="Arial Narrow" w:cs="Arial"/>
                <w:b/>
                <w:bCs/>
                <w:i/>
                <w:iCs/>
                <w:sz w:val="20"/>
                <w:szCs w:val="20"/>
                <w:lang w:val="es-MX"/>
              </w:rPr>
              <w:t>Sala Superior:</w:t>
            </w:r>
          </w:p>
        </w:tc>
        <w:tc>
          <w:tcPr>
            <w:tcW w:w="5670" w:type="dxa"/>
            <w:vAlign w:val="center"/>
          </w:tcPr>
          <w:p w14:paraId="67C405CD" w14:textId="77777777" w:rsidR="00E11D56" w:rsidRDefault="00000000">
            <w:pPr>
              <w:pStyle w:val="Sangradetextonormal"/>
              <w:spacing w:after="100" w:afterAutospacing="1"/>
              <w:ind w:left="0"/>
              <w:rPr>
                <w:rFonts w:ascii="Arial Narrow" w:hAnsi="Arial Narrow" w:cs="Arial"/>
                <w:sz w:val="20"/>
                <w:szCs w:val="20"/>
                <w:lang w:val="es-MX"/>
              </w:rPr>
            </w:pPr>
            <w:r>
              <w:rPr>
                <w:rFonts w:ascii="Arial Narrow" w:hAnsi="Arial Narrow" w:cs="Arial"/>
                <w:sz w:val="20"/>
                <w:szCs w:val="20"/>
                <w:lang w:val="es-MX"/>
              </w:rPr>
              <w:t>Sala Superior del Tribunal Electoral del Poder Judicial de la Federación.</w:t>
            </w:r>
          </w:p>
        </w:tc>
      </w:tr>
      <w:tr w:rsidR="00E11D56" w14:paraId="2AFFADE6" w14:textId="77777777">
        <w:trPr>
          <w:trHeight w:val="125"/>
        </w:trPr>
        <w:tc>
          <w:tcPr>
            <w:tcW w:w="2263" w:type="dxa"/>
            <w:vAlign w:val="center"/>
          </w:tcPr>
          <w:p w14:paraId="629B4766" w14:textId="77777777" w:rsidR="00E11D56" w:rsidRDefault="00000000">
            <w:pPr>
              <w:pStyle w:val="Sangradetextonormal"/>
              <w:spacing w:after="100" w:afterAutospacing="1"/>
              <w:ind w:left="0"/>
              <w:rPr>
                <w:rFonts w:ascii="Arial Narrow" w:hAnsi="Arial Narrow" w:cs="Arial"/>
                <w:b/>
                <w:bCs/>
                <w:i/>
                <w:iCs/>
                <w:sz w:val="20"/>
                <w:szCs w:val="20"/>
              </w:rPr>
            </w:pPr>
            <w:r>
              <w:rPr>
                <w:rFonts w:ascii="Arial Narrow" w:hAnsi="Arial Narrow"/>
                <w:b/>
                <w:bCs/>
                <w:i/>
                <w:iCs/>
                <w:sz w:val="20"/>
                <w:szCs w:val="20"/>
              </w:rPr>
              <w:t>Sala Toluca:</w:t>
            </w:r>
          </w:p>
        </w:tc>
        <w:tc>
          <w:tcPr>
            <w:tcW w:w="5670" w:type="dxa"/>
            <w:vAlign w:val="center"/>
          </w:tcPr>
          <w:p w14:paraId="7A0EF5FC" w14:textId="77777777" w:rsidR="00E11D56" w:rsidRDefault="00000000">
            <w:pPr>
              <w:pStyle w:val="Sangradetextonormal"/>
              <w:spacing w:after="100" w:afterAutospacing="1"/>
              <w:ind w:left="0"/>
              <w:rPr>
                <w:rFonts w:ascii="Arial Narrow" w:hAnsi="Arial Narrow" w:cs="Arial"/>
                <w:sz w:val="20"/>
                <w:szCs w:val="20"/>
              </w:rPr>
            </w:pPr>
            <w:r>
              <w:rPr>
                <w:rFonts w:ascii="Arial Narrow" w:hAnsi="Arial Narrow"/>
                <w:sz w:val="20"/>
                <w:szCs w:val="20"/>
              </w:rPr>
              <w:t>Sala Regional del Tribunal Electoral del Poder Judicial de la Federación, correspondiente a la Quinta Circunscripción Plurinominal, con sede en Toluca de Lerdo, Estado de México.</w:t>
            </w:r>
          </w:p>
        </w:tc>
      </w:tr>
      <w:tr w:rsidR="00E11D56" w14:paraId="17C3594A" w14:textId="77777777">
        <w:trPr>
          <w:trHeight w:val="307"/>
        </w:trPr>
        <w:tc>
          <w:tcPr>
            <w:tcW w:w="2263" w:type="dxa"/>
            <w:vAlign w:val="center"/>
          </w:tcPr>
          <w:p w14:paraId="2DBF1304" w14:textId="77777777" w:rsidR="00E11D56" w:rsidRDefault="00000000">
            <w:pPr>
              <w:pStyle w:val="Sangradetextonormal"/>
              <w:spacing w:after="100" w:afterAutospacing="1"/>
              <w:ind w:left="0"/>
              <w:rPr>
                <w:rFonts w:ascii="Arial Narrow" w:hAnsi="Arial Narrow" w:cs="Arial"/>
                <w:b/>
                <w:i/>
                <w:sz w:val="20"/>
                <w:szCs w:val="20"/>
                <w:lang w:val="es-MX"/>
              </w:rPr>
            </w:pPr>
            <w:r>
              <w:rPr>
                <w:rFonts w:ascii="Arial Narrow" w:hAnsi="Arial Narrow" w:cs="Arial"/>
                <w:b/>
                <w:i/>
                <w:sz w:val="20"/>
                <w:szCs w:val="20"/>
                <w:lang w:val="es-MX"/>
              </w:rPr>
              <w:t xml:space="preserve">Tribunal Electoral </w:t>
            </w:r>
            <w:r>
              <w:rPr>
                <w:rFonts w:ascii="Arial Narrow" w:hAnsi="Arial Narrow" w:cs="Arial"/>
                <w:bCs/>
                <w:iCs/>
                <w:sz w:val="20"/>
                <w:szCs w:val="20"/>
                <w:lang w:val="es-MX"/>
              </w:rPr>
              <w:t>u</w:t>
            </w:r>
            <w:r>
              <w:rPr>
                <w:rFonts w:ascii="Arial Narrow" w:hAnsi="Arial Narrow" w:cs="Arial"/>
                <w:b/>
                <w:i/>
                <w:sz w:val="20"/>
                <w:szCs w:val="20"/>
                <w:lang w:val="es-MX"/>
              </w:rPr>
              <w:t xml:space="preserve"> órgano jurisdiccional:</w:t>
            </w:r>
          </w:p>
        </w:tc>
        <w:tc>
          <w:tcPr>
            <w:tcW w:w="5670" w:type="dxa"/>
            <w:vAlign w:val="center"/>
          </w:tcPr>
          <w:p w14:paraId="16495EB7" w14:textId="77777777" w:rsidR="00E11D56" w:rsidRDefault="00000000">
            <w:pPr>
              <w:pStyle w:val="Sangradetextonormal"/>
              <w:spacing w:after="100" w:afterAutospacing="1"/>
              <w:ind w:left="0"/>
              <w:rPr>
                <w:rFonts w:ascii="Arial Narrow" w:hAnsi="Arial Narrow" w:cs="Arial"/>
                <w:sz w:val="20"/>
                <w:szCs w:val="20"/>
                <w:lang w:val="es-MX"/>
              </w:rPr>
            </w:pPr>
            <w:r>
              <w:rPr>
                <w:rFonts w:ascii="Arial Narrow" w:hAnsi="Arial Narrow" w:cs="Arial"/>
                <w:sz w:val="20"/>
                <w:szCs w:val="20"/>
                <w:lang w:val="es-MX"/>
              </w:rPr>
              <w:t>Tribunal Electoral del Estado de Michoacán.</w:t>
            </w:r>
          </w:p>
        </w:tc>
      </w:tr>
    </w:tbl>
    <w:p w14:paraId="3C45384F" w14:textId="77777777" w:rsidR="00E11D56" w:rsidRDefault="00E11D56">
      <w:pPr>
        <w:pStyle w:val="Ttulo2"/>
        <w:spacing w:before="100" w:beforeAutospacing="1" w:after="100" w:afterAutospacing="1" w:line="360" w:lineRule="auto"/>
        <w:ind w:right="-91"/>
        <w:rPr>
          <w:rFonts w:ascii="Arial" w:hAnsi="Arial" w:cs="Arial"/>
          <w:b/>
          <w:bCs/>
          <w:color w:val="000000" w:themeColor="text1"/>
          <w:sz w:val="24"/>
          <w:szCs w:val="24"/>
          <w:lang w:eastAsia="es-ES"/>
        </w:rPr>
      </w:pPr>
    </w:p>
    <w:p w14:paraId="468E1307" w14:textId="77777777" w:rsidR="00E11D56" w:rsidRDefault="00000000">
      <w:pPr>
        <w:pStyle w:val="Ttulo2"/>
        <w:numPr>
          <w:ilvl w:val="0"/>
          <w:numId w:val="38"/>
        </w:numPr>
        <w:spacing w:before="100" w:beforeAutospacing="1" w:after="100" w:afterAutospacing="1" w:line="360" w:lineRule="auto"/>
        <w:ind w:left="0" w:right="-91" w:firstLine="0"/>
        <w:jc w:val="center"/>
        <w:rPr>
          <w:rFonts w:ascii="Arial" w:hAnsi="Arial" w:cs="Arial"/>
          <w:b/>
          <w:bCs/>
          <w:color w:val="000000" w:themeColor="text1"/>
          <w:sz w:val="24"/>
          <w:szCs w:val="24"/>
          <w:lang w:eastAsia="es-ES"/>
        </w:rPr>
      </w:pPr>
      <w:bookmarkStart w:id="3" w:name="_Toc234501832"/>
      <w:r>
        <w:rPr>
          <w:rFonts w:ascii="Arial" w:hAnsi="Arial" w:cs="Arial"/>
          <w:b/>
          <w:bCs/>
          <w:color w:val="000000" w:themeColor="text1"/>
          <w:sz w:val="24"/>
          <w:szCs w:val="24"/>
          <w:lang w:eastAsia="es-ES"/>
        </w:rPr>
        <w:t>ANTECEDENTES</w:t>
      </w:r>
      <w:bookmarkStart w:id="4" w:name="_Hlk68085207"/>
      <w:bookmarkEnd w:id="3"/>
    </w:p>
    <w:p w14:paraId="537CD5B3" w14:textId="77777777" w:rsidR="00E11D56" w:rsidRDefault="00000000">
      <w:pPr>
        <w:pStyle w:val="Sinespaciado"/>
        <w:spacing w:before="100" w:beforeAutospacing="1" w:after="100" w:afterAutospacing="1" w:line="360" w:lineRule="auto"/>
        <w:jc w:val="both"/>
        <w:rPr>
          <w:rFonts w:ascii="Arial" w:hAnsi="Arial" w:cs="Arial"/>
          <w:sz w:val="24"/>
          <w:szCs w:val="24"/>
        </w:rPr>
      </w:pPr>
      <w:r>
        <w:rPr>
          <w:rFonts w:ascii="Arial" w:hAnsi="Arial" w:cs="Arial"/>
          <w:b/>
          <w:bCs/>
          <w:sz w:val="24"/>
          <w:szCs w:val="24"/>
        </w:rPr>
        <w:t xml:space="preserve">1.1. Solicitud de consulta ante el </w:t>
      </w:r>
      <w:r>
        <w:rPr>
          <w:rFonts w:ascii="Arial" w:hAnsi="Arial"/>
          <w:b/>
          <w:i/>
          <w:sz w:val="24"/>
        </w:rPr>
        <w:t>IEM</w:t>
      </w:r>
      <w:r>
        <w:rPr>
          <w:rFonts w:ascii="Arial" w:hAnsi="Arial" w:cs="Arial"/>
          <w:b/>
          <w:bCs/>
          <w:sz w:val="24"/>
          <w:szCs w:val="24"/>
        </w:rPr>
        <w:t xml:space="preserve">. </w:t>
      </w:r>
      <w:r>
        <w:rPr>
          <w:rFonts w:ascii="Arial" w:hAnsi="Arial" w:cs="Arial"/>
          <w:sz w:val="24"/>
          <w:szCs w:val="24"/>
        </w:rPr>
        <w:t xml:space="preserve">El cuatro de mayo de dos mil veintiuno, diversas autoridades de la </w:t>
      </w:r>
      <w:r>
        <w:rPr>
          <w:rFonts w:ascii="Arial" w:hAnsi="Arial" w:cs="Arial"/>
          <w:i/>
          <w:iCs/>
          <w:sz w:val="24"/>
          <w:szCs w:val="24"/>
        </w:rPr>
        <w:t>comunidad</w:t>
      </w:r>
      <w:r>
        <w:rPr>
          <w:rFonts w:ascii="Arial" w:hAnsi="Arial" w:cs="Arial"/>
          <w:sz w:val="24"/>
          <w:szCs w:val="24"/>
        </w:rPr>
        <w:t xml:space="preserve">, solicitaron la realización de una consulta previa, libre e informada para el manejo de presupuesto directo y ejercicio de autogobierno, por lo que el diecisiete de mayo siguiente, la </w:t>
      </w:r>
      <w:r>
        <w:rPr>
          <w:rFonts w:ascii="Arial" w:hAnsi="Arial" w:cs="Arial"/>
          <w:i/>
          <w:iCs/>
          <w:sz w:val="24"/>
          <w:szCs w:val="24"/>
        </w:rPr>
        <w:t>Comisión de Pueblos Indígenas</w:t>
      </w:r>
      <w:r>
        <w:rPr>
          <w:rFonts w:ascii="Arial" w:hAnsi="Arial" w:cs="Arial"/>
          <w:sz w:val="24"/>
          <w:szCs w:val="24"/>
        </w:rPr>
        <w:t>, acordó dar inicio con los trabajos para la realización de la misma</w:t>
      </w:r>
      <w:r>
        <w:rPr>
          <w:rStyle w:val="Refdenotaalpie"/>
          <w:rFonts w:ascii="Arial" w:hAnsi="Arial" w:cs="Arial"/>
          <w:sz w:val="24"/>
          <w:szCs w:val="24"/>
        </w:rPr>
        <w:footnoteReference w:id="3"/>
      </w:r>
      <w:r>
        <w:rPr>
          <w:rFonts w:ascii="Arial" w:hAnsi="Arial" w:cs="Arial"/>
          <w:sz w:val="24"/>
          <w:szCs w:val="24"/>
        </w:rPr>
        <w:t xml:space="preserve">. </w:t>
      </w:r>
    </w:p>
    <w:p w14:paraId="771F0BEA" w14:textId="77777777" w:rsidR="00E11D56" w:rsidRDefault="00000000">
      <w:pPr>
        <w:spacing w:before="240" w:line="360" w:lineRule="auto"/>
        <w:jc w:val="both"/>
        <w:rPr>
          <w:rFonts w:ascii="Arial" w:hAnsi="Arial" w:cs="Arial"/>
          <w:sz w:val="24"/>
          <w:szCs w:val="24"/>
        </w:rPr>
      </w:pPr>
      <w:r>
        <w:rPr>
          <w:rFonts w:ascii="Arial" w:hAnsi="Arial" w:cs="Arial"/>
          <w:b/>
          <w:bCs/>
          <w:sz w:val="24"/>
          <w:szCs w:val="24"/>
        </w:rPr>
        <w:t xml:space="preserve">1.2. Reprogramación, reactivación y solicitud de reprogramación. </w:t>
      </w:r>
      <w:r>
        <w:rPr>
          <w:rFonts w:ascii="Arial" w:hAnsi="Arial" w:cs="Arial"/>
          <w:sz w:val="24"/>
          <w:szCs w:val="24"/>
        </w:rPr>
        <w:t xml:space="preserve">La consulta originalmente programada para el veintisiete de octubre de dos mil veintiuno no se llevó a cabo debido a inconformidades manifestadas por un grupo de personas de la </w:t>
      </w:r>
      <w:r>
        <w:rPr>
          <w:rFonts w:ascii="Arial" w:hAnsi="Arial" w:cs="Arial"/>
          <w:i/>
          <w:iCs/>
          <w:sz w:val="24"/>
          <w:szCs w:val="24"/>
        </w:rPr>
        <w:t>comunidad</w:t>
      </w:r>
      <w:r>
        <w:rPr>
          <w:rFonts w:ascii="Arial" w:hAnsi="Arial" w:cs="Arial"/>
          <w:sz w:val="24"/>
          <w:szCs w:val="24"/>
        </w:rPr>
        <w:t>, por lo que se determinó reprogramarla hasta que existieran condiciones para su desarrollo</w:t>
      </w:r>
      <w:r>
        <w:rPr>
          <w:rStyle w:val="Refdenotaalpie"/>
          <w:rFonts w:ascii="Arial" w:hAnsi="Arial" w:cs="Arial"/>
          <w:sz w:val="24"/>
          <w:szCs w:val="24"/>
        </w:rPr>
        <w:footnoteReference w:id="4"/>
      </w:r>
      <w:r>
        <w:rPr>
          <w:rFonts w:ascii="Arial" w:hAnsi="Arial" w:cs="Arial"/>
          <w:sz w:val="24"/>
          <w:szCs w:val="24"/>
        </w:rPr>
        <w:t xml:space="preserve">. Posteriormente, el veinticuatro de octubre de dos mil veinticuatro, las autoridades comunitarias solicitaron su reactivación y, en consecuencia, la </w:t>
      </w:r>
      <w:r>
        <w:rPr>
          <w:rFonts w:ascii="Arial" w:hAnsi="Arial" w:cs="Arial"/>
          <w:i/>
          <w:iCs/>
          <w:sz w:val="24"/>
          <w:szCs w:val="24"/>
        </w:rPr>
        <w:t>Comisión de Pueblos Indígenas</w:t>
      </w:r>
      <w:r>
        <w:rPr>
          <w:rFonts w:ascii="Arial" w:hAnsi="Arial" w:cs="Arial"/>
          <w:sz w:val="24"/>
          <w:szCs w:val="24"/>
        </w:rPr>
        <w:t xml:space="preserve"> aprobó el plan de trabajo y la convocatoria correspondiente</w:t>
      </w:r>
      <w:r>
        <w:rPr>
          <w:rStyle w:val="Refdenotaalpie"/>
          <w:rFonts w:ascii="Arial" w:hAnsi="Arial" w:cs="Arial"/>
          <w:sz w:val="24"/>
          <w:szCs w:val="24"/>
        </w:rPr>
        <w:footnoteReference w:id="5"/>
      </w:r>
      <w:r>
        <w:rPr>
          <w:rFonts w:ascii="Arial" w:hAnsi="Arial" w:cs="Arial"/>
          <w:sz w:val="24"/>
          <w:szCs w:val="24"/>
        </w:rPr>
        <w:t xml:space="preserve">, fijando como nueva fecha el diez de diciembre de ese año; sin embargo, nuevamente no fue desahogada, por lo que el dieciséis siguiente, el </w:t>
      </w:r>
      <w:proofErr w:type="gramStart"/>
      <w:r>
        <w:rPr>
          <w:rFonts w:ascii="Arial" w:hAnsi="Arial" w:cs="Arial"/>
          <w:sz w:val="24"/>
          <w:szCs w:val="24"/>
        </w:rPr>
        <w:t>Presidente</w:t>
      </w:r>
      <w:proofErr w:type="gramEnd"/>
      <w:r>
        <w:rPr>
          <w:rFonts w:ascii="Arial" w:hAnsi="Arial" w:cs="Arial"/>
          <w:sz w:val="24"/>
          <w:szCs w:val="24"/>
        </w:rPr>
        <w:t xml:space="preserve"> del </w:t>
      </w:r>
      <w:r>
        <w:rPr>
          <w:rFonts w:ascii="Arial" w:hAnsi="Arial" w:cs="Arial"/>
          <w:i/>
          <w:iCs/>
          <w:sz w:val="24"/>
          <w:szCs w:val="24"/>
        </w:rPr>
        <w:t>Ayuntamiento</w:t>
      </w:r>
      <w:r>
        <w:rPr>
          <w:rFonts w:ascii="Arial" w:hAnsi="Arial" w:cs="Arial"/>
          <w:sz w:val="24"/>
          <w:szCs w:val="24"/>
        </w:rPr>
        <w:t xml:space="preserve"> solicitó su reprogramación.</w:t>
      </w:r>
    </w:p>
    <w:p w14:paraId="7D1912AE" w14:textId="77777777" w:rsidR="00E11D56" w:rsidRDefault="00000000">
      <w:pPr>
        <w:pStyle w:val="Sinespaciado"/>
        <w:spacing w:before="100" w:beforeAutospacing="1" w:after="100" w:afterAutospacing="1" w:line="360" w:lineRule="auto"/>
        <w:jc w:val="both"/>
        <w:rPr>
          <w:rFonts w:ascii="Arial" w:hAnsi="Arial" w:cs="Arial"/>
          <w:bCs/>
          <w:sz w:val="24"/>
          <w:szCs w:val="24"/>
        </w:rPr>
      </w:pPr>
      <w:r>
        <w:rPr>
          <w:rFonts w:ascii="Arial" w:hAnsi="Arial" w:cs="Arial"/>
          <w:b/>
          <w:sz w:val="24"/>
          <w:szCs w:val="24"/>
        </w:rPr>
        <w:t>1.3. Aprobación de presupuesto directo</w:t>
      </w:r>
      <w:r>
        <w:rPr>
          <w:rFonts w:ascii="Arial" w:hAnsi="Arial" w:cs="Arial"/>
          <w:b/>
          <w:i/>
          <w:iCs/>
          <w:sz w:val="24"/>
          <w:szCs w:val="24"/>
        </w:rPr>
        <w:t>.</w:t>
      </w:r>
      <w:r>
        <w:rPr>
          <w:rFonts w:ascii="Arial" w:hAnsi="Arial" w:cs="Arial"/>
          <w:b/>
          <w:sz w:val="24"/>
          <w:szCs w:val="24"/>
        </w:rPr>
        <w:t xml:space="preserve"> </w:t>
      </w:r>
      <w:r>
        <w:rPr>
          <w:rFonts w:ascii="Arial" w:hAnsi="Arial" w:cs="Arial"/>
          <w:bCs/>
          <w:sz w:val="24"/>
          <w:szCs w:val="24"/>
        </w:rPr>
        <w:t xml:space="preserve">El diecisiete de diciembre de dos mil veinticuatro, el </w:t>
      </w:r>
      <w:r>
        <w:rPr>
          <w:rFonts w:ascii="Arial" w:hAnsi="Arial" w:cs="Arial"/>
          <w:bCs/>
          <w:i/>
          <w:iCs/>
          <w:sz w:val="24"/>
          <w:szCs w:val="24"/>
        </w:rPr>
        <w:t xml:space="preserve">Ayuntamiento </w:t>
      </w:r>
      <w:r>
        <w:rPr>
          <w:rFonts w:ascii="Arial" w:hAnsi="Arial" w:cs="Arial"/>
          <w:bCs/>
          <w:sz w:val="24"/>
          <w:szCs w:val="24"/>
        </w:rPr>
        <w:t xml:space="preserve">aprobó por unanimidad de votos la solicitud de presupuesto directo y ejercicio de autogobierno de la </w:t>
      </w:r>
      <w:r>
        <w:rPr>
          <w:rFonts w:ascii="Arial" w:hAnsi="Arial" w:cs="Arial"/>
          <w:i/>
          <w:sz w:val="24"/>
          <w:szCs w:val="24"/>
        </w:rPr>
        <w:t>comunidad</w:t>
      </w:r>
      <w:r>
        <w:rPr>
          <w:rFonts w:ascii="Arial" w:hAnsi="Arial" w:cs="Arial"/>
          <w:bCs/>
          <w:i/>
          <w:iCs/>
          <w:sz w:val="24"/>
          <w:szCs w:val="24"/>
        </w:rPr>
        <w:t xml:space="preserve">, </w:t>
      </w:r>
      <w:r>
        <w:rPr>
          <w:rFonts w:ascii="Arial" w:hAnsi="Arial" w:cs="Arial"/>
          <w:bCs/>
          <w:sz w:val="24"/>
          <w:szCs w:val="24"/>
        </w:rPr>
        <w:t xml:space="preserve">por lo que, se instruyó la elección de un </w:t>
      </w:r>
      <w:r>
        <w:rPr>
          <w:rFonts w:ascii="Arial" w:hAnsi="Arial" w:cs="Arial"/>
          <w:i/>
          <w:sz w:val="24"/>
          <w:szCs w:val="24"/>
        </w:rPr>
        <w:t>Concejo Comunal</w:t>
      </w:r>
      <w:r>
        <w:rPr>
          <w:rFonts w:ascii="Arial" w:hAnsi="Arial" w:cs="Arial"/>
          <w:bCs/>
          <w:sz w:val="24"/>
          <w:szCs w:val="24"/>
        </w:rPr>
        <w:t xml:space="preserve"> </w:t>
      </w:r>
      <w:r>
        <w:rPr>
          <w:rFonts w:ascii="Arial" w:hAnsi="Arial" w:cs="Arial"/>
          <w:bCs/>
          <w:i/>
          <w:iCs/>
          <w:sz w:val="24"/>
          <w:szCs w:val="24"/>
        </w:rPr>
        <w:t>Indígena</w:t>
      </w:r>
      <w:r>
        <w:rPr>
          <w:rFonts w:ascii="Arial" w:hAnsi="Arial" w:cs="Arial"/>
          <w:bCs/>
          <w:sz w:val="24"/>
          <w:szCs w:val="24"/>
        </w:rPr>
        <w:t xml:space="preserve"> y la transferencia de recursos, condicionada a la realización de una consulta indígena previa, libre e informada</w:t>
      </w:r>
      <w:r>
        <w:rPr>
          <w:rStyle w:val="Refdenotaalpie"/>
          <w:rFonts w:ascii="Arial" w:hAnsi="Arial" w:cs="Arial"/>
          <w:bCs/>
          <w:sz w:val="24"/>
          <w:szCs w:val="24"/>
        </w:rPr>
        <w:footnoteReference w:id="6"/>
      </w:r>
      <w:r>
        <w:rPr>
          <w:rFonts w:ascii="Arial" w:hAnsi="Arial" w:cs="Arial"/>
          <w:bCs/>
          <w:sz w:val="24"/>
          <w:szCs w:val="24"/>
        </w:rPr>
        <w:t>. Tal cuestión fue publicada en el Periódico Oficial del Gobierno Constitucional del Estado de Michoacán de Ocampo,</w:t>
      </w:r>
      <w:r>
        <w:rPr>
          <w:rFonts w:ascii="Arial" w:hAnsi="Arial" w:cs="Arial"/>
          <w:bCs/>
          <w:i/>
          <w:iCs/>
          <w:sz w:val="24"/>
          <w:szCs w:val="24"/>
        </w:rPr>
        <w:t xml:space="preserve"> </w:t>
      </w:r>
      <w:r>
        <w:rPr>
          <w:rFonts w:ascii="Arial" w:hAnsi="Arial" w:cs="Arial"/>
          <w:bCs/>
          <w:sz w:val="24"/>
          <w:szCs w:val="24"/>
        </w:rPr>
        <w:t>el cinco de marzo de dos mil veinticinco.</w:t>
      </w:r>
    </w:p>
    <w:p w14:paraId="45EE9505" w14:textId="77777777" w:rsidR="00E11D56" w:rsidRDefault="00000000">
      <w:pPr>
        <w:pStyle w:val="Sinespaciado"/>
        <w:spacing w:before="100" w:beforeAutospacing="1" w:after="100" w:afterAutospacing="1" w:line="360" w:lineRule="auto"/>
        <w:jc w:val="both"/>
        <w:rPr>
          <w:rFonts w:ascii="Arial" w:hAnsi="Arial" w:cs="Arial"/>
          <w:bCs/>
          <w:sz w:val="24"/>
          <w:szCs w:val="24"/>
        </w:rPr>
      </w:pPr>
      <w:r>
        <w:rPr>
          <w:rFonts w:ascii="Arial" w:hAnsi="Arial" w:cs="Arial"/>
          <w:b/>
          <w:sz w:val="24"/>
          <w:szCs w:val="24"/>
        </w:rPr>
        <w:t xml:space="preserve">1.4. Conformación del </w:t>
      </w:r>
      <w:r>
        <w:rPr>
          <w:rFonts w:ascii="Arial" w:hAnsi="Arial" w:cs="Arial"/>
          <w:b/>
          <w:i/>
          <w:iCs/>
          <w:sz w:val="24"/>
          <w:szCs w:val="24"/>
        </w:rPr>
        <w:t>Concejo Comunal, Concejo de Autogobierno</w:t>
      </w:r>
      <w:r>
        <w:rPr>
          <w:rFonts w:ascii="Arial" w:hAnsi="Arial" w:cs="Arial"/>
          <w:b/>
          <w:sz w:val="24"/>
          <w:szCs w:val="24"/>
        </w:rPr>
        <w:t xml:space="preserve"> y </w:t>
      </w:r>
      <w:r>
        <w:rPr>
          <w:rFonts w:ascii="Arial" w:hAnsi="Arial" w:cs="Arial"/>
          <w:b/>
          <w:i/>
          <w:iCs/>
          <w:sz w:val="24"/>
          <w:szCs w:val="24"/>
        </w:rPr>
        <w:t>Estatutos.</w:t>
      </w:r>
      <w:r>
        <w:rPr>
          <w:rFonts w:ascii="Arial" w:hAnsi="Arial" w:cs="Arial"/>
          <w:bCs/>
          <w:sz w:val="24"/>
          <w:szCs w:val="24"/>
        </w:rPr>
        <w:t xml:space="preserve"> El veintinueve y treinta de diciembre de dos mil veinticuatro, se llevó a cabo una Asamblea General cuyo objeto fue nombrar a los integrantes del </w:t>
      </w:r>
      <w:r>
        <w:rPr>
          <w:rFonts w:ascii="Arial" w:hAnsi="Arial" w:cs="Arial"/>
          <w:bCs/>
          <w:i/>
          <w:iCs/>
          <w:sz w:val="24"/>
          <w:szCs w:val="24"/>
        </w:rPr>
        <w:t>Concejo Comunal</w:t>
      </w:r>
      <w:r>
        <w:rPr>
          <w:rFonts w:ascii="Arial" w:hAnsi="Arial" w:cs="Arial"/>
          <w:bCs/>
          <w:sz w:val="24"/>
          <w:szCs w:val="24"/>
        </w:rPr>
        <w:t xml:space="preserve">; así como a los del </w:t>
      </w:r>
      <w:r>
        <w:rPr>
          <w:rFonts w:ascii="Arial" w:hAnsi="Arial" w:cs="Arial"/>
          <w:bCs/>
          <w:i/>
          <w:iCs/>
          <w:sz w:val="24"/>
          <w:szCs w:val="24"/>
        </w:rPr>
        <w:t>Concejo de Autogobierno</w:t>
      </w:r>
      <w:r>
        <w:rPr>
          <w:rFonts w:ascii="Arial" w:hAnsi="Arial" w:cs="Arial"/>
          <w:bCs/>
          <w:sz w:val="24"/>
          <w:szCs w:val="24"/>
        </w:rPr>
        <w:t xml:space="preserve"> y los estatutos </w:t>
      </w:r>
      <w:r>
        <w:rPr>
          <w:rFonts w:ascii="Arial" w:hAnsi="Arial" w:cs="Arial"/>
          <w:bCs/>
          <w:sz w:val="24"/>
          <w:szCs w:val="24"/>
        </w:rPr>
        <w:lastRenderedPageBreak/>
        <w:t>que rigen su actuar. Así, el tres de marzo de dos mil veinticinco, se protocolizó y formalizó el Acta en cita</w:t>
      </w:r>
      <w:r>
        <w:rPr>
          <w:rStyle w:val="Refdenotaalpie"/>
          <w:rFonts w:ascii="Arial" w:hAnsi="Arial" w:cs="Arial"/>
          <w:bCs/>
          <w:sz w:val="24"/>
          <w:szCs w:val="24"/>
        </w:rPr>
        <w:footnoteReference w:id="7"/>
      </w:r>
      <w:r>
        <w:rPr>
          <w:rFonts w:ascii="Arial" w:hAnsi="Arial" w:cs="Arial"/>
          <w:bCs/>
          <w:sz w:val="24"/>
          <w:szCs w:val="24"/>
        </w:rPr>
        <w:t xml:space="preserve">. </w:t>
      </w:r>
    </w:p>
    <w:p w14:paraId="6CD7CBBD" w14:textId="77777777" w:rsidR="00E11D56" w:rsidRDefault="00000000">
      <w:pPr>
        <w:spacing w:before="240" w:line="360" w:lineRule="auto"/>
        <w:jc w:val="both"/>
        <w:rPr>
          <w:rFonts w:ascii="Arial" w:hAnsi="Arial" w:cs="Arial"/>
          <w:sz w:val="24"/>
          <w:szCs w:val="24"/>
        </w:rPr>
      </w:pPr>
      <w:r>
        <w:rPr>
          <w:rFonts w:ascii="Arial" w:hAnsi="Arial" w:cs="Arial"/>
          <w:b/>
          <w:bCs/>
          <w:sz w:val="24"/>
          <w:szCs w:val="24"/>
        </w:rPr>
        <w:t xml:space="preserve">1.5. Manifestación de desconocimiento. </w:t>
      </w:r>
      <w:r>
        <w:rPr>
          <w:rFonts w:ascii="Arial" w:hAnsi="Arial" w:cs="Arial"/>
          <w:sz w:val="24"/>
          <w:szCs w:val="24"/>
        </w:rPr>
        <w:t xml:space="preserve">El trece de junio y veintiocho de julio de dos mil veinticinco, se presentaron en el </w:t>
      </w:r>
      <w:r>
        <w:rPr>
          <w:rFonts w:ascii="Arial" w:hAnsi="Arial" w:cs="Arial"/>
          <w:i/>
          <w:iCs/>
          <w:sz w:val="24"/>
          <w:szCs w:val="24"/>
        </w:rPr>
        <w:t>Ayuntamiento</w:t>
      </w:r>
      <w:r>
        <w:rPr>
          <w:rFonts w:ascii="Arial" w:hAnsi="Arial" w:cs="Arial"/>
          <w:sz w:val="24"/>
          <w:szCs w:val="24"/>
        </w:rPr>
        <w:t xml:space="preserve"> copias certificadas de las actas de Asamblea General celebradas los días once de junio y veintiséis de julio de ese año</w:t>
      </w:r>
      <w:r>
        <w:rPr>
          <w:rStyle w:val="Refdenotaalpie"/>
          <w:rFonts w:ascii="Arial" w:hAnsi="Arial" w:cs="Arial"/>
          <w:sz w:val="24"/>
          <w:szCs w:val="24"/>
        </w:rPr>
        <w:footnoteReference w:id="8"/>
      </w:r>
      <w:r>
        <w:rPr>
          <w:rFonts w:ascii="Arial" w:hAnsi="Arial" w:cs="Arial"/>
          <w:sz w:val="24"/>
          <w:szCs w:val="24"/>
        </w:rPr>
        <w:t xml:space="preserve">, en las que se manifestó el desconocimiento del autogobierno y del </w:t>
      </w:r>
      <w:r>
        <w:rPr>
          <w:rFonts w:ascii="Arial" w:hAnsi="Arial" w:cs="Arial"/>
          <w:i/>
          <w:iCs/>
          <w:sz w:val="24"/>
          <w:szCs w:val="24"/>
        </w:rPr>
        <w:t>Concejo Comunal Indígena</w:t>
      </w:r>
      <w:r>
        <w:rPr>
          <w:rFonts w:ascii="Arial" w:hAnsi="Arial" w:cs="Arial"/>
          <w:sz w:val="24"/>
          <w:szCs w:val="24"/>
        </w:rPr>
        <w:t xml:space="preserve">. </w:t>
      </w:r>
    </w:p>
    <w:p w14:paraId="2DAFF338" w14:textId="77777777" w:rsidR="00E11D56" w:rsidRDefault="00000000">
      <w:pPr>
        <w:pStyle w:val="Sinespaciado"/>
        <w:spacing w:before="100" w:beforeAutospacing="1" w:after="100" w:afterAutospacing="1" w:line="360" w:lineRule="auto"/>
        <w:jc w:val="both"/>
        <w:rPr>
          <w:rFonts w:ascii="Arial" w:hAnsi="Arial" w:cs="Arial"/>
          <w:sz w:val="24"/>
          <w:szCs w:val="24"/>
        </w:rPr>
      </w:pPr>
      <w:r>
        <w:rPr>
          <w:rFonts w:ascii="Arial" w:hAnsi="Arial" w:cs="Arial"/>
          <w:b/>
          <w:bCs/>
          <w:sz w:val="24"/>
          <w:szCs w:val="24"/>
        </w:rPr>
        <w:t xml:space="preserve">1.6. Solicitud de información, respuesta del IEM y presentación del TEEM-JDC-005/2026. </w:t>
      </w:r>
      <w:r>
        <w:rPr>
          <w:rFonts w:ascii="Arial" w:hAnsi="Arial" w:cs="Arial"/>
          <w:sz w:val="24"/>
          <w:szCs w:val="24"/>
        </w:rPr>
        <w:t xml:space="preserve">El quince de enero, entre otros, la </w:t>
      </w:r>
      <w:r>
        <w:rPr>
          <w:rFonts w:ascii="Arial" w:hAnsi="Arial" w:cs="Arial"/>
          <w:i/>
          <w:iCs/>
          <w:sz w:val="24"/>
          <w:szCs w:val="24"/>
        </w:rPr>
        <w:t>parte actora</w:t>
      </w:r>
      <w:r>
        <w:rPr>
          <w:rFonts w:ascii="Arial" w:hAnsi="Arial" w:cs="Arial"/>
          <w:sz w:val="24"/>
          <w:szCs w:val="24"/>
        </w:rPr>
        <w:t xml:space="preserve"> solicitó al </w:t>
      </w:r>
      <w:r>
        <w:rPr>
          <w:rFonts w:ascii="Arial" w:hAnsi="Arial" w:cs="Arial"/>
          <w:i/>
          <w:iCs/>
          <w:sz w:val="24"/>
          <w:szCs w:val="24"/>
        </w:rPr>
        <w:t xml:space="preserve">IEM </w:t>
      </w:r>
      <w:r>
        <w:rPr>
          <w:rFonts w:ascii="Arial" w:hAnsi="Arial" w:cs="Arial"/>
          <w:sz w:val="24"/>
          <w:szCs w:val="24"/>
        </w:rPr>
        <w:t xml:space="preserve">información sobre la realización de la consulta y la integración del </w:t>
      </w:r>
      <w:r>
        <w:rPr>
          <w:rFonts w:ascii="Arial" w:hAnsi="Arial" w:cs="Arial"/>
          <w:i/>
          <w:iCs/>
          <w:sz w:val="24"/>
          <w:szCs w:val="24"/>
        </w:rPr>
        <w:t>Concejo Comunal Indígena</w:t>
      </w:r>
      <w:r>
        <w:rPr>
          <w:rStyle w:val="Refdenotaalpie"/>
          <w:rFonts w:ascii="Arial" w:hAnsi="Arial" w:cs="Arial"/>
          <w:i/>
          <w:iCs/>
          <w:sz w:val="24"/>
          <w:szCs w:val="24"/>
        </w:rPr>
        <w:footnoteReference w:id="9"/>
      </w:r>
      <w:r>
        <w:rPr>
          <w:rFonts w:ascii="Arial" w:hAnsi="Arial" w:cs="Arial"/>
          <w:sz w:val="24"/>
          <w:szCs w:val="24"/>
        </w:rPr>
        <w:t xml:space="preserve">. En respuesta, el veintiuno siguiente, el </w:t>
      </w:r>
      <w:r>
        <w:rPr>
          <w:rFonts w:ascii="Arial" w:hAnsi="Arial" w:cs="Arial"/>
          <w:i/>
          <w:iCs/>
          <w:sz w:val="24"/>
          <w:szCs w:val="24"/>
        </w:rPr>
        <w:t>Instituto</w:t>
      </w:r>
      <w:r>
        <w:rPr>
          <w:rFonts w:ascii="Arial" w:hAnsi="Arial" w:cs="Arial"/>
          <w:sz w:val="24"/>
          <w:szCs w:val="24"/>
        </w:rPr>
        <w:t xml:space="preserve"> informó que, el cinco de marzo de dos mil veinticinco, tras la publicación en el Periódico Oficial el Estado, del acta constitutiva del Concejo en cita y su posterior integración, el ocho de agosto de ese año, el expediente fue archivado mediante acuerdo, al quedar sin materia</w:t>
      </w:r>
      <w:r>
        <w:rPr>
          <w:rStyle w:val="Refdenotaalpie"/>
          <w:rFonts w:ascii="Arial" w:hAnsi="Arial" w:cs="Arial"/>
          <w:sz w:val="24"/>
          <w:szCs w:val="24"/>
        </w:rPr>
        <w:footnoteReference w:id="10"/>
      </w:r>
      <w:r>
        <w:rPr>
          <w:rFonts w:ascii="Arial" w:hAnsi="Arial" w:cs="Arial"/>
          <w:sz w:val="24"/>
          <w:szCs w:val="24"/>
        </w:rPr>
        <w:t xml:space="preserve">. Inconforme, el once de febrero, uno de los </w:t>
      </w:r>
      <w:r>
        <w:rPr>
          <w:rFonts w:ascii="Arial" w:hAnsi="Arial" w:cs="Arial"/>
          <w:i/>
          <w:iCs/>
          <w:sz w:val="24"/>
          <w:szCs w:val="24"/>
        </w:rPr>
        <w:t xml:space="preserve">actores </w:t>
      </w:r>
      <w:r>
        <w:rPr>
          <w:rFonts w:ascii="Arial" w:hAnsi="Arial" w:cs="Arial"/>
          <w:sz w:val="24"/>
          <w:szCs w:val="24"/>
        </w:rPr>
        <w:t xml:space="preserve">-entre otros-, promovió el </w:t>
      </w:r>
      <w:r>
        <w:rPr>
          <w:rFonts w:ascii="Arial" w:hAnsi="Arial" w:cs="Arial"/>
          <w:i/>
          <w:iCs/>
          <w:sz w:val="24"/>
          <w:szCs w:val="24"/>
        </w:rPr>
        <w:t>juicio de la ciudadanía</w:t>
      </w:r>
      <w:r>
        <w:rPr>
          <w:rFonts w:ascii="Arial" w:hAnsi="Arial" w:cs="Arial"/>
          <w:sz w:val="24"/>
          <w:szCs w:val="24"/>
        </w:rPr>
        <w:t xml:space="preserve"> </w:t>
      </w:r>
      <w:r>
        <w:rPr>
          <w:rFonts w:ascii="Arial" w:hAnsi="Arial" w:cs="Arial"/>
          <w:b/>
          <w:bCs/>
          <w:sz w:val="24"/>
          <w:szCs w:val="24"/>
        </w:rPr>
        <w:t>TEEM-JDC-005/2026</w:t>
      </w:r>
      <w:r>
        <w:rPr>
          <w:rFonts w:ascii="Arial" w:hAnsi="Arial" w:cs="Arial"/>
          <w:sz w:val="24"/>
          <w:szCs w:val="24"/>
        </w:rPr>
        <w:t xml:space="preserve">, al considerar que existía omisión del </w:t>
      </w:r>
      <w:r>
        <w:rPr>
          <w:rFonts w:ascii="Arial" w:hAnsi="Arial" w:cs="Arial"/>
          <w:i/>
          <w:iCs/>
          <w:sz w:val="24"/>
          <w:szCs w:val="24"/>
        </w:rPr>
        <w:t>Ayuntamiento</w:t>
      </w:r>
      <w:r>
        <w:rPr>
          <w:rFonts w:ascii="Arial" w:hAnsi="Arial" w:cs="Arial"/>
          <w:sz w:val="24"/>
          <w:szCs w:val="24"/>
        </w:rPr>
        <w:t xml:space="preserve"> en la realización de la consulta indígena y en el pronunciamiento respecto del acta de desconocimiento del referido Concejo.</w:t>
      </w:r>
    </w:p>
    <w:p w14:paraId="52127200" w14:textId="77777777" w:rsidR="00E11D56" w:rsidRDefault="00000000">
      <w:pPr>
        <w:pStyle w:val="Sinespaciado"/>
        <w:spacing w:before="100" w:beforeAutospacing="1" w:after="100" w:afterAutospacing="1" w:line="360" w:lineRule="auto"/>
        <w:jc w:val="both"/>
        <w:rPr>
          <w:rFonts w:ascii="Arial" w:hAnsi="Arial" w:cs="Arial"/>
          <w:sz w:val="24"/>
          <w:szCs w:val="24"/>
        </w:rPr>
      </w:pPr>
      <w:r>
        <w:rPr>
          <w:rFonts w:ascii="Arial" w:hAnsi="Arial" w:cs="Arial"/>
          <w:b/>
          <w:bCs/>
          <w:sz w:val="24"/>
          <w:szCs w:val="24"/>
        </w:rPr>
        <w:t>1.7. TEEM-JDC-036/20</w:t>
      </w:r>
      <w:r w:rsidRPr="00DD1F59">
        <w:rPr>
          <w:rFonts w:ascii="Arial" w:hAnsi="Arial" w:cs="Arial"/>
          <w:b/>
          <w:bCs/>
          <w:sz w:val="24"/>
          <w:szCs w:val="24"/>
        </w:rPr>
        <w:t>26</w:t>
      </w:r>
      <w:r>
        <w:rPr>
          <w:rFonts w:ascii="Arial" w:hAnsi="Arial" w:cs="Arial"/>
          <w:b/>
          <w:bCs/>
          <w:sz w:val="24"/>
          <w:szCs w:val="24"/>
        </w:rPr>
        <w:t xml:space="preserve"> y vista. </w:t>
      </w:r>
      <w:r>
        <w:rPr>
          <w:rFonts w:ascii="Arial" w:hAnsi="Arial" w:cs="Arial"/>
          <w:sz w:val="24"/>
          <w:szCs w:val="24"/>
        </w:rPr>
        <w:t xml:space="preserve">El veintinueve de abril, se recibió ante este Tribunal Electoral el </w:t>
      </w:r>
      <w:r>
        <w:rPr>
          <w:rFonts w:ascii="Arial" w:hAnsi="Arial" w:cs="Arial"/>
          <w:i/>
          <w:iCs/>
          <w:sz w:val="24"/>
          <w:szCs w:val="24"/>
        </w:rPr>
        <w:t>juicio de la ciudadanía</w:t>
      </w:r>
      <w:r>
        <w:rPr>
          <w:rFonts w:ascii="Arial" w:hAnsi="Arial" w:cs="Arial"/>
          <w:sz w:val="24"/>
          <w:szCs w:val="24"/>
        </w:rPr>
        <w:t xml:space="preserve"> en cita, promovido en contra del </w:t>
      </w:r>
      <w:proofErr w:type="gramStart"/>
      <w:r>
        <w:rPr>
          <w:rFonts w:ascii="Arial" w:hAnsi="Arial" w:cs="Arial"/>
          <w:sz w:val="24"/>
          <w:szCs w:val="24"/>
        </w:rPr>
        <w:t>Presidente</w:t>
      </w:r>
      <w:proofErr w:type="gramEnd"/>
      <w:r>
        <w:rPr>
          <w:rFonts w:ascii="Arial" w:hAnsi="Arial" w:cs="Arial"/>
          <w:sz w:val="24"/>
          <w:szCs w:val="24"/>
        </w:rPr>
        <w:t xml:space="preserve"> del </w:t>
      </w:r>
      <w:r>
        <w:rPr>
          <w:rFonts w:ascii="Arial" w:hAnsi="Arial" w:cs="Arial"/>
          <w:i/>
          <w:iCs/>
          <w:sz w:val="24"/>
          <w:szCs w:val="24"/>
        </w:rPr>
        <w:t>Ayuntamiento</w:t>
      </w:r>
      <w:r>
        <w:rPr>
          <w:rFonts w:ascii="Arial" w:hAnsi="Arial" w:cs="Arial"/>
          <w:sz w:val="24"/>
          <w:szCs w:val="24"/>
        </w:rPr>
        <w:t xml:space="preserve"> por la presunta omisión de reconocer el proceso electivo de jefe de tenencia celebrado mediante asamblea comunitaria el tres de marzo, y de expedir el nombramiento correspondiente. Posteriormente, el veintidós de mayo, entre otros la </w:t>
      </w:r>
      <w:r>
        <w:rPr>
          <w:rFonts w:ascii="Arial" w:hAnsi="Arial" w:cs="Arial"/>
          <w:i/>
          <w:iCs/>
          <w:sz w:val="24"/>
          <w:szCs w:val="24"/>
        </w:rPr>
        <w:t>parte actora</w:t>
      </w:r>
      <w:r>
        <w:rPr>
          <w:rFonts w:ascii="Arial" w:hAnsi="Arial" w:cs="Arial"/>
          <w:sz w:val="24"/>
          <w:szCs w:val="24"/>
        </w:rPr>
        <w:t xml:space="preserve"> </w:t>
      </w:r>
      <w:r>
        <w:rPr>
          <w:rFonts w:ascii="Arial" w:hAnsi="Arial" w:cs="Arial"/>
          <w:b/>
          <w:bCs/>
          <w:sz w:val="24"/>
          <w:szCs w:val="24"/>
        </w:rPr>
        <w:t>desahogó la vista</w:t>
      </w:r>
      <w:r>
        <w:rPr>
          <w:rFonts w:ascii="Arial" w:hAnsi="Arial" w:cs="Arial"/>
          <w:sz w:val="24"/>
          <w:szCs w:val="24"/>
        </w:rPr>
        <w:t xml:space="preserve"> otorgada dentro de dicho expediente y solicitó ampliar la demanda; sin embargo, tal petición se declaró improcedente por no guardar relación con la </w:t>
      </w:r>
      <w:r>
        <w:rPr>
          <w:rFonts w:ascii="Arial" w:hAnsi="Arial"/>
          <w:i/>
          <w:sz w:val="24"/>
        </w:rPr>
        <w:t>litis</w:t>
      </w:r>
      <w:r>
        <w:rPr>
          <w:rFonts w:ascii="Arial" w:hAnsi="Arial" w:cs="Arial"/>
          <w:sz w:val="24"/>
          <w:szCs w:val="24"/>
        </w:rPr>
        <w:t xml:space="preserve"> planteada; no obstante, este </w:t>
      </w:r>
      <w:r>
        <w:rPr>
          <w:rFonts w:ascii="Arial" w:hAnsi="Arial" w:cs="Arial"/>
          <w:i/>
          <w:iCs/>
          <w:sz w:val="24"/>
          <w:szCs w:val="24"/>
        </w:rPr>
        <w:t>Tribunal Electoral</w:t>
      </w:r>
      <w:r>
        <w:rPr>
          <w:rFonts w:ascii="Arial" w:hAnsi="Arial" w:cs="Arial"/>
          <w:sz w:val="24"/>
          <w:szCs w:val="24"/>
        </w:rPr>
        <w:t xml:space="preserve"> ordenó la apertura del presente </w:t>
      </w:r>
      <w:r>
        <w:rPr>
          <w:rFonts w:ascii="Arial" w:hAnsi="Arial" w:cs="Arial"/>
          <w:i/>
          <w:iCs/>
          <w:sz w:val="24"/>
          <w:szCs w:val="24"/>
        </w:rPr>
        <w:t>juicio de la ciudadanía</w:t>
      </w:r>
      <w:r>
        <w:rPr>
          <w:rFonts w:ascii="Arial" w:hAnsi="Arial" w:cs="Arial"/>
          <w:sz w:val="24"/>
          <w:szCs w:val="24"/>
        </w:rPr>
        <w:t>.</w:t>
      </w:r>
    </w:p>
    <w:p w14:paraId="28AC4EDB" w14:textId="77777777" w:rsidR="00E11D56" w:rsidRDefault="00000000">
      <w:pPr>
        <w:pStyle w:val="Ttulo2"/>
        <w:numPr>
          <w:ilvl w:val="0"/>
          <w:numId w:val="38"/>
        </w:numPr>
        <w:spacing w:before="100" w:beforeAutospacing="1" w:after="100" w:afterAutospacing="1" w:line="360" w:lineRule="auto"/>
        <w:ind w:left="0" w:right="-91" w:firstLine="0"/>
        <w:jc w:val="center"/>
        <w:rPr>
          <w:rFonts w:ascii="Arial" w:hAnsi="Arial" w:cs="Arial"/>
          <w:b/>
          <w:bCs/>
          <w:color w:val="000000" w:themeColor="text1"/>
          <w:sz w:val="24"/>
          <w:szCs w:val="24"/>
          <w:lang w:eastAsia="es-ES"/>
        </w:rPr>
      </w:pPr>
      <w:bookmarkStart w:id="5" w:name="_Toc234501833"/>
      <w:r>
        <w:rPr>
          <w:rFonts w:ascii="Arial" w:hAnsi="Arial" w:cs="Arial"/>
          <w:b/>
          <w:bCs/>
          <w:color w:val="000000" w:themeColor="text1"/>
          <w:sz w:val="24"/>
          <w:szCs w:val="24"/>
          <w:lang w:eastAsia="es-ES"/>
        </w:rPr>
        <w:lastRenderedPageBreak/>
        <w:t>TRÁMITE</w:t>
      </w:r>
      <w:bookmarkEnd w:id="5"/>
    </w:p>
    <w:p w14:paraId="7559EDC3" w14:textId="77777777" w:rsidR="00E11D56" w:rsidRDefault="00000000">
      <w:pPr>
        <w:pStyle w:val="NormalWeb"/>
        <w:spacing w:line="360" w:lineRule="auto"/>
        <w:jc w:val="both"/>
        <w:rPr>
          <w:rFonts w:ascii="Arial" w:hAnsi="Arial" w:cs="Arial"/>
        </w:rPr>
      </w:pPr>
      <w:r>
        <w:rPr>
          <w:rFonts w:ascii="Arial" w:hAnsi="Arial" w:cs="Arial"/>
          <w:b/>
        </w:rPr>
        <w:t>2.1. Recepción y turno a ponencia.</w:t>
      </w:r>
      <w:r>
        <w:rPr>
          <w:rFonts w:ascii="Arial" w:hAnsi="Arial" w:cs="Arial"/>
        </w:rPr>
        <w:t xml:space="preserve"> </w:t>
      </w:r>
      <w:r>
        <w:rPr>
          <w:rFonts w:ascii="Arial" w:hAnsi="Arial" w:cs="Arial"/>
          <w:bCs/>
        </w:rPr>
        <w:t>El once de junio</w:t>
      </w:r>
      <w:r>
        <w:rPr>
          <w:rFonts w:ascii="Arial" w:hAnsi="Arial" w:cs="Arial"/>
          <w:b/>
        </w:rPr>
        <w:t xml:space="preserve">, </w:t>
      </w:r>
      <w:r>
        <w:rPr>
          <w:rFonts w:ascii="Arial" w:hAnsi="Arial" w:cs="Arial"/>
        </w:rPr>
        <w:t xml:space="preserve">la Magistrada </w:t>
      </w:r>
      <w:proofErr w:type="gramStart"/>
      <w:r>
        <w:rPr>
          <w:rFonts w:ascii="Arial" w:hAnsi="Arial" w:cs="Arial"/>
        </w:rPr>
        <w:t>Presidenta</w:t>
      </w:r>
      <w:proofErr w:type="gramEnd"/>
      <w:r>
        <w:rPr>
          <w:rFonts w:ascii="Arial" w:hAnsi="Arial" w:cs="Arial"/>
        </w:rPr>
        <w:t xml:space="preserve"> de este </w:t>
      </w:r>
      <w:r>
        <w:rPr>
          <w:rFonts w:ascii="Arial" w:hAnsi="Arial" w:cs="Arial"/>
          <w:i/>
          <w:iCs/>
        </w:rPr>
        <w:t>Tribunal Electoral</w:t>
      </w:r>
      <w:r>
        <w:rPr>
          <w:rFonts w:ascii="Arial" w:hAnsi="Arial" w:cs="Arial"/>
        </w:rPr>
        <w:t xml:space="preserve"> acordó integrar el expediente y turnarlo a la Ponencia a cargo de la Magistrada Alma Rosa Bahena Villalobos, para los efectos correspondientes</w:t>
      </w:r>
      <w:r>
        <w:rPr>
          <w:rStyle w:val="Refdenotaalpie"/>
          <w:rFonts w:ascii="Arial" w:hAnsi="Arial" w:cs="Arial"/>
        </w:rPr>
        <w:footnoteReference w:id="11"/>
      </w:r>
      <w:r>
        <w:rPr>
          <w:rFonts w:ascii="Arial" w:hAnsi="Arial" w:cs="Arial"/>
        </w:rPr>
        <w:t>.</w:t>
      </w:r>
    </w:p>
    <w:p w14:paraId="1603599D" w14:textId="77777777" w:rsidR="00E11D56" w:rsidRDefault="00000000">
      <w:pPr>
        <w:pStyle w:val="Sinespaciado"/>
        <w:spacing w:before="100" w:beforeAutospacing="1" w:after="100" w:afterAutospacing="1" w:line="360" w:lineRule="auto"/>
        <w:jc w:val="both"/>
        <w:rPr>
          <w:rFonts w:ascii="Arial" w:hAnsi="Arial" w:cs="Arial"/>
          <w:sz w:val="24"/>
          <w:szCs w:val="24"/>
        </w:rPr>
      </w:pPr>
      <w:r>
        <w:rPr>
          <w:rFonts w:ascii="Arial" w:hAnsi="Arial" w:cs="Arial"/>
          <w:b/>
          <w:sz w:val="24"/>
          <w:szCs w:val="24"/>
        </w:rPr>
        <w:t>2.2. Radicación y requerimiento de trámite de ley.</w:t>
      </w:r>
      <w:r>
        <w:rPr>
          <w:rFonts w:ascii="Arial" w:hAnsi="Arial" w:cs="Arial"/>
          <w:sz w:val="24"/>
          <w:szCs w:val="24"/>
        </w:rPr>
        <w:t xml:space="preserve"> El doce siguiente, se radicó el </w:t>
      </w:r>
      <w:r>
        <w:rPr>
          <w:rFonts w:ascii="Arial" w:hAnsi="Arial" w:cs="Arial"/>
          <w:i/>
          <w:iCs/>
          <w:sz w:val="24"/>
          <w:szCs w:val="24"/>
        </w:rPr>
        <w:t>juicio de la ciudadanía</w:t>
      </w:r>
      <w:r>
        <w:rPr>
          <w:rFonts w:ascii="Arial" w:hAnsi="Arial" w:cs="Arial"/>
          <w:sz w:val="24"/>
          <w:szCs w:val="24"/>
        </w:rPr>
        <w:t xml:space="preserve"> y se requirió a la </w:t>
      </w:r>
      <w:r>
        <w:rPr>
          <w:rFonts w:ascii="Arial" w:hAnsi="Arial" w:cs="Arial"/>
          <w:i/>
          <w:iCs/>
          <w:sz w:val="24"/>
          <w:szCs w:val="24"/>
        </w:rPr>
        <w:t xml:space="preserve">autoridad responsable </w:t>
      </w:r>
      <w:r>
        <w:rPr>
          <w:rFonts w:ascii="Arial" w:hAnsi="Arial" w:cs="Arial"/>
          <w:sz w:val="24"/>
          <w:szCs w:val="24"/>
        </w:rPr>
        <w:t>para que realizara el trámite de ley</w:t>
      </w:r>
      <w:r>
        <w:rPr>
          <w:rStyle w:val="Refdenotaalpie"/>
          <w:rFonts w:ascii="Arial" w:hAnsi="Arial" w:cs="Arial"/>
          <w:sz w:val="24"/>
          <w:szCs w:val="24"/>
        </w:rPr>
        <w:footnoteReference w:id="12"/>
      </w:r>
      <w:r>
        <w:rPr>
          <w:rFonts w:ascii="Arial" w:hAnsi="Arial" w:cs="Arial"/>
          <w:sz w:val="24"/>
          <w:szCs w:val="24"/>
        </w:rPr>
        <w:t xml:space="preserve">. </w:t>
      </w:r>
    </w:p>
    <w:p w14:paraId="1991949C" w14:textId="77777777" w:rsidR="00E11D56" w:rsidRDefault="00000000">
      <w:pPr>
        <w:pStyle w:val="Sinespaciado"/>
        <w:spacing w:before="100" w:beforeAutospacing="1" w:after="100" w:afterAutospacing="1" w:line="360" w:lineRule="auto"/>
        <w:jc w:val="both"/>
        <w:rPr>
          <w:rFonts w:ascii="Arial" w:hAnsi="Arial" w:cs="Arial"/>
          <w:sz w:val="24"/>
          <w:szCs w:val="24"/>
          <w:lang w:val="es-ES"/>
        </w:rPr>
      </w:pPr>
      <w:r>
        <w:rPr>
          <w:rFonts w:ascii="Arial" w:hAnsi="Arial" w:cs="Arial"/>
          <w:b/>
          <w:sz w:val="24"/>
          <w:szCs w:val="24"/>
          <w:lang w:val="es-ES"/>
        </w:rPr>
        <w:t>2.3. Cumplimiento.</w:t>
      </w:r>
      <w:r>
        <w:rPr>
          <w:rFonts w:ascii="Arial" w:hAnsi="Arial" w:cs="Arial"/>
          <w:sz w:val="24"/>
          <w:szCs w:val="24"/>
          <w:lang w:val="es-ES"/>
        </w:rPr>
        <w:t xml:space="preserve"> Mediante acuerdo de veinte de febrero, se tuvo a la </w:t>
      </w:r>
      <w:r>
        <w:rPr>
          <w:rFonts w:ascii="Arial" w:hAnsi="Arial" w:cs="Arial"/>
          <w:i/>
          <w:sz w:val="24"/>
          <w:szCs w:val="24"/>
          <w:lang w:val="es-ES"/>
        </w:rPr>
        <w:t>autoridad responsable</w:t>
      </w:r>
      <w:r>
        <w:rPr>
          <w:rFonts w:ascii="Arial" w:hAnsi="Arial" w:cs="Arial"/>
          <w:sz w:val="24"/>
          <w:szCs w:val="24"/>
          <w:lang w:val="es-ES"/>
        </w:rPr>
        <w:t xml:space="preserve"> cumpliendo con dicho trámite</w:t>
      </w:r>
      <w:r>
        <w:rPr>
          <w:rStyle w:val="Refdenotaalpie"/>
          <w:rFonts w:ascii="Arial" w:hAnsi="Arial" w:cs="Arial"/>
          <w:sz w:val="24"/>
          <w:szCs w:val="24"/>
          <w:lang w:val="es-ES"/>
        </w:rPr>
        <w:footnoteReference w:id="13"/>
      </w:r>
      <w:r>
        <w:rPr>
          <w:rFonts w:ascii="Arial" w:hAnsi="Arial" w:cs="Arial"/>
          <w:sz w:val="24"/>
          <w:szCs w:val="24"/>
          <w:lang w:val="es-ES"/>
        </w:rPr>
        <w:t>.</w:t>
      </w:r>
    </w:p>
    <w:p w14:paraId="00FEDD79" w14:textId="77777777" w:rsidR="00E11D56" w:rsidRDefault="00000000">
      <w:pPr>
        <w:pStyle w:val="Sinespaciado"/>
        <w:spacing w:before="100" w:beforeAutospacing="1" w:after="100" w:afterAutospacing="1" w:line="360" w:lineRule="auto"/>
        <w:jc w:val="both"/>
        <w:rPr>
          <w:rFonts w:ascii="Arial" w:hAnsi="Arial" w:cs="Arial"/>
          <w:b/>
          <w:bCs/>
          <w:sz w:val="24"/>
          <w:szCs w:val="24"/>
          <w:lang w:val="es-ES"/>
        </w:rPr>
      </w:pPr>
      <w:r>
        <w:rPr>
          <w:rFonts w:ascii="Arial" w:hAnsi="Arial" w:cs="Arial"/>
          <w:b/>
          <w:bCs/>
          <w:sz w:val="24"/>
          <w:szCs w:val="24"/>
          <w:lang w:val="es-ES"/>
        </w:rPr>
        <w:t>2.4. Admisión y cierre de instrucción.</w:t>
      </w:r>
      <w:r>
        <w:rPr>
          <w:rFonts w:ascii="Arial" w:hAnsi="Arial" w:cs="Arial"/>
          <w:sz w:val="24"/>
          <w:szCs w:val="24"/>
          <w:lang w:val="es-ES"/>
        </w:rPr>
        <w:t xml:space="preserve"> En su oportunidad se tuvo por recibido el requerimiento efectuado, se admitió a trámite el </w:t>
      </w:r>
      <w:r>
        <w:rPr>
          <w:rFonts w:ascii="Arial" w:hAnsi="Arial" w:cs="Arial"/>
          <w:i/>
          <w:iCs/>
          <w:sz w:val="24"/>
          <w:szCs w:val="24"/>
          <w:lang w:val="es-ES"/>
        </w:rPr>
        <w:t xml:space="preserve">juicio de la ciudadanía </w:t>
      </w:r>
      <w:r>
        <w:rPr>
          <w:rFonts w:ascii="Arial" w:hAnsi="Arial" w:cs="Arial"/>
          <w:sz w:val="24"/>
          <w:szCs w:val="24"/>
          <w:lang w:val="es-ES"/>
        </w:rPr>
        <w:t>y al no existir diligencia pendiente por desahogar se declaró cerrada la instrucción, quedando el expediente en estado de dictar sentencia</w:t>
      </w:r>
      <w:r>
        <w:rPr>
          <w:rStyle w:val="Refdenotaalpie"/>
          <w:rFonts w:ascii="Arial" w:hAnsi="Arial" w:cs="Arial"/>
          <w:sz w:val="24"/>
          <w:szCs w:val="24"/>
          <w:lang w:val="es-ES"/>
        </w:rPr>
        <w:footnoteReference w:id="14"/>
      </w:r>
      <w:r>
        <w:rPr>
          <w:rFonts w:ascii="Arial" w:hAnsi="Arial" w:cs="Arial"/>
          <w:sz w:val="24"/>
          <w:szCs w:val="24"/>
          <w:lang w:val="es-ES"/>
        </w:rPr>
        <w:t>.</w:t>
      </w:r>
    </w:p>
    <w:p w14:paraId="4C83124B" w14:textId="77777777" w:rsidR="00E11D56" w:rsidRDefault="00000000">
      <w:pPr>
        <w:pStyle w:val="Ttulo2"/>
        <w:numPr>
          <w:ilvl w:val="0"/>
          <w:numId w:val="38"/>
        </w:numPr>
        <w:spacing w:before="100" w:beforeAutospacing="1" w:after="100" w:afterAutospacing="1" w:line="360" w:lineRule="auto"/>
        <w:ind w:left="0" w:right="-91" w:firstLine="0"/>
        <w:jc w:val="center"/>
        <w:rPr>
          <w:rFonts w:ascii="Arial" w:hAnsi="Arial" w:cs="Arial"/>
          <w:b/>
          <w:bCs/>
          <w:color w:val="000000" w:themeColor="text1"/>
          <w:sz w:val="24"/>
          <w:szCs w:val="24"/>
          <w:lang w:val="es-ES_tradnl"/>
        </w:rPr>
      </w:pPr>
      <w:bookmarkStart w:id="6" w:name="_Toc196221394"/>
      <w:bookmarkStart w:id="7" w:name="_Toc234501834"/>
      <w:bookmarkEnd w:id="2"/>
      <w:bookmarkEnd w:id="4"/>
      <w:r>
        <w:rPr>
          <w:rFonts w:ascii="Arial" w:hAnsi="Arial" w:cs="Arial"/>
          <w:b/>
          <w:bCs/>
          <w:color w:val="000000" w:themeColor="text1"/>
          <w:sz w:val="24"/>
          <w:szCs w:val="24"/>
          <w:lang w:val="es-ES_tradnl"/>
        </w:rPr>
        <w:t>COMPETENCIA</w:t>
      </w:r>
      <w:bookmarkEnd w:id="6"/>
      <w:bookmarkEnd w:id="7"/>
    </w:p>
    <w:p w14:paraId="5B61AEF2" w14:textId="77777777" w:rsidR="00E11D56" w:rsidRDefault="00000000">
      <w:pPr>
        <w:spacing w:before="240" w:line="360" w:lineRule="auto"/>
        <w:jc w:val="both"/>
        <w:rPr>
          <w:rFonts w:ascii="Arial" w:hAnsi="Arial" w:cs="Arial"/>
          <w:sz w:val="24"/>
          <w:szCs w:val="24"/>
        </w:rPr>
      </w:pPr>
      <w:r>
        <w:rPr>
          <w:rFonts w:ascii="Arial" w:hAnsi="Arial" w:cs="Arial"/>
          <w:sz w:val="24"/>
          <w:szCs w:val="24"/>
        </w:rPr>
        <w:t>El Pleno de este </w:t>
      </w:r>
      <w:r>
        <w:rPr>
          <w:rFonts w:ascii="Arial" w:hAnsi="Arial" w:cs="Arial"/>
          <w:i/>
          <w:iCs/>
          <w:sz w:val="24"/>
          <w:szCs w:val="24"/>
        </w:rPr>
        <w:t>Tribunal Electoral</w:t>
      </w:r>
      <w:r>
        <w:rPr>
          <w:rFonts w:ascii="Arial" w:hAnsi="Arial" w:cs="Arial"/>
          <w:sz w:val="24"/>
          <w:szCs w:val="24"/>
        </w:rPr>
        <w:t> es competente para conocer y resolver el </w:t>
      </w:r>
      <w:r>
        <w:rPr>
          <w:rFonts w:ascii="Arial" w:hAnsi="Arial" w:cs="Arial"/>
          <w:i/>
          <w:iCs/>
          <w:sz w:val="24"/>
          <w:szCs w:val="24"/>
        </w:rPr>
        <w:t>juicio de la ciudadanía</w:t>
      </w:r>
      <w:r>
        <w:rPr>
          <w:rFonts w:ascii="Arial" w:hAnsi="Arial" w:cs="Arial"/>
          <w:sz w:val="24"/>
          <w:szCs w:val="24"/>
        </w:rPr>
        <w:t xml:space="preserve">, dado que fue promovido por ciudadanos originarios de la </w:t>
      </w:r>
      <w:r>
        <w:rPr>
          <w:rFonts w:ascii="Arial" w:hAnsi="Arial" w:cs="Arial"/>
          <w:i/>
          <w:iCs/>
          <w:sz w:val="24"/>
          <w:szCs w:val="24"/>
        </w:rPr>
        <w:t>comunidad</w:t>
      </w:r>
      <w:r>
        <w:rPr>
          <w:rFonts w:ascii="Arial" w:hAnsi="Arial" w:cs="Arial"/>
          <w:sz w:val="24"/>
          <w:szCs w:val="24"/>
        </w:rPr>
        <w:t xml:space="preserve"> por su propio derecho</w:t>
      </w:r>
      <w:r>
        <w:rPr>
          <w:rFonts w:ascii="Arial" w:hAnsi="Arial" w:cs="Arial"/>
          <w:i/>
          <w:iCs/>
          <w:sz w:val="24"/>
          <w:szCs w:val="24"/>
        </w:rPr>
        <w:t>,</w:t>
      </w:r>
      <w:r>
        <w:rPr>
          <w:rFonts w:ascii="Arial" w:hAnsi="Arial" w:cs="Arial"/>
          <w:sz w:val="24"/>
          <w:szCs w:val="24"/>
        </w:rPr>
        <w:t xml:space="preserve"> quienes demandan la omisión del </w:t>
      </w:r>
      <w:r>
        <w:rPr>
          <w:rFonts w:ascii="Arial" w:hAnsi="Arial" w:cs="Arial"/>
          <w:i/>
          <w:iCs/>
          <w:sz w:val="24"/>
          <w:szCs w:val="24"/>
        </w:rPr>
        <w:t>Instituto</w:t>
      </w:r>
      <w:r>
        <w:rPr>
          <w:rFonts w:ascii="Arial" w:hAnsi="Arial" w:cs="Arial"/>
          <w:sz w:val="24"/>
          <w:szCs w:val="24"/>
        </w:rPr>
        <w:t xml:space="preserve"> de realizar la consulta indígena a la comunidad, a fin de determinar si la mayoría de la población está de acuerdo en la administración directa de recursos en el ejercicio de su derecho de autogobierno</w:t>
      </w:r>
      <w:r>
        <w:rPr>
          <w:rFonts w:ascii="Arial" w:hAnsi="Arial" w:cs="Arial"/>
          <w:i/>
          <w:iCs/>
          <w:sz w:val="24"/>
          <w:szCs w:val="24"/>
        </w:rPr>
        <w:t xml:space="preserve">, </w:t>
      </w:r>
      <w:r>
        <w:rPr>
          <w:rFonts w:ascii="Arial" w:hAnsi="Arial" w:cs="Arial"/>
          <w:sz w:val="24"/>
          <w:szCs w:val="24"/>
        </w:rPr>
        <w:t>lo que a su juicio vulnera sus derechos de una consulta indígena, de autonomía y libre determinación.</w:t>
      </w:r>
    </w:p>
    <w:p w14:paraId="4D816E34" w14:textId="77777777" w:rsidR="00E11D56" w:rsidRDefault="00000000">
      <w:pPr>
        <w:spacing w:before="100" w:beforeAutospacing="1" w:after="100" w:afterAutospacing="1" w:line="360" w:lineRule="auto"/>
        <w:jc w:val="both"/>
        <w:rPr>
          <w:rFonts w:ascii="Arial" w:hAnsi="Arial" w:cs="Arial"/>
          <w:i/>
          <w:iCs/>
          <w:sz w:val="24"/>
          <w:szCs w:val="24"/>
        </w:rPr>
      </w:pPr>
      <w:r>
        <w:rPr>
          <w:rFonts w:ascii="Arial" w:hAnsi="Arial" w:cs="Arial"/>
          <w:sz w:val="24"/>
          <w:szCs w:val="24"/>
        </w:rPr>
        <w:t xml:space="preserve">Ello, de conformidad con lo dispuesto en los artículos 98 A de la </w:t>
      </w:r>
      <w:r>
        <w:rPr>
          <w:rFonts w:ascii="Arial" w:hAnsi="Arial" w:cs="Arial"/>
          <w:i/>
          <w:iCs/>
          <w:sz w:val="24"/>
          <w:szCs w:val="24"/>
        </w:rPr>
        <w:t>Constitución Local</w:t>
      </w:r>
      <w:r>
        <w:rPr>
          <w:rFonts w:ascii="Arial" w:hAnsi="Arial" w:cs="Arial"/>
          <w:sz w:val="24"/>
          <w:szCs w:val="24"/>
        </w:rPr>
        <w:t>; 60, 64, fracción XIII y 66, fracciones II y III del </w:t>
      </w:r>
      <w:r>
        <w:rPr>
          <w:rFonts w:ascii="Arial" w:hAnsi="Arial" w:cs="Arial"/>
          <w:i/>
          <w:iCs/>
          <w:sz w:val="24"/>
          <w:szCs w:val="24"/>
        </w:rPr>
        <w:t>Código Electoral</w:t>
      </w:r>
      <w:r>
        <w:rPr>
          <w:rFonts w:ascii="Arial" w:hAnsi="Arial" w:cs="Arial"/>
          <w:sz w:val="24"/>
          <w:szCs w:val="24"/>
        </w:rPr>
        <w:t>; así como 1, 4, inciso d), 5, 73, 74, inciso c) y 76, fracción III de la </w:t>
      </w:r>
      <w:r>
        <w:rPr>
          <w:rFonts w:ascii="Arial" w:hAnsi="Arial" w:cs="Arial"/>
          <w:i/>
          <w:iCs/>
          <w:sz w:val="24"/>
          <w:szCs w:val="24"/>
        </w:rPr>
        <w:t>Ley de Justicia Electoral.</w:t>
      </w:r>
    </w:p>
    <w:p w14:paraId="796D9721" w14:textId="77777777" w:rsidR="00E11D56" w:rsidRDefault="00000000">
      <w:pPr>
        <w:pStyle w:val="Ttulo2"/>
        <w:numPr>
          <w:ilvl w:val="0"/>
          <w:numId w:val="38"/>
        </w:numPr>
        <w:spacing w:before="100" w:beforeAutospacing="1" w:after="100" w:afterAutospacing="1" w:line="360" w:lineRule="auto"/>
        <w:ind w:left="0" w:right="-91" w:firstLine="0"/>
        <w:jc w:val="center"/>
        <w:rPr>
          <w:rFonts w:ascii="Arial" w:hAnsi="Arial" w:cs="Arial"/>
          <w:b/>
          <w:bCs/>
          <w:color w:val="000000" w:themeColor="text1"/>
          <w:sz w:val="24"/>
          <w:szCs w:val="24"/>
          <w:lang w:val="es-ES_tradnl"/>
        </w:rPr>
      </w:pPr>
      <w:bookmarkStart w:id="8" w:name="_Toc234501835"/>
      <w:r>
        <w:rPr>
          <w:rFonts w:ascii="Arial" w:hAnsi="Arial" w:cs="Arial"/>
          <w:b/>
          <w:bCs/>
          <w:color w:val="000000" w:themeColor="text1"/>
          <w:sz w:val="24"/>
          <w:szCs w:val="24"/>
          <w:lang w:val="es-ES_tradnl"/>
        </w:rPr>
        <w:lastRenderedPageBreak/>
        <w:t>IMPROCEDENCIA</w:t>
      </w:r>
      <w:bookmarkEnd w:id="8"/>
      <w:r>
        <w:rPr>
          <w:rFonts w:ascii="Arial" w:hAnsi="Arial" w:cs="Arial"/>
          <w:b/>
          <w:bCs/>
          <w:color w:val="000000" w:themeColor="text1"/>
          <w:sz w:val="24"/>
          <w:szCs w:val="24"/>
          <w:lang w:val="es-ES_tradnl"/>
        </w:rPr>
        <w:t xml:space="preserve"> </w:t>
      </w:r>
    </w:p>
    <w:p w14:paraId="7C4BCFCF" w14:textId="77777777" w:rsidR="00E11D56" w:rsidRDefault="00000000">
      <w:pPr>
        <w:spacing w:before="100" w:beforeAutospacing="1" w:after="100" w:afterAutospacing="1" w:line="360" w:lineRule="auto"/>
        <w:jc w:val="both"/>
        <w:rPr>
          <w:rFonts w:ascii="Arial" w:hAnsi="Arial" w:cs="Arial"/>
          <w:sz w:val="24"/>
          <w:szCs w:val="24"/>
          <w:lang w:val="es-ES_tradnl"/>
        </w:rPr>
      </w:pPr>
      <w:r>
        <w:rPr>
          <w:rFonts w:ascii="Arial" w:hAnsi="Arial" w:cs="Arial"/>
          <w:sz w:val="24"/>
          <w:szCs w:val="24"/>
          <w:lang w:val="es-ES_tradnl"/>
        </w:rPr>
        <w:t>El análisis de las causales de improcedencia es de orden público y de estudio preferente</w:t>
      </w:r>
      <w:r>
        <w:rPr>
          <w:rStyle w:val="Refdenotaalpie"/>
          <w:rFonts w:ascii="Arial" w:eastAsia="Times New Roman" w:hAnsi="Arial" w:cs="Arial"/>
          <w:sz w:val="24"/>
          <w:szCs w:val="24"/>
          <w:lang w:val="es-ES_tradnl" w:eastAsia="es-ES"/>
        </w:rPr>
        <w:footnoteReference w:id="15"/>
      </w:r>
      <w:r>
        <w:rPr>
          <w:rFonts w:ascii="Arial" w:hAnsi="Arial" w:cs="Arial"/>
          <w:sz w:val="24"/>
          <w:szCs w:val="24"/>
          <w:lang w:val="es-ES_tradnl"/>
        </w:rPr>
        <w:t xml:space="preserve">, pues de actualizarse alguna de ellas se haría innecesario el estudio de fondo del litigio; esto, en observancia a las garantías de debido proceso y de impartición de justicia pronta y expedita, consagrada en los numerales 14 y 17 de la </w:t>
      </w:r>
      <w:r>
        <w:rPr>
          <w:rFonts w:ascii="Arial" w:hAnsi="Arial" w:cs="Arial"/>
          <w:i/>
          <w:iCs/>
          <w:sz w:val="24"/>
          <w:szCs w:val="24"/>
          <w:lang w:val="es-ES_tradnl"/>
        </w:rPr>
        <w:t>Constitución General</w:t>
      </w:r>
      <w:r>
        <w:rPr>
          <w:rFonts w:ascii="Arial" w:hAnsi="Arial" w:cs="Arial"/>
          <w:sz w:val="24"/>
          <w:szCs w:val="24"/>
          <w:lang w:val="es-ES_tradnl"/>
        </w:rPr>
        <w:t>.</w:t>
      </w:r>
    </w:p>
    <w:p w14:paraId="03703E1A" w14:textId="77777777" w:rsidR="00E11D56" w:rsidRDefault="00000000">
      <w:pPr>
        <w:spacing w:before="240" w:line="360" w:lineRule="auto"/>
        <w:jc w:val="both"/>
        <w:rPr>
          <w:rFonts w:ascii="Arial" w:hAnsi="Arial" w:cs="Arial"/>
          <w:i/>
          <w:iCs/>
          <w:sz w:val="24"/>
          <w:szCs w:val="24"/>
          <w:lang w:val="es-ES_tradnl" w:eastAsia="es-MX"/>
        </w:rPr>
      </w:pPr>
      <w:r>
        <w:rPr>
          <w:rFonts w:ascii="Arial" w:hAnsi="Arial" w:cs="Arial"/>
          <w:sz w:val="24"/>
          <w:szCs w:val="24"/>
          <w:lang w:val="es-ES_tradnl"/>
        </w:rPr>
        <w:t xml:space="preserve">En este sentido, este </w:t>
      </w:r>
      <w:r>
        <w:rPr>
          <w:rFonts w:ascii="Arial" w:hAnsi="Arial" w:cs="Arial"/>
          <w:i/>
          <w:iCs/>
          <w:sz w:val="24"/>
          <w:szCs w:val="24"/>
          <w:lang w:val="es-ES_tradnl"/>
        </w:rPr>
        <w:t xml:space="preserve">Tribunal Electoral, </w:t>
      </w:r>
      <w:r>
        <w:rPr>
          <w:rFonts w:ascii="Arial" w:hAnsi="Arial" w:cs="Arial"/>
          <w:sz w:val="24"/>
          <w:szCs w:val="24"/>
          <w:lang w:val="es-ES_tradnl"/>
        </w:rPr>
        <w:t xml:space="preserve">de oficio, determina que, independientemente de alguna otra causal de improcedencia que se actualice, </w:t>
      </w:r>
      <w:r>
        <w:rPr>
          <w:rFonts w:ascii="Arial" w:hAnsi="Arial" w:cs="Arial"/>
          <w:sz w:val="24"/>
          <w:szCs w:val="24"/>
          <w:lang w:eastAsia="es-MX"/>
        </w:rPr>
        <w:t xml:space="preserve">en el caso concreto se configura la relativa a la </w:t>
      </w:r>
      <w:r>
        <w:rPr>
          <w:rFonts w:ascii="Arial" w:hAnsi="Arial" w:cs="Arial"/>
          <w:b/>
          <w:bCs/>
          <w:sz w:val="24"/>
          <w:szCs w:val="24"/>
          <w:lang w:eastAsia="es-MX"/>
        </w:rPr>
        <w:t>falta de firma autógrafa</w:t>
      </w:r>
      <w:r>
        <w:rPr>
          <w:rFonts w:ascii="Arial" w:hAnsi="Arial" w:cs="Arial"/>
          <w:sz w:val="24"/>
          <w:szCs w:val="24"/>
          <w:lang w:eastAsia="es-MX"/>
        </w:rPr>
        <w:t xml:space="preserve">, por lo que respecta al </w:t>
      </w:r>
      <w:r>
        <w:rPr>
          <w:rFonts w:ascii="Arial" w:hAnsi="Arial" w:cs="Arial"/>
          <w:i/>
          <w:iCs/>
          <w:sz w:val="24"/>
          <w:szCs w:val="24"/>
          <w:lang w:eastAsia="es-MX"/>
        </w:rPr>
        <w:t>actor 2</w:t>
      </w:r>
      <w:r>
        <w:rPr>
          <w:rFonts w:ascii="Arial" w:hAnsi="Arial" w:cs="Arial"/>
          <w:sz w:val="24"/>
          <w:szCs w:val="24"/>
          <w:lang w:eastAsia="es-MX"/>
        </w:rPr>
        <w:t xml:space="preserve">, </w:t>
      </w:r>
      <w:r>
        <w:rPr>
          <w:rFonts w:ascii="Arial" w:hAnsi="Arial" w:cs="Arial"/>
          <w:sz w:val="24"/>
          <w:szCs w:val="24"/>
          <w:lang w:val="es-ES_tradnl" w:eastAsia="es-MX"/>
        </w:rPr>
        <w:t xml:space="preserve">ya que del escrito que originó el presente </w:t>
      </w:r>
      <w:r>
        <w:rPr>
          <w:rFonts w:ascii="Arial" w:hAnsi="Arial" w:cs="Arial"/>
          <w:i/>
          <w:iCs/>
          <w:sz w:val="24"/>
          <w:szCs w:val="24"/>
          <w:lang w:val="es-ES_tradnl" w:eastAsia="es-MX"/>
        </w:rPr>
        <w:t>juicio de la ciudadanía</w:t>
      </w:r>
      <w:r>
        <w:rPr>
          <w:rFonts w:ascii="Arial" w:hAnsi="Arial" w:cs="Arial"/>
          <w:sz w:val="24"/>
          <w:szCs w:val="24"/>
          <w:lang w:val="es-ES_tradnl" w:eastAsia="es-MX"/>
        </w:rPr>
        <w:t xml:space="preserve">, no se advierte que haya sido firmada por él, </w:t>
      </w:r>
      <w:bookmarkStart w:id="9" w:name="_Hlk234328672"/>
      <w:r>
        <w:rPr>
          <w:rFonts w:ascii="Arial" w:hAnsi="Arial" w:cs="Arial"/>
          <w:sz w:val="24"/>
          <w:szCs w:val="24"/>
          <w:lang w:val="es-ES_tradnl" w:eastAsia="es-MX"/>
        </w:rPr>
        <w:t xml:space="preserve">por lo tanto, carece del requisito indispensable contemplado en el artículo 10, fracción VII de la </w:t>
      </w:r>
      <w:r>
        <w:rPr>
          <w:rFonts w:ascii="Arial" w:hAnsi="Arial" w:cs="Arial"/>
          <w:i/>
          <w:iCs/>
          <w:sz w:val="24"/>
          <w:szCs w:val="24"/>
          <w:lang w:val="es-ES_tradnl" w:eastAsia="es-MX"/>
        </w:rPr>
        <w:t xml:space="preserve">Ley de Justicia Electoral. </w:t>
      </w:r>
    </w:p>
    <w:bookmarkEnd w:id="9"/>
    <w:p w14:paraId="040B0F57" w14:textId="77777777" w:rsidR="00E11D56" w:rsidRDefault="00000000">
      <w:pPr>
        <w:spacing w:before="240" w:line="360" w:lineRule="auto"/>
        <w:jc w:val="both"/>
        <w:rPr>
          <w:rFonts w:ascii="Arial" w:hAnsi="Arial" w:cs="Arial"/>
          <w:i/>
          <w:iCs/>
          <w:sz w:val="24"/>
          <w:szCs w:val="24"/>
          <w:lang w:val="es-ES_tradnl" w:eastAsia="es-MX"/>
        </w:rPr>
      </w:pPr>
      <w:r>
        <w:rPr>
          <w:rFonts w:ascii="Arial" w:hAnsi="Arial" w:cs="Arial"/>
          <w:sz w:val="24"/>
          <w:szCs w:val="24"/>
          <w:lang w:val="es-ES_tradnl" w:eastAsia="es-MX"/>
        </w:rPr>
        <w:t xml:space="preserve">Precepto normativo que establece que </w:t>
      </w:r>
      <w:r>
        <w:rPr>
          <w:rFonts w:ascii="Arial" w:eastAsia="Times New Roman" w:hAnsi="Arial" w:cs="Arial"/>
          <w:sz w:val="24"/>
          <w:szCs w:val="24"/>
          <w:lang w:eastAsia="es-ES"/>
        </w:rPr>
        <w:t>los medios de impugnación deberán presentarse por escrito ante la autoridad responsable del acto, en el que se indique el acuerdo o resolución impugnada, y deberá cumplir</w:t>
      </w:r>
      <w:r>
        <w:rPr>
          <w:rFonts w:ascii="Arial" w:hAnsi="Arial" w:cs="Arial"/>
          <w:sz w:val="24"/>
          <w:szCs w:val="24"/>
          <w:lang w:eastAsia="es-MX"/>
        </w:rPr>
        <w:t xml:space="preserve"> con el requisito de constar el nombre y firma autógrafa del promovente</w:t>
      </w:r>
      <w:r>
        <w:rPr>
          <w:rFonts w:ascii="Arial" w:hAnsi="Arial" w:cs="Arial"/>
          <w:sz w:val="24"/>
          <w:szCs w:val="24"/>
          <w:lang w:val="es-ES_tradnl" w:eastAsia="es-MX"/>
        </w:rPr>
        <w:t>.</w:t>
      </w:r>
    </w:p>
    <w:p w14:paraId="3758304F" w14:textId="77777777" w:rsidR="00E11D56" w:rsidRDefault="00000000">
      <w:pPr>
        <w:spacing w:before="240" w:line="360" w:lineRule="auto"/>
        <w:jc w:val="both"/>
        <w:rPr>
          <w:rFonts w:ascii="Arial" w:hAnsi="Arial" w:cs="Arial"/>
          <w:sz w:val="24"/>
          <w:szCs w:val="24"/>
          <w:lang w:val="es-ES_tradnl" w:eastAsia="es-MX"/>
        </w:rPr>
      </w:pPr>
      <w:r>
        <w:rPr>
          <w:rFonts w:ascii="Arial" w:hAnsi="Arial" w:cs="Arial"/>
          <w:sz w:val="24"/>
          <w:szCs w:val="24"/>
          <w:lang w:val="es-ES_tradnl" w:eastAsia="es-MX"/>
        </w:rPr>
        <w:t xml:space="preserve">Se determina así, porque la firma autógrafa, es el signo mediante el cual, las personas manifiestan su </w:t>
      </w:r>
      <w:r>
        <w:rPr>
          <w:rFonts w:ascii="Arial" w:hAnsi="Arial" w:cs="Arial"/>
          <w:b/>
          <w:bCs/>
          <w:sz w:val="24"/>
          <w:szCs w:val="24"/>
          <w:lang w:val="es-ES_tradnl" w:eastAsia="es-MX"/>
        </w:rPr>
        <w:t xml:space="preserve">voluntad </w:t>
      </w:r>
      <w:r>
        <w:rPr>
          <w:rFonts w:ascii="Arial" w:hAnsi="Arial" w:cs="Arial"/>
          <w:sz w:val="24"/>
          <w:szCs w:val="24"/>
          <w:lang w:val="es-ES_tradnl" w:eastAsia="es-MX"/>
        </w:rPr>
        <w:t xml:space="preserve">en los actos que se realizan en forma escrita, por lo tanto, este </w:t>
      </w:r>
      <w:r>
        <w:rPr>
          <w:rFonts w:ascii="Arial" w:hAnsi="Arial" w:cs="Arial"/>
          <w:i/>
          <w:iCs/>
          <w:sz w:val="24"/>
          <w:szCs w:val="24"/>
          <w:lang w:val="es-ES_tradnl" w:eastAsia="es-MX"/>
        </w:rPr>
        <w:t>Tribunal Electoral</w:t>
      </w:r>
      <w:r>
        <w:rPr>
          <w:rFonts w:ascii="Arial" w:hAnsi="Arial" w:cs="Arial"/>
          <w:sz w:val="24"/>
          <w:szCs w:val="24"/>
          <w:lang w:val="es-ES_tradnl" w:eastAsia="es-MX"/>
        </w:rPr>
        <w:t>, al no contar con el escrito de demanda original con firma autógrafa, supone la ausencia de su voluntad para promover el medio de impugnación, requisito esencial para establecer la relación jurídico-procesal</w:t>
      </w:r>
      <w:r>
        <w:rPr>
          <w:rFonts w:ascii="Arial" w:hAnsi="Arial" w:cs="Arial"/>
          <w:sz w:val="24"/>
          <w:szCs w:val="24"/>
          <w:vertAlign w:val="superscript"/>
          <w:lang w:val="es-ES_tradnl" w:eastAsia="es-MX"/>
        </w:rPr>
        <w:footnoteReference w:id="16"/>
      </w:r>
      <w:r>
        <w:rPr>
          <w:rFonts w:ascii="Arial" w:hAnsi="Arial" w:cs="Arial"/>
          <w:sz w:val="24"/>
          <w:szCs w:val="24"/>
          <w:lang w:val="es-ES_tradnl" w:eastAsia="es-MX"/>
        </w:rPr>
        <w:t>.</w:t>
      </w:r>
    </w:p>
    <w:p w14:paraId="4D4206EA" w14:textId="77777777" w:rsidR="00E11D56" w:rsidRDefault="00000000">
      <w:pPr>
        <w:spacing w:before="240" w:line="360" w:lineRule="auto"/>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Lo anterior en virtud de que, de la lectura de las constancias que integran el presente </w:t>
      </w:r>
      <w:r>
        <w:rPr>
          <w:rFonts w:ascii="Arial" w:eastAsia="Times New Roman" w:hAnsi="Arial" w:cs="Arial"/>
          <w:bCs/>
          <w:i/>
          <w:iCs/>
          <w:sz w:val="24"/>
          <w:szCs w:val="24"/>
          <w:lang w:eastAsia="es-MX"/>
        </w:rPr>
        <w:t>juicio de la ciudadanía</w:t>
      </w:r>
      <w:r>
        <w:rPr>
          <w:rFonts w:ascii="Arial" w:eastAsia="Times New Roman" w:hAnsi="Arial" w:cs="Arial"/>
          <w:bCs/>
          <w:sz w:val="24"/>
          <w:szCs w:val="24"/>
          <w:lang w:eastAsia="es-MX"/>
        </w:rPr>
        <w:t xml:space="preserve">, se presentó en la Oficialía de Partes de este Tribunal Electoral </w:t>
      </w:r>
      <w:r>
        <w:rPr>
          <w:rFonts w:ascii="Arial" w:eastAsia="Times New Roman" w:hAnsi="Arial" w:cs="Arial"/>
          <w:b/>
          <w:sz w:val="24"/>
          <w:szCs w:val="24"/>
          <w:lang w:eastAsia="es-MX"/>
        </w:rPr>
        <w:t>sin firma alguna</w:t>
      </w:r>
      <w:r>
        <w:rPr>
          <w:rFonts w:ascii="Arial" w:eastAsia="Times New Roman" w:hAnsi="Arial" w:cs="Arial"/>
          <w:bCs/>
          <w:sz w:val="24"/>
          <w:szCs w:val="24"/>
          <w:lang w:eastAsia="es-MX"/>
        </w:rPr>
        <w:t>. Tal y como se puede advertir en la imagen siguiente.</w:t>
      </w:r>
    </w:p>
    <w:p w14:paraId="79100C08" w14:textId="77777777" w:rsidR="00E11D56" w:rsidRDefault="00E11D56">
      <w:pPr>
        <w:rPr>
          <w:rFonts w:ascii="Arial" w:eastAsia="Times New Roman" w:hAnsi="Arial" w:cs="Arial"/>
          <w:bCs/>
          <w:sz w:val="24"/>
          <w:szCs w:val="24"/>
          <w:lang w:eastAsia="es-MX"/>
        </w:rPr>
      </w:pPr>
    </w:p>
    <w:p w14:paraId="77AA849E" w14:textId="77777777" w:rsidR="00E11D56" w:rsidRDefault="00000000">
      <w:pPr>
        <w:jc w:val="center"/>
        <w:rPr>
          <w:rFonts w:ascii="Arial" w:eastAsia="Times New Roman" w:hAnsi="Arial" w:cs="Arial"/>
          <w:bCs/>
          <w:sz w:val="24"/>
          <w:szCs w:val="24"/>
          <w:lang w:eastAsia="es-MX"/>
        </w:rPr>
      </w:pPr>
      <w:r>
        <w:rPr>
          <w:rFonts w:ascii="Arial" w:eastAsia="Times New Roman" w:hAnsi="Arial" w:cs="Arial"/>
          <w:bCs/>
          <w:noProof/>
          <w:sz w:val="24"/>
          <w:szCs w:val="24"/>
          <w:lang w:eastAsia="es-MX"/>
        </w:rPr>
        <w:lastRenderedPageBreak/>
        <w:drawing>
          <wp:inline distT="0" distB="0" distL="0" distR="0" wp14:anchorId="4F5BD298" wp14:editId="10AAE298">
            <wp:extent cx="2790161" cy="754098"/>
            <wp:effectExtent l="0" t="0" r="0" b="8255"/>
            <wp:docPr id="4429855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985583" name=""/>
                    <pic:cNvPicPr/>
                  </pic:nvPicPr>
                  <pic:blipFill>
                    <a:blip r:embed="rId11"/>
                    <a:stretch>
                      <a:fillRect/>
                    </a:stretch>
                  </pic:blipFill>
                  <pic:spPr>
                    <a:xfrm>
                      <a:off x="0" y="0"/>
                      <a:ext cx="2798397" cy="756324"/>
                    </a:xfrm>
                    <a:prstGeom prst="rect">
                      <a:avLst/>
                    </a:prstGeom>
                  </pic:spPr>
                </pic:pic>
              </a:graphicData>
            </a:graphic>
          </wp:inline>
        </w:drawing>
      </w:r>
    </w:p>
    <w:p w14:paraId="63AE8906" w14:textId="77777777" w:rsidR="00E11D56" w:rsidRDefault="00E11D56">
      <w:pPr>
        <w:jc w:val="center"/>
        <w:rPr>
          <w:rFonts w:ascii="Arial" w:eastAsia="Times New Roman" w:hAnsi="Arial" w:cs="Arial"/>
          <w:bCs/>
          <w:sz w:val="24"/>
          <w:szCs w:val="24"/>
          <w:lang w:eastAsia="es-MX"/>
        </w:rPr>
      </w:pPr>
    </w:p>
    <w:p w14:paraId="39CB8D1D" w14:textId="77777777" w:rsidR="00E11D56" w:rsidRDefault="00000000">
      <w:pPr>
        <w:spacing w:before="240" w:line="360" w:lineRule="auto"/>
        <w:jc w:val="both"/>
        <w:rPr>
          <w:rFonts w:ascii="Arial" w:hAnsi="Arial" w:cs="Arial"/>
          <w:i/>
          <w:iCs/>
          <w:sz w:val="24"/>
          <w:szCs w:val="24"/>
          <w:lang w:eastAsia="es-MX"/>
        </w:rPr>
      </w:pPr>
      <w:r>
        <w:rPr>
          <w:rFonts w:ascii="Arial" w:hAnsi="Arial" w:cs="Arial"/>
          <w:sz w:val="24"/>
          <w:szCs w:val="24"/>
          <w:lang w:eastAsia="es-MX"/>
        </w:rPr>
        <w:t xml:space="preserve">Por su parte, </w:t>
      </w:r>
      <w:bookmarkStart w:id="10" w:name="_Hlk234328737"/>
      <w:r>
        <w:rPr>
          <w:rFonts w:ascii="Arial" w:hAnsi="Arial" w:cs="Arial"/>
          <w:sz w:val="24"/>
          <w:szCs w:val="24"/>
          <w:lang w:eastAsia="es-MX"/>
        </w:rPr>
        <w:t>el artículo 11 en relación con el 27, fracción II de la</w:t>
      </w:r>
      <w:r>
        <w:rPr>
          <w:rFonts w:ascii="Arial" w:hAnsi="Arial" w:cs="Arial"/>
          <w:i/>
          <w:iCs/>
          <w:sz w:val="24"/>
          <w:szCs w:val="24"/>
          <w:lang w:eastAsia="es-MX"/>
        </w:rPr>
        <w:t xml:space="preserve"> Ley de Justicia Electoral</w:t>
      </w:r>
      <w:r>
        <w:rPr>
          <w:rFonts w:ascii="Arial" w:hAnsi="Arial" w:cs="Arial"/>
          <w:sz w:val="24"/>
          <w:szCs w:val="24"/>
          <w:lang w:eastAsia="es-MX"/>
        </w:rPr>
        <w:t>, señala las causales de improcedencia de los medios de impugnación, entre ellas, cuando incumpla con los requisitos señalados en la fracción VII del artículo 10 de la</w:t>
      </w:r>
      <w:bookmarkStart w:id="11" w:name="_Hlk53349514"/>
      <w:r>
        <w:rPr>
          <w:rFonts w:ascii="Arial" w:hAnsi="Arial" w:cs="Arial"/>
          <w:sz w:val="24"/>
          <w:szCs w:val="24"/>
          <w:lang w:eastAsia="es-MX"/>
        </w:rPr>
        <w:t xml:space="preserve"> ley en cita</w:t>
      </w:r>
      <w:bookmarkEnd w:id="10"/>
      <w:r>
        <w:rPr>
          <w:rStyle w:val="Refdenotaalpie"/>
          <w:rFonts w:ascii="Arial" w:hAnsi="Arial" w:cs="Arial"/>
          <w:i/>
          <w:iCs/>
          <w:sz w:val="24"/>
          <w:szCs w:val="24"/>
          <w:lang w:val="es-ES" w:eastAsia="es-MX"/>
        </w:rPr>
        <w:footnoteReference w:id="17"/>
      </w:r>
      <w:bookmarkEnd w:id="11"/>
      <w:r>
        <w:rPr>
          <w:rFonts w:ascii="Arial" w:hAnsi="Arial" w:cs="Arial"/>
          <w:i/>
          <w:iCs/>
          <w:sz w:val="24"/>
          <w:szCs w:val="24"/>
          <w:lang w:eastAsia="es-MX"/>
        </w:rPr>
        <w:t>.</w:t>
      </w:r>
    </w:p>
    <w:p w14:paraId="50F15485" w14:textId="77777777" w:rsidR="00E11D56" w:rsidRDefault="00000000">
      <w:pPr>
        <w:spacing w:before="240" w:line="360" w:lineRule="auto"/>
        <w:jc w:val="both"/>
        <w:rPr>
          <w:rFonts w:ascii="Arial" w:hAnsi="Arial" w:cs="Arial"/>
          <w:sz w:val="24"/>
          <w:szCs w:val="24"/>
          <w:lang w:val="es-ES" w:eastAsia="es-MX"/>
        </w:rPr>
      </w:pPr>
      <w:r>
        <w:rPr>
          <w:rFonts w:ascii="Arial" w:hAnsi="Arial" w:cs="Arial"/>
          <w:sz w:val="24"/>
          <w:szCs w:val="24"/>
          <w:lang w:val="es-ES" w:eastAsia="es-MX"/>
        </w:rPr>
        <w:t xml:space="preserve">Al respecto, la </w:t>
      </w:r>
      <w:r>
        <w:rPr>
          <w:rFonts w:ascii="Arial" w:eastAsia="Times New Roman" w:hAnsi="Arial" w:cs="Arial"/>
          <w:i/>
          <w:sz w:val="24"/>
          <w:szCs w:val="24"/>
          <w:lang w:val="es-ES" w:eastAsia="es-MX"/>
        </w:rPr>
        <w:t>Sala Toluca</w:t>
      </w:r>
      <w:r>
        <w:rPr>
          <w:rFonts w:ascii="Arial" w:eastAsia="Times New Roman" w:hAnsi="Arial" w:cs="Arial"/>
          <w:sz w:val="24"/>
          <w:szCs w:val="24"/>
          <w:lang w:val="es-ES" w:eastAsia="es-MX"/>
        </w:rPr>
        <w:t xml:space="preserve">, </w:t>
      </w:r>
      <w:r>
        <w:rPr>
          <w:rFonts w:ascii="Arial" w:hAnsi="Arial" w:cs="Arial"/>
          <w:sz w:val="24"/>
          <w:szCs w:val="24"/>
          <w:lang w:val="es-ES" w:eastAsia="es-MX"/>
        </w:rPr>
        <w:t>ha señalado que, la firma autógrafa es el conjunto de rasgos puestos de puño y letra de la persona accionante que produce certeza sobre la voluntad de ejercer el derecho de acción, esto es, la finalidad de plasmar la firma es otorgar autenticidad al escrito de demanda, pues con ello se identifica a quien suscribe, vinculándose con el acto jurídico asentado en la misma</w:t>
      </w:r>
      <w:r>
        <w:rPr>
          <w:rFonts w:ascii="Arial" w:hAnsi="Arial" w:cs="Arial"/>
          <w:sz w:val="24"/>
          <w:szCs w:val="24"/>
          <w:vertAlign w:val="superscript"/>
          <w:lang w:val="es-ES" w:eastAsia="es-MX"/>
        </w:rPr>
        <w:footnoteReference w:id="18"/>
      </w:r>
      <w:r>
        <w:rPr>
          <w:rFonts w:ascii="Arial" w:hAnsi="Arial" w:cs="Arial"/>
          <w:sz w:val="24"/>
          <w:szCs w:val="24"/>
          <w:lang w:val="es-ES" w:eastAsia="es-MX"/>
        </w:rPr>
        <w:t>.</w:t>
      </w:r>
    </w:p>
    <w:p w14:paraId="55445AFE" w14:textId="77777777" w:rsidR="00E11D56" w:rsidRDefault="00000000">
      <w:pPr>
        <w:spacing w:before="240" w:line="360" w:lineRule="auto"/>
        <w:jc w:val="both"/>
        <w:rPr>
          <w:rFonts w:ascii="Arial" w:hAnsi="Arial" w:cs="Arial"/>
          <w:sz w:val="24"/>
          <w:szCs w:val="24"/>
          <w:shd w:val="clear" w:color="auto" w:fill="FFFFFF"/>
          <w:lang w:eastAsia="es-MX"/>
        </w:rPr>
      </w:pPr>
      <w:r>
        <w:rPr>
          <w:rFonts w:ascii="Arial" w:hAnsi="Arial" w:cs="Arial"/>
          <w:sz w:val="24"/>
          <w:szCs w:val="24"/>
          <w:lang w:eastAsia="es-MX"/>
        </w:rPr>
        <w:t xml:space="preserve">Es importante señalar que la </w:t>
      </w:r>
      <w:r>
        <w:rPr>
          <w:rFonts w:ascii="Arial" w:hAnsi="Arial" w:cs="Arial"/>
          <w:sz w:val="24"/>
          <w:szCs w:val="24"/>
          <w:shd w:val="clear" w:color="auto" w:fill="FFFFFF"/>
          <w:lang w:eastAsia="es-MX"/>
        </w:rPr>
        <w:t xml:space="preserve">firma genera </w:t>
      </w:r>
      <w:r w:rsidRPr="00F11E2B">
        <w:rPr>
          <w:rFonts w:ascii="Arial" w:hAnsi="Arial" w:cs="Arial"/>
          <w:sz w:val="24"/>
          <w:szCs w:val="24"/>
          <w:shd w:val="clear" w:color="auto" w:fill="FFFFFF"/>
          <w:lang w:eastAsia="es-MX"/>
        </w:rPr>
        <w:t>convicción y certeza</w:t>
      </w:r>
      <w:r>
        <w:rPr>
          <w:rFonts w:ascii="Arial" w:hAnsi="Arial" w:cs="Arial"/>
          <w:sz w:val="24"/>
          <w:szCs w:val="24"/>
          <w:shd w:val="clear" w:color="auto" w:fill="FFFFFF"/>
          <w:lang w:eastAsia="es-MX"/>
        </w:rPr>
        <w:t xml:space="preserve"> sobre la </w:t>
      </w:r>
      <w:r>
        <w:rPr>
          <w:rFonts w:ascii="Arial" w:hAnsi="Arial" w:cs="Arial"/>
          <w:b/>
          <w:bCs/>
          <w:sz w:val="24"/>
          <w:szCs w:val="24"/>
          <w:shd w:val="clear" w:color="auto" w:fill="FFFFFF"/>
          <w:lang w:eastAsia="es-MX"/>
        </w:rPr>
        <w:t>voluntad de la persona</w:t>
      </w:r>
      <w:r>
        <w:rPr>
          <w:rFonts w:ascii="Arial" w:hAnsi="Arial" w:cs="Arial"/>
          <w:sz w:val="24"/>
          <w:szCs w:val="24"/>
          <w:shd w:val="clear" w:color="auto" w:fill="FFFFFF"/>
          <w:lang w:eastAsia="es-MX"/>
        </w:rPr>
        <w:t xml:space="preserve"> que suscribe el medio de impugnación, de tal suerte que, no haya duda sobre la misma de ejercer el derecho de acción, porque la finalidad de asentar esa firma consiste en expresar la intención de suscribir y hacer suya la demanda y vincular a la persona promovente con el acto jurídico contenido en el escrito. Entonces, la falta de firma autógrafa en un escrito significa la ausencia de un requisito esencial que trae como consecuencia la falta de la relación jurídica procesal.</w:t>
      </w:r>
    </w:p>
    <w:p w14:paraId="3A639299" w14:textId="77777777" w:rsidR="00E11D56" w:rsidRDefault="00000000">
      <w:pPr>
        <w:spacing w:before="240" w:line="360" w:lineRule="auto"/>
        <w:jc w:val="both"/>
        <w:rPr>
          <w:rFonts w:ascii="Arial" w:hAnsi="Arial" w:cs="Arial"/>
          <w:sz w:val="24"/>
          <w:szCs w:val="24"/>
          <w:shd w:val="clear" w:color="auto" w:fill="FFFFFF"/>
          <w:lang w:eastAsia="es-MX"/>
        </w:rPr>
      </w:pPr>
      <w:r>
        <w:rPr>
          <w:rFonts w:ascii="Arial" w:hAnsi="Arial" w:cs="Arial"/>
          <w:sz w:val="24"/>
          <w:szCs w:val="24"/>
          <w:shd w:val="clear" w:color="auto" w:fill="FFFFFF"/>
          <w:lang w:eastAsia="es-MX"/>
        </w:rPr>
        <w:t xml:space="preserve">En este sentido, la </w:t>
      </w:r>
      <w:r>
        <w:rPr>
          <w:rFonts w:ascii="Arial" w:hAnsi="Arial" w:cs="Arial"/>
          <w:i/>
          <w:iCs/>
          <w:sz w:val="24"/>
          <w:szCs w:val="24"/>
          <w:shd w:val="clear" w:color="auto" w:fill="FFFFFF"/>
          <w:lang w:eastAsia="es-MX"/>
        </w:rPr>
        <w:t>Sala Superior</w:t>
      </w:r>
      <w:r>
        <w:rPr>
          <w:rFonts w:ascii="Arial" w:hAnsi="Arial" w:cs="Arial"/>
          <w:sz w:val="24"/>
          <w:szCs w:val="24"/>
          <w:shd w:val="clear" w:color="auto" w:fill="FFFFFF"/>
          <w:lang w:eastAsia="es-MX"/>
        </w:rPr>
        <w:t xml:space="preserve"> ha resuelto que ante la ausencia del elemento que exige la legislación para corroborar la identidad y voluntad de las y los promoventes de los medios de impugnación en la materia, que es la </w:t>
      </w:r>
      <w:r>
        <w:rPr>
          <w:rFonts w:ascii="Arial" w:hAnsi="Arial" w:cs="Arial"/>
          <w:b/>
          <w:bCs/>
          <w:sz w:val="24"/>
          <w:szCs w:val="24"/>
          <w:shd w:val="clear" w:color="auto" w:fill="FFFFFF"/>
          <w:lang w:eastAsia="es-MX"/>
        </w:rPr>
        <w:t>firma de puño y letra</w:t>
      </w:r>
      <w:r>
        <w:rPr>
          <w:rFonts w:ascii="Arial" w:hAnsi="Arial" w:cs="Arial"/>
          <w:sz w:val="24"/>
          <w:szCs w:val="24"/>
          <w:shd w:val="clear" w:color="auto" w:fill="FFFFFF"/>
          <w:lang w:eastAsia="es-MX"/>
        </w:rPr>
        <w:t>, no existen elementos que permitan verificar que los archivos recibidos directamente, correspondan a un medio de impugnación interpuesto por quien se dice, para controvertir un acto emitido por autoridad competente</w:t>
      </w:r>
      <w:r>
        <w:rPr>
          <w:rFonts w:ascii="Arial" w:hAnsi="Arial" w:cs="Arial"/>
          <w:sz w:val="24"/>
          <w:szCs w:val="24"/>
          <w:shd w:val="clear" w:color="auto" w:fill="FFFFFF"/>
          <w:vertAlign w:val="superscript"/>
          <w:lang w:eastAsia="es-MX"/>
        </w:rPr>
        <w:footnoteReference w:id="19"/>
      </w:r>
      <w:r>
        <w:rPr>
          <w:rFonts w:ascii="Arial" w:hAnsi="Arial" w:cs="Arial"/>
          <w:sz w:val="24"/>
          <w:szCs w:val="24"/>
          <w:shd w:val="clear" w:color="auto" w:fill="FFFFFF"/>
          <w:lang w:eastAsia="es-MX"/>
        </w:rPr>
        <w:t>.</w:t>
      </w:r>
    </w:p>
    <w:p w14:paraId="18FBC6A2" w14:textId="77777777" w:rsidR="00E11D56" w:rsidRDefault="00000000">
      <w:pPr>
        <w:spacing w:before="240" w:line="360" w:lineRule="auto"/>
        <w:jc w:val="both"/>
        <w:rPr>
          <w:rFonts w:ascii="Arial" w:hAnsi="Arial" w:cs="Arial"/>
          <w:sz w:val="24"/>
          <w:szCs w:val="24"/>
          <w:shd w:val="clear" w:color="auto" w:fill="FFFFFF"/>
          <w:lang w:eastAsia="es-MX"/>
        </w:rPr>
      </w:pPr>
      <w:r>
        <w:rPr>
          <w:rFonts w:ascii="Arial" w:hAnsi="Arial" w:cs="Arial"/>
          <w:sz w:val="24"/>
          <w:szCs w:val="24"/>
          <w:shd w:val="clear" w:color="auto" w:fill="FFFFFF"/>
          <w:lang w:eastAsia="es-MX"/>
        </w:rPr>
        <w:t xml:space="preserve">Por ende, y atendiendo a que el escrito que dio origen al presente medio de impugnación carece de firma de puño y letra -autógrafa- de unos de los </w:t>
      </w:r>
      <w:r>
        <w:rPr>
          <w:rFonts w:ascii="Arial" w:hAnsi="Arial" w:cs="Arial"/>
          <w:i/>
          <w:iCs/>
          <w:sz w:val="24"/>
          <w:szCs w:val="24"/>
          <w:shd w:val="clear" w:color="auto" w:fill="FFFFFF"/>
          <w:lang w:eastAsia="es-MX"/>
        </w:rPr>
        <w:t xml:space="preserve">actores, </w:t>
      </w:r>
      <w:r>
        <w:rPr>
          <w:rFonts w:ascii="Arial" w:hAnsi="Arial" w:cs="Arial"/>
          <w:sz w:val="24"/>
          <w:szCs w:val="24"/>
          <w:shd w:val="clear" w:color="auto" w:fill="FFFFFF"/>
          <w:lang w:eastAsia="es-MX"/>
        </w:rPr>
        <w:lastRenderedPageBreak/>
        <w:t xml:space="preserve">imposibilita a este </w:t>
      </w:r>
      <w:r>
        <w:rPr>
          <w:rFonts w:ascii="Arial" w:hAnsi="Arial" w:cs="Arial"/>
          <w:i/>
          <w:iCs/>
          <w:sz w:val="24"/>
          <w:szCs w:val="24"/>
          <w:shd w:val="clear" w:color="auto" w:fill="FFFFFF"/>
          <w:lang w:eastAsia="es-MX"/>
        </w:rPr>
        <w:t>Tribunal Electoral</w:t>
      </w:r>
      <w:r>
        <w:rPr>
          <w:rFonts w:ascii="Arial" w:hAnsi="Arial" w:cs="Arial"/>
          <w:sz w:val="24"/>
          <w:szCs w:val="24"/>
          <w:shd w:val="clear" w:color="auto" w:fill="FFFFFF"/>
          <w:lang w:eastAsia="es-MX"/>
        </w:rPr>
        <w:t xml:space="preserve"> a</w:t>
      </w:r>
      <w:r>
        <w:rPr>
          <w:rFonts w:ascii="Arial" w:hAnsi="Arial" w:cs="Arial"/>
          <w:i/>
          <w:iCs/>
          <w:sz w:val="24"/>
          <w:szCs w:val="24"/>
          <w:shd w:val="clear" w:color="auto" w:fill="FFFFFF"/>
          <w:lang w:eastAsia="es-MX"/>
        </w:rPr>
        <w:t xml:space="preserve"> </w:t>
      </w:r>
      <w:r>
        <w:rPr>
          <w:rFonts w:ascii="Arial" w:hAnsi="Arial" w:cs="Arial"/>
          <w:sz w:val="24"/>
          <w:szCs w:val="24"/>
          <w:shd w:val="clear" w:color="auto" w:fill="FFFFFF"/>
          <w:lang w:eastAsia="es-MX"/>
        </w:rPr>
        <w:t xml:space="preserve">validar la autenticidad de su </w:t>
      </w:r>
      <w:r>
        <w:rPr>
          <w:rFonts w:ascii="Arial" w:hAnsi="Arial" w:cs="Arial"/>
          <w:b/>
          <w:bCs/>
          <w:sz w:val="24"/>
          <w:szCs w:val="24"/>
          <w:shd w:val="clear" w:color="auto" w:fill="FFFFFF"/>
          <w:lang w:eastAsia="es-MX"/>
        </w:rPr>
        <w:t>voluntad</w:t>
      </w:r>
      <w:r>
        <w:rPr>
          <w:rFonts w:ascii="Arial" w:hAnsi="Arial" w:cs="Arial"/>
          <w:sz w:val="24"/>
          <w:szCs w:val="24"/>
          <w:shd w:val="clear" w:color="auto" w:fill="FFFFFF"/>
          <w:lang w:eastAsia="es-MX"/>
        </w:rPr>
        <w:t xml:space="preserve">. Por ello, a criterio de este </w:t>
      </w:r>
      <w:r>
        <w:rPr>
          <w:rFonts w:ascii="Arial" w:hAnsi="Arial" w:cs="Arial"/>
          <w:i/>
          <w:iCs/>
          <w:sz w:val="24"/>
          <w:szCs w:val="24"/>
          <w:shd w:val="clear" w:color="auto" w:fill="FFFFFF"/>
          <w:lang w:eastAsia="es-MX"/>
        </w:rPr>
        <w:t xml:space="preserve">órgano jurisdiccional </w:t>
      </w:r>
      <w:r>
        <w:rPr>
          <w:rFonts w:ascii="Arial" w:hAnsi="Arial" w:cs="Arial"/>
          <w:sz w:val="24"/>
          <w:szCs w:val="24"/>
          <w:shd w:val="clear" w:color="auto" w:fill="FFFFFF"/>
          <w:lang w:eastAsia="es-MX"/>
        </w:rPr>
        <w:t xml:space="preserve">se actualiza </w:t>
      </w:r>
      <w:bookmarkStart w:id="12" w:name="_Hlk53768811"/>
      <w:r>
        <w:rPr>
          <w:rFonts w:ascii="Arial" w:hAnsi="Arial" w:cs="Arial"/>
          <w:sz w:val="24"/>
          <w:szCs w:val="24"/>
          <w:shd w:val="clear" w:color="auto" w:fill="FFFFFF"/>
          <w:lang w:eastAsia="es-MX"/>
        </w:rPr>
        <w:t xml:space="preserve">la causal prevista en el artículo 27, fracción II, en relación con el diverso 10, fracción VII, de la </w:t>
      </w:r>
      <w:bookmarkStart w:id="13" w:name="_Hlk53358535"/>
      <w:r>
        <w:rPr>
          <w:rFonts w:ascii="Arial" w:hAnsi="Arial" w:cs="Arial"/>
          <w:i/>
          <w:iCs/>
          <w:sz w:val="24"/>
          <w:szCs w:val="24"/>
          <w:lang w:eastAsia="es-MX"/>
        </w:rPr>
        <w:t>Ley de Justicia</w:t>
      </w:r>
      <w:bookmarkEnd w:id="13"/>
      <w:r>
        <w:rPr>
          <w:rFonts w:ascii="Arial" w:hAnsi="Arial" w:cs="Arial"/>
          <w:i/>
          <w:iCs/>
          <w:sz w:val="24"/>
          <w:szCs w:val="24"/>
          <w:lang w:eastAsia="es-MX"/>
        </w:rPr>
        <w:t xml:space="preserve"> Electoral</w:t>
      </w:r>
      <w:r>
        <w:rPr>
          <w:rFonts w:ascii="Arial" w:hAnsi="Arial" w:cs="Arial"/>
          <w:sz w:val="24"/>
          <w:szCs w:val="24"/>
          <w:shd w:val="clear" w:color="auto" w:fill="FFFFFF"/>
          <w:lang w:eastAsia="es-MX"/>
        </w:rPr>
        <w:t xml:space="preserve">, que refieren que los medios de impugnación serán improcedentes cuando se incumpla con el requisito </w:t>
      </w:r>
      <w:r>
        <w:rPr>
          <w:rFonts w:ascii="Arial" w:hAnsi="Arial" w:cs="Arial"/>
          <w:sz w:val="24"/>
          <w:szCs w:val="24"/>
          <w:lang w:eastAsia="es-MX"/>
        </w:rPr>
        <w:t xml:space="preserve">de la </w:t>
      </w:r>
      <w:r>
        <w:rPr>
          <w:rFonts w:ascii="Arial" w:hAnsi="Arial" w:cs="Arial"/>
          <w:sz w:val="24"/>
          <w:szCs w:val="24"/>
          <w:shd w:val="clear" w:color="auto" w:fill="FFFFFF"/>
          <w:lang w:eastAsia="es-MX"/>
        </w:rPr>
        <w:t>firma autógrafa del promovente.</w:t>
      </w:r>
    </w:p>
    <w:p w14:paraId="0E000088" w14:textId="77777777" w:rsidR="00E11D56" w:rsidRDefault="00000000">
      <w:pPr>
        <w:spacing w:before="240" w:line="360" w:lineRule="auto"/>
        <w:jc w:val="both"/>
        <w:rPr>
          <w:rFonts w:ascii="Arial" w:hAnsi="Arial" w:cs="Arial"/>
          <w:sz w:val="24"/>
          <w:szCs w:val="24"/>
          <w:shd w:val="clear" w:color="auto" w:fill="FFFFFF"/>
          <w:lang w:eastAsia="es-MX"/>
        </w:rPr>
      </w:pPr>
      <w:r>
        <w:rPr>
          <w:rFonts w:ascii="Arial" w:hAnsi="Arial" w:cs="Arial"/>
          <w:sz w:val="24"/>
          <w:szCs w:val="24"/>
          <w:shd w:val="clear" w:color="auto" w:fill="FFFFFF"/>
          <w:lang w:eastAsia="es-MX"/>
        </w:rPr>
        <w:t xml:space="preserve">En consecuencia, lo </w:t>
      </w:r>
      <w:r w:rsidRPr="00F11E2B">
        <w:rPr>
          <w:rFonts w:ascii="Arial" w:hAnsi="Arial" w:cs="Arial"/>
          <w:sz w:val="24"/>
          <w:szCs w:val="24"/>
          <w:shd w:val="clear" w:color="auto" w:fill="FFFFFF"/>
          <w:lang w:eastAsia="es-MX"/>
        </w:rPr>
        <w:t xml:space="preserve">procedente es tener </w:t>
      </w:r>
      <w:r w:rsidRPr="00F11E2B">
        <w:rPr>
          <w:rFonts w:ascii="Arial" w:hAnsi="Arial" w:cs="Arial"/>
          <w:b/>
          <w:bCs/>
          <w:sz w:val="24"/>
          <w:szCs w:val="24"/>
          <w:shd w:val="clear" w:color="auto" w:fill="FFFFFF"/>
          <w:lang w:eastAsia="es-MX"/>
        </w:rPr>
        <w:t xml:space="preserve">por no presentado </w:t>
      </w:r>
      <w:r w:rsidRPr="00F11E2B">
        <w:rPr>
          <w:rFonts w:ascii="Arial" w:hAnsi="Arial" w:cs="Arial"/>
          <w:sz w:val="24"/>
          <w:szCs w:val="24"/>
          <w:shd w:val="clear" w:color="auto" w:fill="FFFFFF"/>
          <w:lang w:eastAsia="es-MX"/>
        </w:rPr>
        <w:t>el medio de impugnación</w:t>
      </w:r>
      <w:r w:rsidRPr="00F11E2B">
        <w:rPr>
          <w:rFonts w:ascii="Arial" w:hAnsi="Arial"/>
          <w:sz w:val="24"/>
          <w:lang w:val="es-ES"/>
        </w:rPr>
        <w:t xml:space="preserve">, </w:t>
      </w:r>
      <w:r w:rsidRPr="00F11E2B">
        <w:rPr>
          <w:rFonts w:ascii="Arial" w:hAnsi="Arial" w:cs="Arial"/>
          <w:sz w:val="24"/>
          <w:szCs w:val="24"/>
          <w:lang w:eastAsia="es-MX"/>
        </w:rPr>
        <w:t xml:space="preserve">por lo que respecta al </w:t>
      </w:r>
      <w:r w:rsidRPr="00F11E2B">
        <w:rPr>
          <w:rFonts w:ascii="Arial" w:hAnsi="Arial" w:cs="Arial"/>
          <w:i/>
          <w:iCs/>
          <w:sz w:val="24"/>
          <w:szCs w:val="24"/>
          <w:lang w:eastAsia="es-MX"/>
        </w:rPr>
        <w:t>actor 2</w:t>
      </w:r>
      <w:r w:rsidRPr="00F11E2B">
        <w:rPr>
          <w:rFonts w:ascii="Arial" w:hAnsi="Arial" w:cs="Arial"/>
          <w:sz w:val="24"/>
          <w:szCs w:val="24"/>
          <w:lang w:eastAsia="es-MX"/>
        </w:rPr>
        <w:t xml:space="preserve">, y efectuar el estudio de fondo solo respecto del </w:t>
      </w:r>
      <w:r w:rsidRPr="00F11E2B">
        <w:rPr>
          <w:rFonts w:ascii="Arial" w:hAnsi="Arial" w:cs="Arial"/>
          <w:i/>
          <w:iCs/>
          <w:sz w:val="24"/>
          <w:szCs w:val="24"/>
          <w:lang w:eastAsia="es-MX"/>
        </w:rPr>
        <w:t>actor</w:t>
      </w:r>
      <w:r w:rsidRPr="00F11E2B">
        <w:rPr>
          <w:rFonts w:ascii="Arial" w:hAnsi="Arial" w:cs="Arial"/>
          <w:sz w:val="24"/>
          <w:szCs w:val="24"/>
          <w:lang w:eastAsia="es-MX"/>
        </w:rPr>
        <w:t>.</w:t>
      </w:r>
    </w:p>
    <w:p w14:paraId="3121266B" w14:textId="77777777" w:rsidR="00E11D56" w:rsidRDefault="00000000">
      <w:pPr>
        <w:pStyle w:val="Ttulo2"/>
        <w:numPr>
          <w:ilvl w:val="0"/>
          <w:numId w:val="38"/>
        </w:numPr>
        <w:spacing w:before="100" w:beforeAutospacing="1" w:after="100" w:afterAutospacing="1" w:line="360" w:lineRule="auto"/>
        <w:ind w:left="0" w:right="-91" w:firstLine="0"/>
        <w:jc w:val="center"/>
        <w:rPr>
          <w:rFonts w:ascii="Arial" w:hAnsi="Arial" w:cs="Arial"/>
          <w:b/>
          <w:bCs/>
          <w:color w:val="000000" w:themeColor="text1"/>
          <w:sz w:val="24"/>
          <w:szCs w:val="24"/>
          <w:lang w:val="es-ES_tradnl"/>
        </w:rPr>
      </w:pPr>
      <w:bookmarkStart w:id="14" w:name="_Toc196221397"/>
      <w:bookmarkStart w:id="15" w:name="_Toc234501836"/>
      <w:bookmarkEnd w:id="12"/>
      <w:r>
        <w:rPr>
          <w:rFonts w:ascii="Arial" w:hAnsi="Arial" w:cs="Arial"/>
          <w:b/>
          <w:bCs/>
          <w:color w:val="000000" w:themeColor="text1"/>
          <w:sz w:val="24"/>
          <w:szCs w:val="24"/>
          <w:lang w:val="es-ES_tradnl"/>
        </w:rPr>
        <w:t>REQUISITOS DE PROCED</w:t>
      </w:r>
      <w:bookmarkEnd w:id="14"/>
      <w:r>
        <w:rPr>
          <w:rFonts w:ascii="Arial" w:hAnsi="Arial" w:cs="Arial"/>
          <w:b/>
          <w:bCs/>
          <w:color w:val="000000" w:themeColor="text1"/>
          <w:sz w:val="24"/>
          <w:szCs w:val="24"/>
          <w:lang w:val="es-ES_tradnl"/>
        </w:rPr>
        <w:t>IBILIDAD</w:t>
      </w:r>
      <w:bookmarkEnd w:id="15"/>
    </w:p>
    <w:p w14:paraId="5FCB9582" w14:textId="77777777" w:rsidR="00E11D56" w:rsidRDefault="00000000">
      <w:pPr>
        <w:suppressAutoHyphens/>
        <w:spacing w:before="240" w:after="0" w:line="360" w:lineRule="auto"/>
        <w:jc w:val="both"/>
        <w:rPr>
          <w:rFonts w:ascii="Arial" w:hAnsi="Arial" w:cs="Arial"/>
          <w:sz w:val="24"/>
          <w:szCs w:val="24"/>
          <w:lang w:val="es-ES_tradnl"/>
        </w:rPr>
      </w:pPr>
      <w:r>
        <w:rPr>
          <w:rFonts w:ascii="Arial" w:hAnsi="Arial" w:cs="Arial"/>
          <w:b/>
          <w:sz w:val="24"/>
          <w:szCs w:val="24"/>
          <w:lang w:val="es-ES_tradnl"/>
        </w:rPr>
        <w:t xml:space="preserve">5.1. Oportunidad. </w:t>
      </w:r>
      <w:r>
        <w:rPr>
          <w:rFonts w:ascii="Arial" w:hAnsi="Arial" w:cs="Arial"/>
          <w:sz w:val="24"/>
          <w:szCs w:val="24"/>
          <w:lang w:val="es-ES_tradnl"/>
        </w:rPr>
        <w:t>L</w:t>
      </w:r>
      <w:r>
        <w:rPr>
          <w:rFonts w:ascii="Arial" w:hAnsi="Arial" w:cs="Arial"/>
          <w:sz w:val="24"/>
          <w:szCs w:val="24"/>
          <w:lang w:val="es-ES"/>
        </w:rPr>
        <w:t xml:space="preserve">a presentación de la demanda es oportuna debido a que el escrito que dio origen al presente </w:t>
      </w:r>
      <w:r>
        <w:rPr>
          <w:rFonts w:ascii="Arial" w:hAnsi="Arial" w:cs="Arial"/>
          <w:i/>
          <w:sz w:val="24"/>
          <w:szCs w:val="24"/>
        </w:rPr>
        <w:t>juicio de la ciudadanía</w:t>
      </w:r>
      <w:r>
        <w:rPr>
          <w:rFonts w:ascii="Arial" w:hAnsi="Arial" w:cs="Arial"/>
          <w:sz w:val="24"/>
          <w:szCs w:val="24"/>
        </w:rPr>
        <w:t xml:space="preserve"> deriva de la vista realizada por este </w:t>
      </w:r>
      <w:r>
        <w:rPr>
          <w:rFonts w:ascii="Arial" w:hAnsi="Arial" w:cs="Arial"/>
          <w:i/>
          <w:iCs/>
          <w:sz w:val="24"/>
          <w:szCs w:val="24"/>
        </w:rPr>
        <w:t>órgano jurisdiccional</w:t>
      </w:r>
      <w:r>
        <w:rPr>
          <w:rFonts w:ascii="Arial" w:hAnsi="Arial" w:cs="Arial"/>
          <w:sz w:val="24"/>
          <w:szCs w:val="24"/>
        </w:rPr>
        <w:t xml:space="preserve"> dentro de la sustanciación del diverso </w:t>
      </w:r>
      <w:r>
        <w:rPr>
          <w:rFonts w:ascii="Arial" w:hAnsi="Arial" w:cs="Arial"/>
          <w:i/>
          <w:iCs/>
          <w:sz w:val="24"/>
          <w:szCs w:val="24"/>
        </w:rPr>
        <w:t>juicio de la ciudadanía</w:t>
      </w:r>
      <w:r>
        <w:rPr>
          <w:rFonts w:ascii="Arial" w:hAnsi="Arial" w:cs="Arial"/>
          <w:sz w:val="24"/>
          <w:szCs w:val="24"/>
        </w:rPr>
        <w:t xml:space="preserve"> TEEM-JDC-36/2026; en consecuencia, se actualiza la oportunidad, </w:t>
      </w:r>
      <w:r>
        <w:rPr>
          <w:rFonts w:ascii="Arial" w:eastAsia="Arial" w:hAnsi="Arial" w:cs="Arial"/>
          <w:sz w:val="24"/>
          <w:szCs w:val="24"/>
        </w:rPr>
        <w:t xml:space="preserve">toda vez que, el medio de impugnación fue integrado en cumplimiento a una determinación de este </w:t>
      </w:r>
      <w:r>
        <w:rPr>
          <w:rFonts w:ascii="Arial" w:eastAsia="Arial" w:hAnsi="Arial" w:cs="Arial"/>
          <w:i/>
          <w:iCs/>
          <w:sz w:val="24"/>
          <w:szCs w:val="24"/>
        </w:rPr>
        <w:t xml:space="preserve">Tribunal Electoral. </w:t>
      </w:r>
      <w:r>
        <w:rPr>
          <w:rFonts w:ascii="Arial" w:eastAsia="Arial" w:hAnsi="Arial" w:cs="Arial"/>
          <w:sz w:val="24"/>
          <w:szCs w:val="24"/>
        </w:rPr>
        <w:t xml:space="preserve">Aunado a ello, </w:t>
      </w:r>
      <w:r>
        <w:rPr>
          <w:rFonts w:ascii="Arial" w:hAnsi="Arial" w:cs="Arial"/>
          <w:sz w:val="24"/>
          <w:szCs w:val="24"/>
          <w:lang w:val="es-ES"/>
        </w:rPr>
        <w:t xml:space="preserve">la </w:t>
      </w:r>
      <w:r>
        <w:rPr>
          <w:rFonts w:ascii="Arial" w:hAnsi="Arial" w:cs="Arial"/>
          <w:i/>
          <w:iCs/>
          <w:sz w:val="24"/>
          <w:szCs w:val="24"/>
          <w:lang w:val="es-ES"/>
        </w:rPr>
        <w:t>parte actora</w:t>
      </w:r>
      <w:r>
        <w:rPr>
          <w:rFonts w:ascii="Arial" w:hAnsi="Arial" w:cs="Arial"/>
          <w:sz w:val="24"/>
          <w:szCs w:val="24"/>
          <w:lang w:val="es-ES"/>
        </w:rPr>
        <w:t xml:space="preserve"> se duele de una supuesta omisión que atribuye a la </w:t>
      </w:r>
      <w:r>
        <w:rPr>
          <w:rFonts w:ascii="Arial" w:hAnsi="Arial" w:cs="Arial"/>
          <w:i/>
          <w:iCs/>
          <w:sz w:val="24"/>
          <w:szCs w:val="24"/>
          <w:lang w:val="es-ES"/>
        </w:rPr>
        <w:t>autoridad responsable</w:t>
      </w:r>
      <w:r>
        <w:rPr>
          <w:rFonts w:ascii="Arial" w:hAnsi="Arial" w:cs="Arial"/>
          <w:sz w:val="24"/>
          <w:szCs w:val="24"/>
          <w:lang w:val="es-ES"/>
        </w:rPr>
        <w:t>, cuyo plazo para impugnar se actualiza, mientras subsista la omisión reclamada, al tratarse de un acto de tracto sucesivo</w:t>
      </w:r>
      <w:r>
        <w:rPr>
          <w:rStyle w:val="Refdenotaalpie"/>
          <w:rFonts w:ascii="Arial" w:hAnsi="Arial" w:cs="Arial"/>
          <w:sz w:val="24"/>
          <w:szCs w:val="24"/>
          <w:lang w:val="es-ES"/>
        </w:rPr>
        <w:t xml:space="preserve"> </w:t>
      </w:r>
      <w:r>
        <w:rPr>
          <w:rStyle w:val="Refdenotaalpie"/>
          <w:rFonts w:ascii="Arial" w:hAnsi="Arial" w:cs="Arial"/>
          <w:sz w:val="24"/>
          <w:szCs w:val="24"/>
          <w:lang w:val="es-ES"/>
        </w:rPr>
        <w:footnoteReference w:id="20"/>
      </w:r>
      <w:r>
        <w:rPr>
          <w:rFonts w:ascii="Arial" w:hAnsi="Arial" w:cs="Arial"/>
          <w:sz w:val="24"/>
          <w:szCs w:val="24"/>
          <w:lang w:val="es-ES"/>
        </w:rPr>
        <w:t>.</w:t>
      </w:r>
    </w:p>
    <w:p w14:paraId="203396BD" w14:textId="77777777" w:rsidR="00E11D56" w:rsidRDefault="00000000">
      <w:pPr>
        <w:suppressAutoHyphens/>
        <w:spacing w:before="240" w:after="0" w:line="360" w:lineRule="auto"/>
        <w:jc w:val="both"/>
        <w:rPr>
          <w:rFonts w:ascii="Arial" w:hAnsi="Arial" w:cs="Arial"/>
          <w:sz w:val="24"/>
          <w:szCs w:val="24"/>
          <w:lang w:val="es-ES_tradnl"/>
        </w:rPr>
      </w:pPr>
      <w:r>
        <w:rPr>
          <w:rFonts w:ascii="Arial" w:hAnsi="Arial" w:cs="Arial"/>
          <w:b/>
          <w:sz w:val="24"/>
          <w:szCs w:val="24"/>
          <w:lang w:val="es-ES_tradnl"/>
        </w:rPr>
        <w:t xml:space="preserve">5.2. Forma. </w:t>
      </w:r>
      <w:r>
        <w:rPr>
          <w:rFonts w:ascii="Arial" w:hAnsi="Arial" w:cs="Arial"/>
          <w:sz w:val="24"/>
          <w:szCs w:val="24"/>
          <w:lang w:val="es-ES_tradnl"/>
        </w:rPr>
        <w:t xml:space="preserve">Se satisface, debido a que la demanda se presentó por escrito ante este </w:t>
      </w:r>
      <w:r>
        <w:rPr>
          <w:rFonts w:ascii="Arial" w:hAnsi="Arial" w:cs="Arial"/>
          <w:i/>
          <w:iCs/>
          <w:sz w:val="24"/>
          <w:szCs w:val="24"/>
          <w:lang w:val="es-ES_tradnl"/>
        </w:rPr>
        <w:t>Tribunal Electoral</w:t>
      </w:r>
      <w:r>
        <w:rPr>
          <w:rFonts w:ascii="Arial" w:hAnsi="Arial" w:cs="Arial"/>
          <w:sz w:val="24"/>
          <w:szCs w:val="24"/>
          <w:lang w:val="es-ES_tradnl"/>
        </w:rPr>
        <w:t xml:space="preserve">, señala nombre, firma y carácter con el que comparecen a juicio; identifica el acto combatido y a la </w:t>
      </w:r>
      <w:r>
        <w:rPr>
          <w:rFonts w:ascii="Arial" w:hAnsi="Arial" w:cs="Arial"/>
          <w:i/>
          <w:iCs/>
          <w:sz w:val="24"/>
          <w:szCs w:val="24"/>
          <w:lang w:val="es-ES_tradnl"/>
        </w:rPr>
        <w:t>autoridad responsable</w:t>
      </w:r>
      <w:r>
        <w:rPr>
          <w:rFonts w:ascii="Arial" w:hAnsi="Arial" w:cs="Arial"/>
          <w:sz w:val="24"/>
          <w:szCs w:val="24"/>
          <w:lang w:val="es-ES_tradnl"/>
        </w:rPr>
        <w:t>; expone su relatoría de hechos, los agravios en los que basa su impugnación y preceptos presuntamente violados y ofrece pruebas.</w:t>
      </w:r>
    </w:p>
    <w:p w14:paraId="762A8375" w14:textId="77777777" w:rsidR="00E11D56" w:rsidRDefault="00000000">
      <w:pPr>
        <w:tabs>
          <w:tab w:val="left" w:pos="544"/>
        </w:tabs>
        <w:spacing w:before="240" w:after="0" w:line="360" w:lineRule="auto"/>
        <w:ind w:right="-40"/>
        <w:jc w:val="both"/>
        <w:rPr>
          <w:rFonts w:ascii="Arial" w:hAnsi="Arial" w:cs="Arial"/>
          <w:bCs/>
          <w:sz w:val="24"/>
          <w:szCs w:val="24"/>
        </w:rPr>
      </w:pPr>
      <w:r>
        <w:rPr>
          <w:rFonts w:ascii="Arial" w:hAnsi="Arial" w:cs="Arial"/>
          <w:b/>
          <w:sz w:val="24"/>
          <w:szCs w:val="24"/>
          <w:lang w:val="es-ES_tradnl"/>
        </w:rPr>
        <w:t xml:space="preserve">5.3. Legitimación e interés jurídico. </w:t>
      </w:r>
      <w:r>
        <w:rPr>
          <w:rFonts w:ascii="Arial" w:hAnsi="Arial" w:cs="Arial"/>
          <w:bCs/>
          <w:sz w:val="24"/>
          <w:szCs w:val="24"/>
          <w:lang w:val="es-ES_tradnl"/>
        </w:rPr>
        <w:t>E</w:t>
      </w:r>
      <w:r>
        <w:rPr>
          <w:rFonts w:ascii="Arial" w:hAnsi="Arial" w:cs="Arial"/>
          <w:bCs/>
          <w:sz w:val="24"/>
          <w:szCs w:val="24"/>
        </w:rPr>
        <w:t xml:space="preserve">l juicio es promovido por parte legitima, al ser iniciado por quien asegura ser integrante de la </w:t>
      </w:r>
      <w:r>
        <w:rPr>
          <w:rFonts w:ascii="Arial" w:hAnsi="Arial" w:cs="Arial"/>
          <w:bCs/>
          <w:i/>
          <w:iCs/>
          <w:sz w:val="24"/>
          <w:szCs w:val="24"/>
        </w:rPr>
        <w:t>comunidad</w:t>
      </w:r>
      <w:r>
        <w:rPr>
          <w:rFonts w:ascii="Arial" w:hAnsi="Arial" w:cs="Arial"/>
          <w:bCs/>
          <w:sz w:val="24"/>
          <w:szCs w:val="24"/>
        </w:rPr>
        <w:t xml:space="preserve">, en contra de la supuesta omisión del </w:t>
      </w:r>
      <w:r>
        <w:rPr>
          <w:rFonts w:ascii="Arial" w:hAnsi="Arial" w:cs="Arial"/>
          <w:bCs/>
          <w:i/>
          <w:iCs/>
          <w:sz w:val="24"/>
          <w:szCs w:val="24"/>
        </w:rPr>
        <w:t>IEM</w:t>
      </w:r>
      <w:r>
        <w:rPr>
          <w:rFonts w:ascii="Arial" w:hAnsi="Arial" w:cs="Arial"/>
          <w:bCs/>
          <w:sz w:val="24"/>
          <w:szCs w:val="24"/>
        </w:rPr>
        <w:t xml:space="preserve"> de realizar la consulta indígena y, en consecuencia, permitir la participación política efectiva a los integrantes de la </w:t>
      </w:r>
      <w:r>
        <w:rPr>
          <w:rFonts w:ascii="Arial" w:hAnsi="Arial" w:cs="Arial"/>
          <w:bCs/>
          <w:i/>
          <w:iCs/>
          <w:sz w:val="24"/>
          <w:szCs w:val="24"/>
        </w:rPr>
        <w:t>comunidad</w:t>
      </w:r>
      <w:r>
        <w:rPr>
          <w:rFonts w:ascii="Arial" w:hAnsi="Arial" w:cs="Arial"/>
          <w:sz w:val="24"/>
          <w:szCs w:val="24"/>
        </w:rPr>
        <w:t xml:space="preserve">, lo que, a su decir, vulnera </w:t>
      </w:r>
      <w:r>
        <w:rPr>
          <w:rFonts w:ascii="Arial" w:hAnsi="Arial" w:cs="Arial"/>
          <w:bCs/>
          <w:sz w:val="24"/>
          <w:szCs w:val="24"/>
        </w:rPr>
        <w:t>sus derechos político-electorales de consulta indígena, así como sus derechos a la autonomía y libre autodeterminación</w:t>
      </w:r>
      <w:r>
        <w:rPr>
          <w:rStyle w:val="Refdenotaalpie"/>
          <w:rFonts w:ascii="Arial" w:hAnsi="Arial" w:cs="Arial"/>
          <w:bCs/>
          <w:sz w:val="24"/>
          <w:szCs w:val="24"/>
        </w:rPr>
        <w:footnoteReference w:id="21"/>
      </w:r>
      <w:r>
        <w:rPr>
          <w:rFonts w:ascii="Arial" w:hAnsi="Arial" w:cs="Arial"/>
          <w:bCs/>
          <w:sz w:val="24"/>
          <w:szCs w:val="24"/>
        </w:rPr>
        <w:t xml:space="preserve">. </w:t>
      </w:r>
    </w:p>
    <w:p w14:paraId="5802258D" w14:textId="77777777" w:rsidR="00E11D56" w:rsidRDefault="00000000">
      <w:pPr>
        <w:tabs>
          <w:tab w:val="left" w:pos="544"/>
        </w:tabs>
        <w:spacing w:before="240" w:after="0" w:line="360" w:lineRule="auto"/>
        <w:ind w:right="-40"/>
        <w:jc w:val="both"/>
        <w:rPr>
          <w:rFonts w:ascii="Arial" w:hAnsi="Arial" w:cs="Arial"/>
          <w:bCs/>
          <w:sz w:val="24"/>
          <w:szCs w:val="24"/>
        </w:rPr>
      </w:pPr>
      <w:r>
        <w:rPr>
          <w:rFonts w:ascii="Arial" w:hAnsi="Arial" w:cs="Arial"/>
          <w:sz w:val="24"/>
          <w:szCs w:val="24"/>
        </w:rPr>
        <w:lastRenderedPageBreak/>
        <w:t xml:space="preserve">De conformidad con lo previsto en los artículos 13, fracción I, 15, fracción IV, 73 y 74 de la </w:t>
      </w:r>
      <w:r>
        <w:rPr>
          <w:rFonts w:ascii="Arial" w:hAnsi="Arial" w:cs="Arial"/>
          <w:i/>
          <w:iCs/>
          <w:sz w:val="24"/>
          <w:szCs w:val="24"/>
        </w:rPr>
        <w:t>Ley de Justicia Electoral.</w:t>
      </w:r>
    </w:p>
    <w:p w14:paraId="65676A69" w14:textId="77777777" w:rsidR="00E11D56" w:rsidRDefault="00000000">
      <w:pPr>
        <w:spacing w:before="240" w:line="360" w:lineRule="auto"/>
        <w:jc w:val="both"/>
        <w:rPr>
          <w:rFonts w:ascii="Arial" w:hAnsi="Arial" w:cs="Arial"/>
          <w:sz w:val="24"/>
          <w:szCs w:val="24"/>
          <w:lang w:val="es-ES_tradnl"/>
        </w:rPr>
      </w:pPr>
      <w:r>
        <w:rPr>
          <w:rFonts w:ascii="Arial" w:hAnsi="Arial" w:cs="Arial"/>
          <w:b/>
          <w:sz w:val="24"/>
          <w:szCs w:val="24"/>
          <w:lang w:val="es-ES_tradnl"/>
        </w:rPr>
        <w:t xml:space="preserve">5.4. </w:t>
      </w:r>
      <w:r>
        <w:rPr>
          <w:rFonts w:ascii="Arial" w:hAnsi="Arial" w:cs="Arial"/>
          <w:b/>
          <w:bCs/>
          <w:sz w:val="24"/>
          <w:szCs w:val="24"/>
          <w:lang w:val="es-ES_tradnl"/>
        </w:rPr>
        <w:t>Definitividad.</w:t>
      </w:r>
      <w:r>
        <w:rPr>
          <w:rFonts w:ascii="Arial" w:hAnsi="Arial" w:cs="Arial"/>
          <w:sz w:val="24"/>
          <w:szCs w:val="24"/>
          <w:lang w:val="es-ES_tradnl"/>
        </w:rPr>
        <w:t xml:space="preserve"> Se cumple, ya que no existe medio de defensa que deba ser agotado previo a acudir a esta instancia.</w:t>
      </w:r>
    </w:p>
    <w:p w14:paraId="4B6A3654" w14:textId="77777777" w:rsidR="00E11D56" w:rsidRDefault="00000000">
      <w:pPr>
        <w:pStyle w:val="Ttulo2"/>
        <w:numPr>
          <w:ilvl w:val="0"/>
          <w:numId w:val="38"/>
        </w:numPr>
        <w:spacing w:before="100" w:beforeAutospacing="1" w:after="100" w:afterAutospacing="1" w:line="360" w:lineRule="auto"/>
        <w:ind w:left="0" w:right="-91" w:firstLine="0"/>
        <w:jc w:val="center"/>
        <w:rPr>
          <w:rFonts w:ascii="Arial" w:hAnsi="Arial" w:cs="Arial"/>
          <w:b/>
          <w:color w:val="auto"/>
          <w:sz w:val="24"/>
          <w:szCs w:val="24"/>
        </w:rPr>
      </w:pPr>
      <w:bookmarkStart w:id="16" w:name="_Toc234501837"/>
      <w:bookmarkStart w:id="17" w:name="_Toc85724619"/>
      <w:r>
        <w:rPr>
          <w:rFonts w:ascii="Arial" w:hAnsi="Arial" w:cs="Arial"/>
          <w:b/>
          <w:bCs/>
          <w:color w:val="auto"/>
          <w:sz w:val="24"/>
          <w:szCs w:val="24"/>
          <w:lang w:val="es-ES_tradnl"/>
        </w:rPr>
        <w:t>JUZGAR</w:t>
      </w:r>
      <w:r>
        <w:rPr>
          <w:rFonts w:ascii="Arial" w:hAnsi="Arial" w:cs="Arial"/>
          <w:b/>
          <w:color w:val="auto"/>
          <w:sz w:val="24"/>
          <w:szCs w:val="24"/>
        </w:rPr>
        <w:t xml:space="preserve"> CON PERSPECTIVA INTERCULTURAL</w:t>
      </w:r>
      <w:bookmarkEnd w:id="16"/>
    </w:p>
    <w:p w14:paraId="44B31BD7" w14:textId="77777777" w:rsidR="00E11D56" w:rsidRDefault="00000000">
      <w:pPr>
        <w:spacing w:line="360" w:lineRule="auto"/>
        <w:jc w:val="both"/>
        <w:rPr>
          <w:rFonts w:ascii="Arial" w:hAnsi="Arial" w:cs="Arial"/>
          <w:sz w:val="24"/>
          <w:szCs w:val="24"/>
        </w:rPr>
      </w:pPr>
      <w:r>
        <w:rPr>
          <w:rFonts w:ascii="Arial" w:hAnsi="Arial" w:cs="Arial"/>
          <w:sz w:val="24"/>
          <w:szCs w:val="24"/>
        </w:rPr>
        <w:t xml:space="preserve">Juzgar con perspectiva intercultural exige reconocer la legitimidad del sistema normativo interno de la </w:t>
      </w:r>
      <w:r>
        <w:rPr>
          <w:rFonts w:ascii="Arial" w:hAnsi="Arial" w:cs="Arial"/>
          <w:i/>
          <w:iCs/>
          <w:sz w:val="24"/>
          <w:szCs w:val="24"/>
        </w:rPr>
        <w:t>comunidad</w:t>
      </w:r>
      <w:r>
        <w:rPr>
          <w:rFonts w:ascii="Arial" w:hAnsi="Arial" w:cs="Arial"/>
          <w:sz w:val="24"/>
          <w:szCs w:val="24"/>
        </w:rPr>
        <w:t>, coordinar cualquier intervención con las autoridades tradicionales y evitar imponer decisiones que desconozcan su propia organización, pues ello podría agravar el conflicto en lugar de resolverlo.</w:t>
      </w:r>
    </w:p>
    <w:p w14:paraId="263FF374" w14:textId="77777777" w:rsidR="00E11D56" w:rsidRDefault="00000000">
      <w:pPr>
        <w:spacing w:line="360" w:lineRule="auto"/>
        <w:jc w:val="both"/>
        <w:rPr>
          <w:rFonts w:ascii="Arial" w:hAnsi="Arial" w:cs="Arial"/>
          <w:sz w:val="24"/>
          <w:szCs w:val="24"/>
        </w:rPr>
      </w:pPr>
      <w:r>
        <w:rPr>
          <w:rFonts w:ascii="Arial" w:hAnsi="Arial" w:cs="Arial"/>
          <w:sz w:val="24"/>
          <w:szCs w:val="24"/>
        </w:rPr>
        <w:t>Lo anterior, representa una circunstancia suficiente conforme a la jurisprudencia de la </w:t>
      </w:r>
      <w:r>
        <w:rPr>
          <w:rFonts w:ascii="Arial" w:hAnsi="Arial" w:cs="Arial"/>
          <w:i/>
          <w:iCs/>
          <w:sz w:val="24"/>
          <w:szCs w:val="24"/>
        </w:rPr>
        <w:t>Sala Superior</w:t>
      </w:r>
      <w:r>
        <w:rPr>
          <w:rStyle w:val="Refdenotaalpie"/>
          <w:rFonts w:ascii="Arial" w:hAnsi="Arial" w:cs="Arial"/>
          <w:i/>
          <w:iCs/>
          <w:sz w:val="24"/>
          <w:szCs w:val="24"/>
        </w:rPr>
        <w:footnoteReference w:id="22"/>
      </w:r>
      <w:r>
        <w:rPr>
          <w:rFonts w:ascii="Arial" w:hAnsi="Arial" w:cs="Arial"/>
          <w:sz w:val="24"/>
          <w:szCs w:val="24"/>
        </w:rPr>
        <w:t>, para activar la protección reforzada prevista en los artículos 1º y 2º de la </w:t>
      </w:r>
      <w:r>
        <w:rPr>
          <w:rFonts w:ascii="Arial" w:hAnsi="Arial" w:cs="Arial"/>
          <w:i/>
          <w:iCs/>
          <w:sz w:val="24"/>
          <w:szCs w:val="24"/>
        </w:rPr>
        <w:t>Constitución General; </w:t>
      </w:r>
      <w:r>
        <w:rPr>
          <w:rFonts w:ascii="Arial" w:hAnsi="Arial" w:cs="Arial"/>
          <w:sz w:val="24"/>
          <w:szCs w:val="24"/>
        </w:rPr>
        <w:t>1.2 y 27 del Convenio 169 de la Organización Internacional del Trabajo sobre Pueblos Indígenas y Tribales en Países Independientes; así como el artículo 26 de la Declaración de las Naciones Unidas sobre los Derechos de los Pueblos Indígenas</w:t>
      </w:r>
      <w:r>
        <w:rPr>
          <w:rStyle w:val="Refdenotaalpie"/>
          <w:rFonts w:ascii="Arial" w:hAnsi="Arial" w:cs="Arial"/>
          <w:sz w:val="24"/>
          <w:szCs w:val="24"/>
        </w:rPr>
        <w:footnoteReference w:id="23"/>
      </w:r>
      <w:r>
        <w:rPr>
          <w:rFonts w:ascii="Arial" w:hAnsi="Arial" w:cs="Arial"/>
          <w:sz w:val="24"/>
          <w:szCs w:val="24"/>
        </w:rPr>
        <w:t>.</w:t>
      </w:r>
    </w:p>
    <w:p w14:paraId="7E6B75A4" w14:textId="77777777" w:rsidR="00E11D56" w:rsidRDefault="00000000">
      <w:pPr>
        <w:spacing w:line="360" w:lineRule="auto"/>
        <w:jc w:val="both"/>
        <w:rPr>
          <w:rFonts w:ascii="Arial" w:hAnsi="Arial" w:cs="Arial"/>
          <w:sz w:val="24"/>
          <w:szCs w:val="24"/>
        </w:rPr>
      </w:pPr>
      <w:r>
        <w:rPr>
          <w:rFonts w:ascii="Arial" w:hAnsi="Arial" w:cs="Arial"/>
          <w:sz w:val="24"/>
          <w:szCs w:val="24"/>
        </w:rPr>
        <w:t>Aunado a lo anterior, juzgar con perspectiva intercultural es indispensable para no desarticular el tejido comunitario, implica reconocer que los roles, jerarquías y formas de resolver disputas se rigen por usos y costumbres propios.</w:t>
      </w:r>
    </w:p>
    <w:p w14:paraId="7B8CFFDF" w14:textId="77777777" w:rsidR="00E11D56" w:rsidRDefault="00000000">
      <w:pPr>
        <w:spacing w:line="360" w:lineRule="auto"/>
        <w:jc w:val="both"/>
        <w:rPr>
          <w:rFonts w:ascii="Arial" w:hAnsi="Arial" w:cs="Arial"/>
          <w:sz w:val="24"/>
          <w:szCs w:val="24"/>
        </w:rPr>
      </w:pPr>
      <w:r>
        <w:rPr>
          <w:rFonts w:ascii="Arial" w:hAnsi="Arial" w:cs="Arial"/>
          <w:sz w:val="24"/>
          <w:szCs w:val="24"/>
        </w:rPr>
        <w:t>Bajo esta óptica, las autoridades deben garantizar que:</w:t>
      </w:r>
    </w:p>
    <w:p w14:paraId="6B411268" w14:textId="77777777" w:rsidR="00E11D56" w:rsidRDefault="00000000">
      <w:pPr>
        <w:numPr>
          <w:ilvl w:val="0"/>
          <w:numId w:val="28"/>
        </w:numPr>
        <w:spacing w:line="360" w:lineRule="auto"/>
        <w:jc w:val="both"/>
        <w:rPr>
          <w:rFonts w:ascii="Arial" w:hAnsi="Arial" w:cs="Arial"/>
          <w:sz w:val="24"/>
          <w:szCs w:val="24"/>
        </w:rPr>
      </w:pPr>
      <w:r>
        <w:rPr>
          <w:rFonts w:ascii="Arial" w:hAnsi="Arial" w:cs="Arial"/>
          <w:sz w:val="24"/>
          <w:szCs w:val="24"/>
        </w:rPr>
        <w:t>La investigación y la valoración de pruebas ponderen usos y costumbres, evitando estereotipos etnocéntricos; y</w:t>
      </w:r>
    </w:p>
    <w:p w14:paraId="3A6C1E7C" w14:textId="77777777" w:rsidR="00E11D56" w:rsidRDefault="00000000">
      <w:pPr>
        <w:numPr>
          <w:ilvl w:val="0"/>
          <w:numId w:val="28"/>
        </w:numPr>
        <w:spacing w:line="360" w:lineRule="auto"/>
        <w:jc w:val="both"/>
        <w:rPr>
          <w:rFonts w:ascii="Arial" w:hAnsi="Arial" w:cs="Arial"/>
          <w:sz w:val="24"/>
          <w:szCs w:val="24"/>
        </w:rPr>
      </w:pPr>
      <w:r>
        <w:rPr>
          <w:rFonts w:ascii="Arial" w:hAnsi="Arial" w:cs="Arial"/>
          <w:sz w:val="24"/>
          <w:szCs w:val="24"/>
        </w:rPr>
        <w:t xml:space="preserve">Se respete el principio de libre determinación comunitaria, sin abdicar de la obligación estatal de proteger los derechos humanos de la </w:t>
      </w:r>
      <w:r>
        <w:rPr>
          <w:rFonts w:ascii="Arial" w:hAnsi="Arial" w:cs="Arial"/>
          <w:i/>
          <w:iCs/>
          <w:sz w:val="24"/>
          <w:szCs w:val="24"/>
        </w:rPr>
        <w:t>parte actora</w:t>
      </w:r>
      <w:r>
        <w:rPr>
          <w:rFonts w:ascii="Arial" w:hAnsi="Arial" w:cs="Arial"/>
          <w:sz w:val="24"/>
          <w:szCs w:val="24"/>
        </w:rPr>
        <w:t>.</w:t>
      </w:r>
    </w:p>
    <w:p w14:paraId="60DA5AE1" w14:textId="77777777" w:rsidR="00E11D56" w:rsidRPr="00F11E2B" w:rsidRDefault="00000000">
      <w:pPr>
        <w:spacing w:line="360" w:lineRule="auto"/>
        <w:jc w:val="both"/>
        <w:rPr>
          <w:rFonts w:ascii="Arial" w:hAnsi="Arial" w:cs="Arial"/>
          <w:sz w:val="24"/>
          <w:szCs w:val="24"/>
        </w:rPr>
      </w:pPr>
      <w:r w:rsidRPr="00F11E2B">
        <w:rPr>
          <w:rFonts w:ascii="Arial" w:hAnsi="Arial" w:cs="Arial"/>
          <w:sz w:val="24"/>
          <w:szCs w:val="24"/>
        </w:rPr>
        <w:t xml:space="preserve">En este sentido, en el presente asunto resulta necesario que este </w:t>
      </w:r>
      <w:r w:rsidRPr="00F11E2B">
        <w:rPr>
          <w:rFonts w:ascii="Arial" w:hAnsi="Arial" w:cs="Arial"/>
          <w:i/>
          <w:iCs/>
          <w:sz w:val="24"/>
          <w:szCs w:val="24"/>
        </w:rPr>
        <w:t>Tribunal Electoral</w:t>
      </w:r>
      <w:r w:rsidRPr="00F11E2B">
        <w:rPr>
          <w:rFonts w:ascii="Arial" w:hAnsi="Arial" w:cs="Arial"/>
          <w:sz w:val="24"/>
          <w:szCs w:val="24"/>
        </w:rPr>
        <w:t xml:space="preserve"> analice la controversia desde una perspectiva intercultural, ya que la materia de impugnación se relaciona con la presunta omisión del </w:t>
      </w:r>
      <w:r w:rsidRPr="00F11E2B">
        <w:rPr>
          <w:rFonts w:ascii="Arial" w:hAnsi="Arial" w:cs="Arial"/>
          <w:i/>
          <w:iCs/>
          <w:sz w:val="24"/>
          <w:szCs w:val="24"/>
        </w:rPr>
        <w:t>Instituto</w:t>
      </w:r>
      <w:r w:rsidRPr="00F11E2B">
        <w:rPr>
          <w:rFonts w:ascii="Arial" w:hAnsi="Arial" w:cs="Arial"/>
          <w:sz w:val="24"/>
          <w:szCs w:val="24"/>
        </w:rPr>
        <w:t xml:space="preserve"> de realizar una consulta previa, libre e informada para la transferencia de recursos públicos a la </w:t>
      </w:r>
      <w:r w:rsidRPr="00F11E2B">
        <w:rPr>
          <w:rFonts w:ascii="Arial" w:hAnsi="Arial" w:cs="Arial"/>
          <w:i/>
          <w:iCs/>
          <w:sz w:val="24"/>
          <w:szCs w:val="24"/>
        </w:rPr>
        <w:t>comunidad.</w:t>
      </w:r>
      <w:r w:rsidRPr="00F11E2B">
        <w:rPr>
          <w:rFonts w:ascii="Arial" w:hAnsi="Arial" w:cs="Arial"/>
          <w:sz w:val="24"/>
          <w:szCs w:val="24"/>
        </w:rPr>
        <w:t xml:space="preserve"> Dicha omisión podría incidir directamente en el ejercicio </w:t>
      </w:r>
      <w:r w:rsidRPr="00F11E2B">
        <w:rPr>
          <w:rFonts w:ascii="Arial" w:hAnsi="Arial" w:cs="Arial"/>
          <w:sz w:val="24"/>
          <w:szCs w:val="24"/>
        </w:rPr>
        <w:lastRenderedPageBreak/>
        <w:t xml:space="preserve">de su derecho a la libre determinación, al autogobierno y a decidir, conforme a sus propios sistemas normativos internos, la forma en que administra los recursos públicos que le corresponden. </w:t>
      </w:r>
    </w:p>
    <w:p w14:paraId="33DD4FCB" w14:textId="77777777" w:rsidR="00E11D56" w:rsidRPr="00F11E2B" w:rsidRDefault="00000000">
      <w:pPr>
        <w:spacing w:line="360" w:lineRule="auto"/>
        <w:jc w:val="both"/>
        <w:rPr>
          <w:rFonts w:ascii="Arial" w:hAnsi="Arial" w:cs="Arial"/>
          <w:sz w:val="24"/>
          <w:szCs w:val="24"/>
        </w:rPr>
      </w:pPr>
      <w:r w:rsidRPr="00F11E2B">
        <w:rPr>
          <w:rFonts w:ascii="Arial" w:hAnsi="Arial" w:cs="Arial"/>
          <w:sz w:val="24"/>
          <w:szCs w:val="24"/>
        </w:rPr>
        <w:t xml:space="preserve">Por ello, el estudio del caso no puede limitarse a un análisis estrictamente formal de la actuación de la </w:t>
      </w:r>
      <w:r w:rsidRPr="00F11E2B">
        <w:rPr>
          <w:rFonts w:ascii="Arial" w:hAnsi="Arial" w:cs="Arial"/>
          <w:i/>
          <w:iCs/>
          <w:sz w:val="24"/>
          <w:szCs w:val="24"/>
        </w:rPr>
        <w:t>autoridad responsable</w:t>
      </w:r>
      <w:r w:rsidRPr="00F11E2B">
        <w:rPr>
          <w:rFonts w:ascii="Arial" w:hAnsi="Arial" w:cs="Arial"/>
          <w:sz w:val="24"/>
          <w:szCs w:val="24"/>
        </w:rPr>
        <w:t xml:space="preserve">, sino que debe considerar el contexto de la controversia y la </w:t>
      </w:r>
      <w:r w:rsidRPr="00F11E2B">
        <w:rPr>
          <w:rFonts w:ascii="Arial" w:hAnsi="Arial" w:cs="Arial"/>
          <w:i/>
          <w:iCs/>
          <w:sz w:val="24"/>
          <w:szCs w:val="24"/>
        </w:rPr>
        <w:t>comunidad</w:t>
      </w:r>
      <w:r w:rsidRPr="00F11E2B">
        <w:rPr>
          <w:rFonts w:ascii="Arial" w:hAnsi="Arial" w:cs="Arial"/>
          <w:sz w:val="24"/>
          <w:szCs w:val="24"/>
        </w:rPr>
        <w:t>, desde una perspectiva intercultural, a fin de garantizar una tutela judicial efectiva y compatible con los derechos de los pueblos y comunidades indígenas.</w:t>
      </w:r>
    </w:p>
    <w:p w14:paraId="4C4AE15B" w14:textId="77777777" w:rsidR="00E11D56" w:rsidRDefault="00000000">
      <w:pPr>
        <w:spacing w:line="360" w:lineRule="auto"/>
        <w:jc w:val="both"/>
        <w:rPr>
          <w:rFonts w:ascii="Arial" w:hAnsi="Arial" w:cs="Arial"/>
          <w:sz w:val="24"/>
          <w:szCs w:val="24"/>
        </w:rPr>
      </w:pPr>
      <w:r w:rsidRPr="00F11E2B">
        <w:rPr>
          <w:rFonts w:ascii="Arial" w:hAnsi="Arial" w:cs="Arial"/>
          <w:sz w:val="24"/>
          <w:szCs w:val="24"/>
        </w:rPr>
        <w:t>Asimismo, este </w:t>
      </w:r>
      <w:r w:rsidRPr="00F11E2B">
        <w:rPr>
          <w:rFonts w:ascii="Arial" w:hAnsi="Arial" w:cs="Arial"/>
          <w:i/>
          <w:iCs/>
          <w:sz w:val="24"/>
          <w:szCs w:val="24"/>
        </w:rPr>
        <w:t>Tribunal Electoral </w:t>
      </w:r>
      <w:r w:rsidRPr="00F11E2B">
        <w:rPr>
          <w:rFonts w:ascii="Arial" w:hAnsi="Arial" w:cs="Arial"/>
          <w:sz w:val="24"/>
          <w:szCs w:val="24"/>
        </w:rPr>
        <w:t xml:space="preserve">suplirá la deficiencia de la queja a fin de proteger el derecho de la </w:t>
      </w:r>
      <w:r w:rsidRPr="00F11E2B">
        <w:rPr>
          <w:rFonts w:ascii="Arial" w:hAnsi="Arial" w:cs="Arial"/>
          <w:i/>
          <w:iCs/>
          <w:sz w:val="24"/>
          <w:szCs w:val="24"/>
        </w:rPr>
        <w:t>comunidad</w:t>
      </w:r>
      <w:r w:rsidRPr="00F11E2B">
        <w:rPr>
          <w:rFonts w:ascii="Arial" w:hAnsi="Arial" w:cs="Arial"/>
          <w:sz w:val="24"/>
          <w:szCs w:val="24"/>
        </w:rPr>
        <w:t xml:space="preserve"> a la tutela jurisdiccional</w:t>
      </w:r>
      <w:r>
        <w:rPr>
          <w:rFonts w:ascii="Arial" w:hAnsi="Arial" w:cs="Arial"/>
          <w:sz w:val="24"/>
          <w:szCs w:val="24"/>
        </w:rPr>
        <w:t xml:space="preserve"> efectiva previsto en el artículo 17 constitucional, con el fin de superar las desventajas procesales en que se puedan encontrar por sus circunstancias culturales, económicas o sociales</w:t>
      </w:r>
      <w:r>
        <w:rPr>
          <w:rStyle w:val="Refdenotaalpie"/>
          <w:rFonts w:ascii="Arial" w:hAnsi="Arial" w:cs="Arial"/>
          <w:sz w:val="24"/>
          <w:szCs w:val="24"/>
        </w:rPr>
        <w:footnoteReference w:id="24"/>
      </w:r>
      <w:r>
        <w:rPr>
          <w:rFonts w:ascii="Arial" w:hAnsi="Arial" w:cs="Arial"/>
          <w:sz w:val="24"/>
          <w:szCs w:val="24"/>
        </w:rPr>
        <w:t>, así como de privilegiar los pronunciamientos de fondo, evitando obstáculos procesales que podrían traer como consecuencia la dilación de los procesos jurisdiccionales</w:t>
      </w:r>
      <w:r>
        <w:rPr>
          <w:rStyle w:val="Refdenotaalpie"/>
          <w:rFonts w:ascii="Arial" w:hAnsi="Arial" w:cs="Arial"/>
          <w:sz w:val="24"/>
          <w:szCs w:val="24"/>
        </w:rPr>
        <w:footnoteReference w:id="25"/>
      </w:r>
      <w:r>
        <w:rPr>
          <w:rFonts w:ascii="Arial" w:hAnsi="Arial" w:cs="Arial"/>
          <w:sz w:val="24"/>
          <w:szCs w:val="24"/>
        </w:rPr>
        <w:t>.</w:t>
      </w:r>
    </w:p>
    <w:p w14:paraId="6FB44C41" w14:textId="77777777" w:rsidR="00E11D56" w:rsidRDefault="00000000">
      <w:pPr>
        <w:pStyle w:val="Ttulo2"/>
        <w:numPr>
          <w:ilvl w:val="0"/>
          <w:numId w:val="38"/>
        </w:numPr>
        <w:spacing w:before="100" w:beforeAutospacing="1" w:after="100" w:afterAutospacing="1" w:line="360" w:lineRule="auto"/>
        <w:ind w:left="0" w:right="-91" w:firstLine="0"/>
        <w:jc w:val="center"/>
        <w:rPr>
          <w:rFonts w:ascii="Arial" w:hAnsi="Arial" w:cs="Arial"/>
          <w:b/>
          <w:color w:val="auto"/>
          <w:sz w:val="24"/>
          <w:szCs w:val="24"/>
        </w:rPr>
      </w:pPr>
      <w:bookmarkStart w:id="18" w:name="_Toc234501838"/>
      <w:r>
        <w:rPr>
          <w:rFonts w:ascii="Arial" w:hAnsi="Arial" w:cs="Arial"/>
          <w:b/>
          <w:bCs/>
          <w:color w:val="auto"/>
          <w:sz w:val="24"/>
          <w:szCs w:val="24"/>
        </w:rPr>
        <w:t>CONTEXTO DE LA </w:t>
      </w:r>
      <w:r>
        <w:rPr>
          <w:rFonts w:ascii="Arial" w:hAnsi="Arial" w:cs="Arial"/>
          <w:b/>
          <w:bCs/>
          <w:i/>
          <w:iCs/>
          <w:color w:val="auto"/>
          <w:sz w:val="24"/>
          <w:szCs w:val="24"/>
        </w:rPr>
        <w:t>COMUNIDAD</w:t>
      </w:r>
      <w:bookmarkEnd w:id="18"/>
    </w:p>
    <w:p w14:paraId="72DE3E8A" w14:textId="77777777" w:rsidR="00E11D56" w:rsidRDefault="00000000">
      <w:pPr>
        <w:spacing w:line="360" w:lineRule="auto"/>
        <w:jc w:val="both"/>
        <w:rPr>
          <w:rFonts w:ascii="Arial" w:hAnsi="Arial" w:cs="Arial"/>
          <w:sz w:val="24"/>
          <w:szCs w:val="24"/>
        </w:rPr>
      </w:pPr>
      <w:r>
        <w:rPr>
          <w:rFonts w:ascii="Arial" w:hAnsi="Arial" w:cs="Arial"/>
          <w:sz w:val="24"/>
          <w:szCs w:val="24"/>
        </w:rPr>
        <w:t>El Estado de Michoacán se conforma de 113 municipios, entre ellos Zitácuaro, el cual tiene su cabecera en la Heroíca Ciudad de Zitácuaro, de conformidad con el artículo 3 de la Ley Orgánica Municipal del Estado de Michoacán de Ocampo</w:t>
      </w:r>
      <w:r>
        <w:rPr>
          <w:rFonts w:ascii="Arial" w:hAnsi="Arial" w:cs="Arial"/>
          <w:i/>
          <w:iCs/>
          <w:sz w:val="24"/>
          <w:szCs w:val="24"/>
        </w:rPr>
        <w:t> </w:t>
      </w:r>
      <w:r>
        <w:rPr>
          <w:rFonts w:ascii="Arial" w:hAnsi="Arial" w:cs="Arial"/>
          <w:sz w:val="24"/>
          <w:szCs w:val="24"/>
        </w:rPr>
        <w:t>y 6 de la Ley Orgánica de División Territorial de Michoacán.</w:t>
      </w:r>
    </w:p>
    <w:p w14:paraId="531227BF" w14:textId="77777777" w:rsidR="00E11D56" w:rsidRDefault="00000000">
      <w:pPr>
        <w:spacing w:line="360" w:lineRule="auto"/>
        <w:jc w:val="both"/>
        <w:rPr>
          <w:rFonts w:ascii="Arial" w:hAnsi="Arial" w:cs="Arial"/>
          <w:sz w:val="24"/>
          <w:szCs w:val="24"/>
        </w:rPr>
      </w:pPr>
      <w:r>
        <w:rPr>
          <w:rFonts w:ascii="Arial" w:hAnsi="Arial" w:cs="Arial"/>
          <w:sz w:val="24"/>
          <w:szCs w:val="24"/>
        </w:rPr>
        <w:t xml:space="preserve">Acorde a esta normativa y al Bando de Gobierno de Zitácuaro, este municipio se divide en una Cabecera Municipal, trece Tenencias y cinco </w:t>
      </w:r>
      <w:proofErr w:type="spellStart"/>
      <w:r>
        <w:rPr>
          <w:rFonts w:ascii="Arial" w:hAnsi="Arial" w:cs="Arial"/>
          <w:sz w:val="24"/>
          <w:szCs w:val="24"/>
        </w:rPr>
        <w:t>encargaturas</w:t>
      </w:r>
      <w:proofErr w:type="spellEnd"/>
      <w:r>
        <w:rPr>
          <w:rFonts w:ascii="Arial" w:hAnsi="Arial" w:cs="Arial"/>
          <w:sz w:val="24"/>
          <w:szCs w:val="24"/>
        </w:rPr>
        <w:t xml:space="preserve"> independientes.</w:t>
      </w:r>
    </w:p>
    <w:p w14:paraId="7A8BAEB6" w14:textId="77777777" w:rsidR="00E11D56" w:rsidRDefault="00000000">
      <w:pPr>
        <w:spacing w:line="360" w:lineRule="auto"/>
        <w:jc w:val="both"/>
        <w:rPr>
          <w:rFonts w:ascii="Arial" w:hAnsi="Arial" w:cs="Arial"/>
          <w:sz w:val="24"/>
          <w:szCs w:val="24"/>
        </w:rPr>
      </w:pPr>
      <w:r>
        <w:rPr>
          <w:rFonts w:ascii="Arial" w:hAnsi="Arial" w:cs="Arial"/>
          <w:sz w:val="24"/>
          <w:szCs w:val="24"/>
        </w:rPr>
        <w:t>Cabe destacar que, conforme al portal oficial del </w:t>
      </w:r>
      <w:r>
        <w:rPr>
          <w:rFonts w:ascii="Arial" w:hAnsi="Arial" w:cs="Arial"/>
          <w:i/>
          <w:iCs/>
          <w:sz w:val="24"/>
          <w:szCs w:val="24"/>
        </w:rPr>
        <w:t>Ayuntamiento, </w:t>
      </w:r>
      <w:r>
        <w:rPr>
          <w:rFonts w:ascii="Arial" w:hAnsi="Arial" w:cs="Arial"/>
          <w:sz w:val="24"/>
          <w:szCs w:val="24"/>
        </w:rPr>
        <w:t>hasta el año 1897 se denominaba oficialmente San Bartolomé del Monte, aunque también se le conocía comúnmente como San Bartolo; no obstante, a partir de aquel año, su nombre se cambió en homenaje a este personaje que formó parte del grupo de dirigentes chinacos que durante la Guerra de Reforma fue jefe de la Guardia Nacional de Zitácuaro</w:t>
      </w:r>
      <w:r>
        <w:rPr>
          <w:rStyle w:val="Refdenotaalpie"/>
          <w:rFonts w:ascii="Arial" w:hAnsi="Arial" w:cs="Arial"/>
          <w:sz w:val="24"/>
          <w:szCs w:val="24"/>
        </w:rPr>
        <w:footnoteReference w:id="26"/>
      </w:r>
      <w:r>
        <w:rPr>
          <w:rFonts w:ascii="Arial" w:hAnsi="Arial" w:cs="Arial"/>
          <w:sz w:val="24"/>
          <w:szCs w:val="24"/>
        </w:rPr>
        <w:t>.</w:t>
      </w:r>
    </w:p>
    <w:p w14:paraId="5BBA84A3" w14:textId="77777777" w:rsidR="00E11D56" w:rsidRDefault="00000000">
      <w:pPr>
        <w:spacing w:line="360" w:lineRule="auto"/>
        <w:jc w:val="both"/>
        <w:rPr>
          <w:rFonts w:ascii="Arial" w:hAnsi="Arial" w:cs="Arial"/>
          <w:sz w:val="24"/>
          <w:szCs w:val="24"/>
        </w:rPr>
      </w:pPr>
      <w:r>
        <w:rPr>
          <w:rFonts w:ascii="Arial" w:hAnsi="Arial" w:cs="Arial"/>
          <w:sz w:val="24"/>
          <w:szCs w:val="24"/>
        </w:rPr>
        <w:lastRenderedPageBreak/>
        <w:t>Así como que se registró en el Catálogo Nacional de Pueblos y Comunidades Indígenas y Afromexicanas del Instituto Nacional de Pueblos Indígenas en dos mil veintidós</w:t>
      </w:r>
      <w:r>
        <w:rPr>
          <w:rStyle w:val="Refdenotaalpie"/>
          <w:rFonts w:ascii="Arial" w:hAnsi="Arial" w:cs="Arial"/>
          <w:sz w:val="24"/>
          <w:szCs w:val="24"/>
        </w:rPr>
        <w:footnoteReference w:id="27"/>
      </w:r>
      <w:r>
        <w:rPr>
          <w:rFonts w:ascii="Arial" w:hAnsi="Arial" w:cs="Arial"/>
          <w:sz w:val="24"/>
          <w:szCs w:val="24"/>
        </w:rPr>
        <w:t>.</w:t>
      </w:r>
    </w:p>
    <w:p w14:paraId="1D7F3942" w14:textId="77777777" w:rsidR="00E11D56" w:rsidRDefault="00000000">
      <w:pPr>
        <w:spacing w:line="360" w:lineRule="auto"/>
        <w:jc w:val="both"/>
        <w:rPr>
          <w:rFonts w:ascii="Arial" w:hAnsi="Arial" w:cs="Arial"/>
          <w:sz w:val="24"/>
          <w:szCs w:val="24"/>
        </w:rPr>
      </w:pPr>
      <w:r>
        <w:rPr>
          <w:rFonts w:ascii="Arial" w:hAnsi="Arial" w:cs="Arial"/>
          <w:b/>
          <w:bCs/>
          <w:sz w:val="24"/>
          <w:szCs w:val="24"/>
        </w:rPr>
        <w:t>7.1. Ubicación e integración</w:t>
      </w:r>
    </w:p>
    <w:p w14:paraId="34C45CDD" w14:textId="77777777" w:rsidR="00E11D56" w:rsidRDefault="00000000">
      <w:pPr>
        <w:spacing w:line="360" w:lineRule="auto"/>
        <w:jc w:val="both"/>
        <w:rPr>
          <w:rFonts w:ascii="Arial" w:hAnsi="Arial" w:cs="Arial"/>
          <w:sz w:val="24"/>
          <w:szCs w:val="24"/>
        </w:rPr>
      </w:pPr>
      <w:r>
        <w:rPr>
          <w:rFonts w:ascii="Arial" w:hAnsi="Arial" w:cs="Arial"/>
          <w:sz w:val="24"/>
          <w:szCs w:val="24"/>
        </w:rPr>
        <w:t>La </w:t>
      </w:r>
      <w:r>
        <w:rPr>
          <w:rFonts w:ascii="Arial" w:hAnsi="Arial" w:cs="Arial"/>
          <w:i/>
          <w:iCs/>
          <w:sz w:val="24"/>
          <w:szCs w:val="24"/>
        </w:rPr>
        <w:t>comunidad </w:t>
      </w:r>
      <w:r>
        <w:rPr>
          <w:rFonts w:ascii="Arial" w:hAnsi="Arial" w:cs="Arial"/>
          <w:sz w:val="24"/>
          <w:szCs w:val="24"/>
        </w:rPr>
        <w:t>constituye políticamente una tenencia, misma que colinda y limita, por el norte, con el municipio de Ocampo; por el sur, con la tenencia de San Juan Zitácuaro; por el oriente, con Crescencio Morales; y por el poniente con Donaciano Ojeda</w:t>
      </w:r>
      <w:r>
        <w:rPr>
          <w:rStyle w:val="Refdenotaalpie"/>
          <w:rFonts w:ascii="Arial" w:hAnsi="Arial" w:cs="Arial"/>
          <w:sz w:val="24"/>
          <w:szCs w:val="24"/>
        </w:rPr>
        <w:footnoteReference w:id="28"/>
      </w:r>
      <w:r>
        <w:rPr>
          <w:rFonts w:ascii="Arial" w:hAnsi="Arial" w:cs="Arial"/>
          <w:sz w:val="24"/>
          <w:szCs w:val="24"/>
        </w:rPr>
        <w:t>.</w:t>
      </w:r>
    </w:p>
    <w:p w14:paraId="3965128B" w14:textId="77777777" w:rsidR="00F11E2B" w:rsidRDefault="00F11E2B">
      <w:pPr>
        <w:spacing w:line="360" w:lineRule="auto"/>
        <w:jc w:val="both"/>
        <w:rPr>
          <w:rFonts w:ascii="Arial" w:hAnsi="Arial" w:cs="Arial"/>
          <w:sz w:val="24"/>
          <w:szCs w:val="24"/>
        </w:rPr>
      </w:pPr>
    </w:p>
    <w:p w14:paraId="6C2B537D" w14:textId="77777777" w:rsidR="00E11D56" w:rsidRDefault="00000000">
      <w:pPr>
        <w:spacing w:line="360" w:lineRule="auto"/>
        <w:jc w:val="center"/>
        <w:rPr>
          <w:rFonts w:ascii="Arial" w:hAnsi="Arial" w:cs="Arial"/>
          <w:sz w:val="24"/>
          <w:szCs w:val="24"/>
        </w:rPr>
      </w:pPr>
      <w:r>
        <w:rPr>
          <w:noProof/>
        </w:rPr>
        <w:drawing>
          <wp:inline distT="0" distB="0" distL="0" distR="0" wp14:anchorId="06C39EBD" wp14:editId="3B5C79E6">
            <wp:extent cx="5090795" cy="3667125"/>
            <wp:effectExtent l="0" t="0" r="0" b="9525"/>
            <wp:docPr id="86161367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4573" cy="3705864"/>
                    </a:xfrm>
                    <a:prstGeom prst="rect">
                      <a:avLst/>
                    </a:prstGeom>
                    <a:noFill/>
                    <a:ln>
                      <a:noFill/>
                    </a:ln>
                  </pic:spPr>
                </pic:pic>
              </a:graphicData>
            </a:graphic>
          </wp:inline>
        </w:drawing>
      </w:r>
    </w:p>
    <w:p w14:paraId="552ECE02" w14:textId="77777777" w:rsidR="00E11D56" w:rsidRDefault="00000000">
      <w:pPr>
        <w:spacing w:line="360" w:lineRule="auto"/>
        <w:jc w:val="center"/>
        <w:rPr>
          <w:rFonts w:ascii="Arial" w:hAnsi="Arial" w:cs="Arial"/>
          <w:sz w:val="24"/>
          <w:szCs w:val="24"/>
        </w:rPr>
      </w:pPr>
      <w:r>
        <w:rPr>
          <w:rFonts w:ascii="Arial" w:hAnsi="Arial" w:cs="Arial"/>
          <w:b/>
          <w:bCs/>
          <w:noProof/>
          <w:sz w:val="24"/>
          <w:szCs w:val="24"/>
        </w:rPr>
        <w:lastRenderedPageBreak/>
        <w:drawing>
          <wp:inline distT="0" distB="0" distL="0" distR="0" wp14:anchorId="2DD523FB" wp14:editId="64D22E3F">
            <wp:extent cx="4564771" cy="3840130"/>
            <wp:effectExtent l="0" t="0" r="7620" b="8255"/>
            <wp:docPr id="2016417825" name="Imagen 2"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a&#10;&#10;El contenido generado por IA puede ser incorrec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0593" cy="3853441"/>
                    </a:xfrm>
                    <a:prstGeom prst="rect">
                      <a:avLst/>
                    </a:prstGeom>
                    <a:noFill/>
                    <a:ln>
                      <a:noFill/>
                    </a:ln>
                  </pic:spPr>
                </pic:pic>
              </a:graphicData>
            </a:graphic>
          </wp:inline>
        </w:drawing>
      </w:r>
    </w:p>
    <w:p w14:paraId="7FA1F645" w14:textId="77777777" w:rsidR="00E11D56" w:rsidRDefault="00000000">
      <w:pPr>
        <w:spacing w:line="360" w:lineRule="auto"/>
        <w:jc w:val="both"/>
        <w:rPr>
          <w:rFonts w:ascii="Arial" w:hAnsi="Arial" w:cs="Arial"/>
          <w:sz w:val="24"/>
          <w:szCs w:val="24"/>
        </w:rPr>
      </w:pPr>
      <w:r>
        <w:rPr>
          <w:rFonts w:ascii="Arial" w:hAnsi="Arial" w:cs="Arial"/>
          <w:sz w:val="24"/>
          <w:szCs w:val="24"/>
        </w:rPr>
        <w:t>Se encuentra a 19 kilómetros de la cabecera municipal y gran parte de su territorio se encuentra en zonas boscosas y forma parte de la Región Mazahua-Otomí de Michoacán.</w:t>
      </w:r>
    </w:p>
    <w:p w14:paraId="0371A337" w14:textId="77777777" w:rsidR="00E11D56" w:rsidRDefault="00000000">
      <w:pPr>
        <w:spacing w:line="360" w:lineRule="auto"/>
        <w:jc w:val="both"/>
        <w:rPr>
          <w:rFonts w:ascii="Arial" w:hAnsi="Arial" w:cs="Arial"/>
          <w:sz w:val="24"/>
          <w:szCs w:val="24"/>
        </w:rPr>
      </w:pPr>
      <w:r>
        <w:rPr>
          <w:rFonts w:ascii="Arial" w:hAnsi="Arial" w:cs="Arial"/>
          <w:sz w:val="24"/>
          <w:szCs w:val="24"/>
        </w:rPr>
        <w:t>La Tenencia de Francisco Serrato, se encuentra integrada por Primera Manzana, Santa María; Segunda Manzana, El Fresno; Tercera Manzana, El Salto y La Capilla; Cuarta Manzana, Ejido La Soledad; Quinta Manzana, Ejido Adolfo López Mateos</w:t>
      </w:r>
      <w:r>
        <w:rPr>
          <w:rStyle w:val="Refdenotaalpie"/>
          <w:rFonts w:ascii="Arial" w:hAnsi="Arial" w:cs="Arial"/>
          <w:sz w:val="24"/>
          <w:szCs w:val="24"/>
        </w:rPr>
        <w:footnoteReference w:id="29"/>
      </w:r>
      <w:r>
        <w:rPr>
          <w:rFonts w:ascii="Arial" w:hAnsi="Arial" w:cs="Arial"/>
          <w:sz w:val="24"/>
          <w:szCs w:val="24"/>
        </w:rPr>
        <w:t>.</w:t>
      </w:r>
    </w:p>
    <w:p w14:paraId="398F290E" w14:textId="77777777" w:rsidR="00E11D56" w:rsidRDefault="00000000">
      <w:pPr>
        <w:spacing w:line="360" w:lineRule="auto"/>
        <w:jc w:val="both"/>
        <w:rPr>
          <w:rFonts w:ascii="Arial" w:hAnsi="Arial" w:cs="Arial"/>
          <w:sz w:val="24"/>
          <w:szCs w:val="24"/>
        </w:rPr>
      </w:pPr>
      <w:r>
        <w:rPr>
          <w:rFonts w:ascii="Arial" w:hAnsi="Arial" w:cs="Arial"/>
          <w:b/>
          <w:bCs/>
          <w:sz w:val="24"/>
          <w:szCs w:val="24"/>
        </w:rPr>
        <w:t>7.2. Población y lengua</w:t>
      </w:r>
    </w:p>
    <w:p w14:paraId="4426E124" w14:textId="77777777" w:rsidR="00E11D56" w:rsidRDefault="00000000">
      <w:pPr>
        <w:spacing w:line="360" w:lineRule="auto"/>
        <w:jc w:val="both"/>
        <w:rPr>
          <w:rFonts w:ascii="Arial" w:hAnsi="Arial" w:cs="Arial"/>
          <w:sz w:val="24"/>
          <w:szCs w:val="24"/>
        </w:rPr>
      </w:pPr>
      <w:r>
        <w:rPr>
          <w:rFonts w:ascii="Arial" w:hAnsi="Arial" w:cs="Arial"/>
          <w:sz w:val="24"/>
          <w:szCs w:val="24"/>
        </w:rPr>
        <w:t xml:space="preserve">De acuerdo con la página oficial del Instituto Nacional de Estadística y Geografía (INEGI) en el apartado de “México en cifras”, la población total de la </w:t>
      </w:r>
      <w:r>
        <w:rPr>
          <w:rFonts w:ascii="Arial" w:hAnsi="Arial" w:cs="Arial"/>
          <w:i/>
          <w:iCs/>
          <w:sz w:val="24"/>
          <w:szCs w:val="24"/>
        </w:rPr>
        <w:t>comunidad</w:t>
      </w:r>
      <w:r>
        <w:rPr>
          <w:rFonts w:ascii="Arial" w:hAnsi="Arial" w:cs="Arial"/>
          <w:sz w:val="24"/>
          <w:szCs w:val="24"/>
        </w:rPr>
        <w:t xml:space="preserve"> es de 1,656 personas.</w:t>
      </w:r>
    </w:p>
    <w:p w14:paraId="229800DD" w14:textId="77777777" w:rsidR="00E11D56" w:rsidRDefault="00000000">
      <w:pPr>
        <w:spacing w:line="360" w:lineRule="auto"/>
        <w:jc w:val="both"/>
        <w:rPr>
          <w:rFonts w:ascii="Arial" w:hAnsi="Arial" w:cs="Arial"/>
          <w:sz w:val="24"/>
          <w:szCs w:val="24"/>
        </w:rPr>
      </w:pPr>
      <w:r>
        <w:rPr>
          <w:rFonts w:ascii="Arial" w:hAnsi="Arial" w:cs="Arial"/>
          <w:sz w:val="24"/>
          <w:szCs w:val="24"/>
        </w:rPr>
        <w:t>Del total de la población, aproximadamente un 40% es hablante de lengua indígena Mazahua-Otomí</w:t>
      </w:r>
      <w:r>
        <w:rPr>
          <w:rStyle w:val="Refdenotaalpie"/>
          <w:rFonts w:ascii="Arial" w:hAnsi="Arial" w:cs="Arial"/>
          <w:sz w:val="24"/>
          <w:szCs w:val="24"/>
        </w:rPr>
        <w:t xml:space="preserve"> </w:t>
      </w:r>
      <w:r>
        <w:rPr>
          <w:rStyle w:val="Refdenotaalpie"/>
          <w:rFonts w:ascii="Arial" w:hAnsi="Arial" w:cs="Arial"/>
          <w:sz w:val="24"/>
          <w:szCs w:val="24"/>
        </w:rPr>
        <w:footnoteReference w:id="30"/>
      </w:r>
      <w:r>
        <w:rPr>
          <w:rFonts w:ascii="Arial" w:hAnsi="Arial" w:cs="Arial"/>
          <w:sz w:val="24"/>
          <w:szCs w:val="24"/>
        </w:rPr>
        <w:t>.</w:t>
      </w:r>
    </w:p>
    <w:p w14:paraId="3C65EF82" w14:textId="77777777" w:rsidR="00E11D56" w:rsidRDefault="00000000">
      <w:pPr>
        <w:spacing w:line="360" w:lineRule="auto"/>
        <w:jc w:val="both"/>
        <w:rPr>
          <w:rFonts w:ascii="Arial" w:hAnsi="Arial" w:cs="Arial"/>
          <w:sz w:val="24"/>
          <w:szCs w:val="24"/>
        </w:rPr>
      </w:pPr>
      <w:r>
        <w:rPr>
          <w:rFonts w:ascii="Arial" w:hAnsi="Arial" w:cs="Arial"/>
          <w:sz w:val="24"/>
          <w:szCs w:val="24"/>
        </w:rPr>
        <w:lastRenderedPageBreak/>
        <w:t>Cuestiones que constituyen un hecho notorio, al haberse obtenido de diversas páginas electrónicas oficiales</w:t>
      </w:r>
      <w:r>
        <w:rPr>
          <w:rStyle w:val="Refdenotaalpie"/>
          <w:rFonts w:ascii="Arial" w:hAnsi="Arial" w:cs="Arial"/>
          <w:sz w:val="24"/>
          <w:szCs w:val="24"/>
        </w:rPr>
        <w:footnoteReference w:id="31"/>
      </w:r>
      <w:r>
        <w:rPr>
          <w:rFonts w:ascii="Arial" w:hAnsi="Arial" w:cs="Arial"/>
          <w:sz w:val="24"/>
          <w:szCs w:val="24"/>
        </w:rPr>
        <w:t>, así como por tener reconocimiento como comunidad indígena por el Instituto Nacional de Pueblos Indígenas</w:t>
      </w:r>
      <w:r>
        <w:rPr>
          <w:rStyle w:val="Refdenotaalpie"/>
          <w:rFonts w:ascii="Arial" w:hAnsi="Arial" w:cs="Arial"/>
          <w:sz w:val="24"/>
          <w:szCs w:val="24"/>
        </w:rPr>
        <w:footnoteReference w:id="32"/>
      </w:r>
      <w:r>
        <w:rPr>
          <w:rFonts w:ascii="Arial" w:hAnsi="Arial" w:cs="Arial"/>
          <w:sz w:val="24"/>
          <w:szCs w:val="24"/>
        </w:rPr>
        <w:t>.</w:t>
      </w:r>
    </w:p>
    <w:p w14:paraId="2DA2242C" w14:textId="77777777" w:rsidR="00E11D56" w:rsidRDefault="00000000">
      <w:pPr>
        <w:pStyle w:val="Ttulo2"/>
        <w:numPr>
          <w:ilvl w:val="0"/>
          <w:numId w:val="38"/>
        </w:numPr>
        <w:spacing w:before="100" w:beforeAutospacing="1" w:after="100" w:afterAutospacing="1" w:line="360" w:lineRule="auto"/>
        <w:ind w:left="0" w:right="-91" w:firstLine="0"/>
        <w:jc w:val="center"/>
        <w:rPr>
          <w:rFonts w:ascii="Arial" w:hAnsi="Arial" w:cs="Arial"/>
          <w:b/>
          <w:bCs/>
          <w:color w:val="000000" w:themeColor="text1"/>
          <w:sz w:val="24"/>
          <w:szCs w:val="24"/>
          <w:lang w:val="es-ES_tradnl"/>
        </w:rPr>
      </w:pPr>
      <w:bookmarkStart w:id="19" w:name="_Toc234501839"/>
      <w:bookmarkEnd w:id="17"/>
      <w:r>
        <w:rPr>
          <w:rFonts w:ascii="Arial" w:hAnsi="Arial" w:cs="Arial"/>
          <w:b/>
          <w:bCs/>
          <w:color w:val="000000" w:themeColor="text1"/>
          <w:sz w:val="24"/>
          <w:szCs w:val="24"/>
          <w:lang w:val="es-ES_tradnl"/>
        </w:rPr>
        <w:t>ESTUDIO DE FONDO</w:t>
      </w:r>
      <w:bookmarkEnd w:id="19"/>
    </w:p>
    <w:p w14:paraId="40526C93" w14:textId="77777777" w:rsidR="00E11D56" w:rsidRDefault="00000000">
      <w:pPr>
        <w:pStyle w:val="Ttulo2"/>
        <w:spacing w:before="240" w:after="40"/>
        <w:rPr>
          <w:rFonts w:ascii="Arial" w:hAnsi="Arial" w:cs="Arial"/>
          <w:color w:val="auto"/>
          <w:sz w:val="24"/>
          <w:szCs w:val="24"/>
        </w:rPr>
      </w:pPr>
      <w:bookmarkStart w:id="20" w:name="_Toc234501840"/>
      <w:r>
        <w:rPr>
          <w:rFonts w:ascii="Arial" w:hAnsi="Arial" w:cs="Arial"/>
          <w:b/>
          <w:bCs/>
          <w:color w:val="auto"/>
          <w:sz w:val="24"/>
          <w:szCs w:val="24"/>
        </w:rPr>
        <w:t>8.1. Identificación de la controversia</w:t>
      </w:r>
      <w:bookmarkEnd w:id="20"/>
    </w:p>
    <w:p w14:paraId="351C0CE8" w14:textId="77777777" w:rsidR="00E11D56" w:rsidRDefault="00000000">
      <w:pPr>
        <w:spacing w:before="240" w:after="160" w:line="360" w:lineRule="auto"/>
        <w:jc w:val="both"/>
        <w:rPr>
          <w:rFonts w:ascii="Arial" w:hAnsi="Arial" w:cs="Arial"/>
          <w:sz w:val="24"/>
          <w:szCs w:val="24"/>
        </w:rPr>
      </w:pPr>
      <w:r>
        <w:rPr>
          <w:rFonts w:ascii="Arial" w:hAnsi="Arial" w:cs="Arial"/>
          <w:sz w:val="24"/>
          <w:szCs w:val="24"/>
        </w:rPr>
        <w:t xml:space="preserve">La </w:t>
      </w:r>
      <w:r>
        <w:rPr>
          <w:rFonts w:ascii="Arial" w:hAnsi="Arial" w:cs="Arial"/>
          <w:i/>
          <w:iCs/>
          <w:sz w:val="24"/>
          <w:szCs w:val="24"/>
        </w:rPr>
        <w:t xml:space="preserve">Sala Superior </w:t>
      </w:r>
      <w:r>
        <w:rPr>
          <w:rFonts w:ascii="Arial" w:hAnsi="Arial" w:cs="Arial"/>
          <w:sz w:val="24"/>
          <w:szCs w:val="24"/>
        </w:rPr>
        <w:t>ha señalado la importancia de identificar el tipo de conflicto para poder resolver la controversia atendiendo a su origen real, analizando correctamente los derechos y cuestiones involucradas</w:t>
      </w:r>
      <w:r>
        <w:rPr>
          <w:rStyle w:val="Refdenotaalpie"/>
          <w:rFonts w:ascii="Arial" w:hAnsi="Arial" w:cs="Arial"/>
          <w:sz w:val="24"/>
          <w:szCs w:val="24"/>
        </w:rPr>
        <w:footnoteReference w:id="33"/>
      </w:r>
      <w:r>
        <w:rPr>
          <w:rFonts w:ascii="Arial" w:hAnsi="Arial" w:cs="Arial"/>
          <w:sz w:val="24"/>
          <w:szCs w:val="24"/>
        </w:rPr>
        <w:t>.</w:t>
      </w:r>
    </w:p>
    <w:p w14:paraId="10280164" w14:textId="77777777" w:rsidR="00E11D56" w:rsidRDefault="00000000">
      <w:pPr>
        <w:spacing w:after="160" w:line="360" w:lineRule="auto"/>
        <w:jc w:val="both"/>
        <w:rPr>
          <w:rFonts w:ascii="Arial" w:hAnsi="Arial" w:cs="Arial"/>
          <w:sz w:val="24"/>
          <w:szCs w:val="24"/>
        </w:rPr>
      </w:pPr>
      <w:r>
        <w:rPr>
          <w:rFonts w:ascii="Arial" w:hAnsi="Arial" w:cs="Arial"/>
          <w:sz w:val="24"/>
          <w:szCs w:val="24"/>
        </w:rPr>
        <w:t>Ya que, los derechos de autonomía, de autodeterminación y de autogobierno de las comunidades indígenas pueden ser oponibles a diversos sujetos, según el orden jurídico en el que se relacionen con la propia comunidad, tales como frente a las autoridades del Estado, a otras comunidades o a la ciudadanía de la propia comunidad en lo individual.</w:t>
      </w:r>
    </w:p>
    <w:p w14:paraId="69CA1C63" w14:textId="77777777" w:rsidR="00E11D56" w:rsidRDefault="00000000">
      <w:pPr>
        <w:spacing w:after="160" w:line="360" w:lineRule="auto"/>
        <w:jc w:val="both"/>
        <w:rPr>
          <w:rFonts w:ascii="Arial" w:hAnsi="Arial" w:cs="Arial"/>
          <w:sz w:val="24"/>
          <w:szCs w:val="24"/>
        </w:rPr>
      </w:pPr>
      <w:r>
        <w:rPr>
          <w:rFonts w:ascii="Arial" w:hAnsi="Arial" w:cs="Arial"/>
          <w:sz w:val="24"/>
          <w:szCs w:val="24"/>
        </w:rPr>
        <w:t xml:space="preserve">Así, la </w:t>
      </w:r>
      <w:r>
        <w:rPr>
          <w:rFonts w:ascii="Arial" w:hAnsi="Arial" w:cs="Arial"/>
          <w:i/>
          <w:iCs/>
          <w:sz w:val="24"/>
          <w:szCs w:val="24"/>
        </w:rPr>
        <w:t>Sala Superior</w:t>
      </w:r>
      <w:r>
        <w:rPr>
          <w:rFonts w:ascii="Arial" w:hAnsi="Arial" w:cs="Arial"/>
          <w:sz w:val="24"/>
          <w:szCs w:val="24"/>
        </w:rPr>
        <w:t xml:space="preserve"> ha señalado que este tipo de conflictos se pueden clasificar en los siguientes</w:t>
      </w:r>
      <w:r>
        <w:rPr>
          <w:rStyle w:val="Refdenotaalpie"/>
          <w:rFonts w:ascii="Arial" w:hAnsi="Arial" w:cs="Arial"/>
          <w:sz w:val="24"/>
          <w:szCs w:val="24"/>
        </w:rPr>
        <w:footnoteReference w:id="34"/>
      </w:r>
      <w:r>
        <w:rPr>
          <w:rFonts w:ascii="Arial" w:hAnsi="Arial" w:cs="Arial"/>
          <w:sz w:val="24"/>
          <w:szCs w:val="24"/>
        </w:rPr>
        <w:t>:</w:t>
      </w:r>
    </w:p>
    <w:p w14:paraId="09AFF19D" w14:textId="77777777" w:rsidR="00E11D56" w:rsidRDefault="00000000">
      <w:pPr>
        <w:numPr>
          <w:ilvl w:val="0"/>
          <w:numId w:val="29"/>
        </w:numPr>
        <w:spacing w:after="160" w:line="360" w:lineRule="auto"/>
        <w:jc w:val="both"/>
        <w:rPr>
          <w:rFonts w:ascii="Arial" w:hAnsi="Arial" w:cs="Arial"/>
          <w:sz w:val="24"/>
          <w:szCs w:val="24"/>
        </w:rPr>
      </w:pPr>
      <w:r>
        <w:rPr>
          <w:rFonts w:ascii="Arial" w:hAnsi="Arial" w:cs="Arial"/>
          <w:b/>
          <w:bCs/>
          <w:sz w:val="24"/>
          <w:szCs w:val="24"/>
        </w:rPr>
        <w:t xml:space="preserve">Intracomunitarios. </w:t>
      </w:r>
      <w:r>
        <w:rPr>
          <w:rFonts w:ascii="Arial" w:hAnsi="Arial" w:cs="Arial"/>
          <w:sz w:val="24"/>
          <w:szCs w:val="24"/>
        </w:rPr>
        <w:t>Se materializan cuando la autonomía de las comunidades se refleja en “restricciones internas” a sus propios integrantes; conflictos en los que se deben ponderar los derechos de la comunidad frente a los derechos de las personas en lo individual o grupos que cuestionen la aplicación de las normas consuetudinarias.</w:t>
      </w:r>
    </w:p>
    <w:p w14:paraId="3DD4B9E0" w14:textId="77777777" w:rsidR="00E11D56" w:rsidRDefault="00000000">
      <w:pPr>
        <w:numPr>
          <w:ilvl w:val="0"/>
          <w:numId w:val="29"/>
        </w:numPr>
        <w:spacing w:after="160" w:line="360" w:lineRule="auto"/>
        <w:jc w:val="both"/>
        <w:rPr>
          <w:rFonts w:ascii="Arial" w:hAnsi="Arial" w:cs="Arial"/>
          <w:sz w:val="24"/>
          <w:szCs w:val="24"/>
        </w:rPr>
      </w:pPr>
      <w:r>
        <w:rPr>
          <w:rFonts w:ascii="Arial" w:hAnsi="Arial" w:cs="Arial"/>
          <w:b/>
          <w:bCs/>
          <w:sz w:val="24"/>
          <w:szCs w:val="24"/>
        </w:rPr>
        <w:t xml:space="preserve">Intercomunitarios. </w:t>
      </w:r>
      <w:r>
        <w:rPr>
          <w:rFonts w:ascii="Arial" w:hAnsi="Arial" w:cs="Arial"/>
          <w:sz w:val="24"/>
          <w:szCs w:val="24"/>
        </w:rPr>
        <w:t xml:space="preserve">Se presentan cuando los derechos colectivos de autonomía y autodeterminación de dos o más comunidades se encuentran en situaciones de tensión o conflicto entre sí. En estos casos, las autoridades estatales, destacadamente los órganos jurisdiccionales, </w:t>
      </w:r>
      <w:r>
        <w:rPr>
          <w:rFonts w:ascii="Arial" w:hAnsi="Arial" w:cs="Arial"/>
          <w:sz w:val="24"/>
          <w:szCs w:val="24"/>
        </w:rPr>
        <w:lastRenderedPageBreak/>
        <w:t>deben proteger a las comunidades de interferencias o violaciones a su autodeterminación frente a otras.</w:t>
      </w:r>
    </w:p>
    <w:p w14:paraId="24EB95CD" w14:textId="77777777" w:rsidR="00E11D56" w:rsidRDefault="00000000">
      <w:pPr>
        <w:numPr>
          <w:ilvl w:val="0"/>
          <w:numId w:val="29"/>
        </w:numPr>
        <w:spacing w:after="160" w:line="360" w:lineRule="auto"/>
        <w:jc w:val="both"/>
        <w:rPr>
          <w:rFonts w:ascii="Arial" w:hAnsi="Arial" w:cs="Arial"/>
          <w:sz w:val="24"/>
          <w:szCs w:val="24"/>
        </w:rPr>
      </w:pPr>
      <w:r>
        <w:rPr>
          <w:rFonts w:ascii="Arial" w:hAnsi="Arial" w:cs="Arial"/>
          <w:b/>
          <w:bCs/>
          <w:sz w:val="24"/>
          <w:szCs w:val="24"/>
        </w:rPr>
        <w:t xml:space="preserve">Extracomunitarios. </w:t>
      </w:r>
      <w:r>
        <w:rPr>
          <w:rFonts w:ascii="Arial" w:hAnsi="Arial" w:cs="Arial"/>
          <w:sz w:val="24"/>
          <w:szCs w:val="24"/>
        </w:rPr>
        <w:t>Aparecen cuando los derechos de las comunidades se encuentran en tensión o conflicto con normas de origen estatal o respecto de grupos de la sociedad que no pertenecen a la comunidad. En estos casos, se analiza y pondera la necesidad de cualquier interferencia o decisión externa, y se privilegia la adopción de “protecciones externas” a favor de la autonomía de la comunidad.</w:t>
      </w:r>
    </w:p>
    <w:p w14:paraId="7CDEA1A0" w14:textId="77777777" w:rsidR="00E11D56" w:rsidRDefault="00000000">
      <w:pPr>
        <w:spacing w:after="160" w:line="360" w:lineRule="auto"/>
        <w:jc w:val="both"/>
        <w:rPr>
          <w:rFonts w:ascii="Arial" w:hAnsi="Arial" w:cs="Arial"/>
          <w:i/>
          <w:iCs/>
          <w:sz w:val="24"/>
          <w:szCs w:val="24"/>
        </w:rPr>
      </w:pPr>
      <w:r>
        <w:rPr>
          <w:rFonts w:ascii="Arial" w:hAnsi="Arial" w:cs="Arial"/>
          <w:sz w:val="24"/>
          <w:szCs w:val="24"/>
        </w:rPr>
        <w:t>En el caso, este </w:t>
      </w:r>
      <w:r>
        <w:rPr>
          <w:rFonts w:ascii="Arial" w:hAnsi="Arial" w:cs="Arial"/>
          <w:i/>
          <w:iCs/>
          <w:sz w:val="24"/>
          <w:szCs w:val="24"/>
        </w:rPr>
        <w:t>Tribunal Electoral</w:t>
      </w:r>
      <w:r>
        <w:rPr>
          <w:rFonts w:ascii="Arial" w:hAnsi="Arial" w:cs="Arial"/>
          <w:sz w:val="24"/>
          <w:szCs w:val="24"/>
        </w:rPr>
        <w:t xml:space="preserve"> considera que el conflicto que se presenta es de tipo </w:t>
      </w:r>
      <w:r>
        <w:rPr>
          <w:rFonts w:ascii="Arial" w:hAnsi="Arial" w:cs="Arial"/>
          <w:b/>
          <w:bCs/>
          <w:sz w:val="24"/>
          <w:szCs w:val="24"/>
        </w:rPr>
        <w:t>extracomunitario</w:t>
      </w:r>
      <w:r>
        <w:rPr>
          <w:rFonts w:ascii="Arial" w:hAnsi="Arial" w:cs="Arial"/>
          <w:sz w:val="24"/>
          <w:szCs w:val="24"/>
        </w:rPr>
        <w:t xml:space="preserve">, ya que se impugna una omisión atribuida directamente al </w:t>
      </w:r>
      <w:r>
        <w:rPr>
          <w:rFonts w:ascii="Arial" w:hAnsi="Arial" w:cs="Arial"/>
          <w:i/>
          <w:iCs/>
          <w:sz w:val="24"/>
          <w:szCs w:val="24"/>
        </w:rPr>
        <w:t>Instituto.</w:t>
      </w:r>
    </w:p>
    <w:p w14:paraId="03EB7442" w14:textId="77777777" w:rsidR="00E11D56" w:rsidRDefault="00000000">
      <w:pPr>
        <w:pStyle w:val="Ttulo2"/>
        <w:spacing w:before="240" w:after="40"/>
        <w:rPr>
          <w:rFonts w:ascii="Arial" w:hAnsi="Arial" w:cs="Arial"/>
          <w:b/>
          <w:bCs/>
          <w:color w:val="auto"/>
          <w:sz w:val="24"/>
          <w:szCs w:val="24"/>
        </w:rPr>
      </w:pPr>
      <w:bookmarkStart w:id="21" w:name="_Toc234501841"/>
      <w:r>
        <w:rPr>
          <w:rFonts w:ascii="Arial" w:hAnsi="Arial" w:cs="Arial"/>
          <w:b/>
          <w:bCs/>
          <w:color w:val="auto"/>
          <w:sz w:val="24"/>
          <w:szCs w:val="24"/>
        </w:rPr>
        <w:t>8.2. Contexto de la controversia</w:t>
      </w:r>
      <w:bookmarkEnd w:id="21"/>
    </w:p>
    <w:p w14:paraId="7AD7C8A3" w14:textId="77777777" w:rsidR="00E11D56" w:rsidRDefault="00000000">
      <w:pPr>
        <w:spacing w:before="240" w:line="360" w:lineRule="auto"/>
        <w:jc w:val="both"/>
        <w:rPr>
          <w:rFonts w:ascii="Arial" w:hAnsi="Arial" w:cs="Arial"/>
          <w:sz w:val="24"/>
          <w:szCs w:val="24"/>
        </w:rPr>
      </w:pPr>
      <w:r>
        <w:rPr>
          <w:rFonts w:ascii="Arial" w:hAnsi="Arial" w:cs="Arial"/>
          <w:sz w:val="24"/>
          <w:szCs w:val="24"/>
        </w:rPr>
        <w:t>El origen de la controversia se ubica dentro del proceso de transición de la comunidad al régimen de autogobierno y administración directa de sus recursos</w:t>
      </w:r>
      <w:r>
        <w:rPr>
          <w:rStyle w:val="Refdenotaalpie"/>
          <w:rFonts w:ascii="Arial" w:hAnsi="Arial" w:cs="Arial"/>
          <w:sz w:val="24"/>
          <w:szCs w:val="24"/>
        </w:rPr>
        <w:footnoteReference w:id="35"/>
      </w:r>
      <w:r>
        <w:rPr>
          <w:rFonts w:ascii="Arial" w:hAnsi="Arial" w:cs="Arial"/>
          <w:sz w:val="24"/>
          <w:szCs w:val="24"/>
        </w:rPr>
        <w:t xml:space="preserve">. El cuatro de mayo de dos mil veintiuno, las autoridades comunitarias </w:t>
      </w:r>
      <w:r>
        <w:rPr>
          <w:rFonts w:ascii="Arial" w:hAnsi="Arial" w:cs="Arial"/>
          <w:b/>
          <w:bCs/>
          <w:sz w:val="24"/>
          <w:szCs w:val="24"/>
        </w:rPr>
        <w:t>solicitaron al IEM la realización de una consulta</w:t>
      </w:r>
      <w:r>
        <w:rPr>
          <w:rFonts w:ascii="Arial" w:hAnsi="Arial" w:cs="Arial"/>
          <w:sz w:val="24"/>
          <w:szCs w:val="24"/>
        </w:rPr>
        <w:t xml:space="preserve"> previa, libre e informada; sin embargo, aun y cuando la </w:t>
      </w:r>
      <w:r>
        <w:rPr>
          <w:rFonts w:ascii="Arial" w:hAnsi="Arial" w:cs="Arial"/>
          <w:i/>
          <w:iCs/>
          <w:sz w:val="24"/>
          <w:szCs w:val="24"/>
        </w:rPr>
        <w:t>Comisión de Pueblos Indígenas</w:t>
      </w:r>
      <w:r>
        <w:rPr>
          <w:rFonts w:ascii="Arial" w:hAnsi="Arial" w:cs="Arial"/>
          <w:sz w:val="24"/>
          <w:szCs w:val="24"/>
        </w:rPr>
        <w:t>, acordó dar inicio con los trabajos para la realización de la misma, esta no pudo llevarse a cabo debido a las diferencias existentes al interior de la comunidad. Aunque en octubre de dos mil veinticuatro se solicitó reactivar el procedimiento, la consulta nuevamente no fue desahogada.</w:t>
      </w:r>
    </w:p>
    <w:p w14:paraId="43390C0D"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Posteriormente, el diecisiete de diciembre de dos mil veinticuatro, el </w:t>
      </w:r>
      <w:r>
        <w:rPr>
          <w:rFonts w:ascii="Arial" w:hAnsi="Arial" w:cs="Arial"/>
          <w:b/>
          <w:bCs/>
          <w:i/>
          <w:iCs/>
          <w:sz w:val="24"/>
          <w:szCs w:val="24"/>
        </w:rPr>
        <w:t>Ayuntamiento</w:t>
      </w:r>
      <w:r>
        <w:rPr>
          <w:rFonts w:ascii="Arial" w:hAnsi="Arial" w:cs="Arial"/>
          <w:b/>
          <w:bCs/>
          <w:sz w:val="24"/>
          <w:szCs w:val="24"/>
        </w:rPr>
        <w:t xml:space="preserve"> aprobó la transición al presupuesto directo y al autogobierno</w:t>
      </w:r>
      <w:r>
        <w:rPr>
          <w:rFonts w:ascii="Arial" w:hAnsi="Arial" w:cs="Arial"/>
          <w:sz w:val="24"/>
          <w:szCs w:val="24"/>
        </w:rPr>
        <w:t xml:space="preserve">, condicionando la transferencia de recursos a la integración de un </w:t>
      </w:r>
      <w:r>
        <w:rPr>
          <w:rFonts w:ascii="Arial" w:hAnsi="Arial" w:cs="Arial"/>
          <w:i/>
          <w:iCs/>
          <w:sz w:val="24"/>
          <w:szCs w:val="24"/>
        </w:rPr>
        <w:t>Concejo Comunal Indígena</w:t>
      </w:r>
      <w:r>
        <w:rPr>
          <w:rFonts w:ascii="Arial" w:hAnsi="Arial" w:cs="Arial"/>
          <w:sz w:val="24"/>
          <w:szCs w:val="24"/>
        </w:rPr>
        <w:t xml:space="preserve"> mediante un procedimiento democrático desarrollado en Asamblea General. En seguimiento a ello, se celebraron diversas reuniones entre autoridades estatales, municipales y habitantes de la comunidad para </w:t>
      </w:r>
      <w:r>
        <w:rPr>
          <w:rFonts w:ascii="Arial" w:hAnsi="Arial" w:cs="Arial"/>
          <w:sz w:val="24"/>
          <w:szCs w:val="24"/>
        </w:rPr>
        <w:lastRenderedPageBreak/>
        <w:t>definir la forma de integración del Concejo en cita, acordándose que la elección se realizaría mediante Asamblea General a mano alzada.</w:t>
      </w:r>
    </w:p>
    <w:p w14:paraId="7E902BDB"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Derivado de ese proceso, los días veintinueve y treinta de diciembre de dos mil veinticuatro la comunidad celebró la Asamblea General en la que fueron nombradas, por unanimidad, las personas integrantes del </w:t>
      </w:r>
      <w:r>
        <w:rPr>
          <w:rFonts w:ascii="Arial" w:hAnsi="Arial" w:cs="Arial"/>
          <w:b/>
          <w:bCs/>
          <w:i/>
          <w:iCs/>
          <w:sz w:val="24"/>
          <w:szCs w:val="24"/>
        </w:rPr>
        <w:t xml:space="preserve">Concejo Comunal Indígena </w:t>
      </w:r>
      <w:r>
        <w:rPr>
          <w:rFonts w:ascii="Arial" w:hAnsi="Arial" w:cs="Arial"/>
          <w:sz w:val="24"/>
          <w:szCs w:val="24"/>
        </w:rPr>
        <w:t xml:space="preserve">y, posteriormente, el </w:t>
      </w:r>
      <w:r>
        <w:rPr>
          <w:rFonts w:ascii="Arial" w:hAnsi="Arial" w:cs="Arial"/>
          <w:b/>
          <w:bCs/>
          <w:i/>
          <w:iCs/>
          <w:sz w:val="24"/>
          <w:szCs w:val="24"/>
        </w:rPr>
        <w:t>Concejo de Autogobierno</w:t>
      </w:r>
      <w:r>
        <w:rPr>
          <w:rFonts w:ascii="Arial" w:hAnsi="Arial" w:cs="Arial"/>
          <w:sz w:val="24"/>
          <w:szCs w:val="24"/>
        </w:rPr>
        <w:t xml:space="preserve">, aprobándose además los estatutos que regularían su funcionamiento. </w:t>
      </w:r>
    </w:p>
    <w:p w14:paraId="7BEF684A"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El tres de marzo de dos mil veinticinco, el acta correspondiente fue </w:t>
      </w:r>
      <w:r>
        <w:rPr>
          <w:rFonts w:ascii="Arial" w:hAnsi="Arial" w:cs="Arial"/>
          <w:b/>
          <w:bCs/>
          <w:sz w:val="24"/>
          <w:szCs w:val="24"/>
        </w:rPr>
        <w:t>protocolizada y publicada</w:t>
      </w:r>
      <w:r>
        <w:rPr>
          <w:rFonts w:ascii="Arial" w:hAnsi="Arial" w:cs="Arial"/>
          <w:sz w:val="24"/>
          <w:szCs w:val="24"/>
        </w:rPr>
        <w:t xml:space="preserve"> en el Periódico Oficial del Estado, motivo por el cual el </w:t>
      </w:r>
      <w:r>
        <w:rPr>
          <w:rFonts w:ascii="Arial" w:hAnsi="Arial" w:cs="Arial"/>
          <w:i/>
          <w:iCs/>
          <w:sz w:val="24"/>
          <w:szCs w:val="24"/>
        </w:rPr>
        <w:t>IEM</w:t>
      </w:r>
      <w:r>
        <w:rPr>
          <w:rFonts w:ascii="Arial" w:hAnsi="Arial" w:cs="Arial"/>
          <w:sz w:val="24"/>
          <w:szCs w:val="24"/>
        </w:rPr>
        <w:t xml:space="preserve"> dio por concluido el procedimiento de consulta al estimar que había quedado sin materia.</w:t>
      </w:r>
    </w:p>
    <w:p w14:paraId="2A80E947" w14:textId="77777777" w:rsidR="00E11D56" w:rsidRDefault="00000000">
      <w:pPr>
        <w:spacing w:before="240" w:line="360" w:lineRule="auto"/>
        <w:jc w:val="both"/>
        <w:rPr>
          <w:rFonts w:ascii="Arial" w:hAnsi="Arial" w:cs="Arial"/>
          <w:i/>
          <w:iCs/>
          <w:sz w:val="24"/>
          <w:szCs w:val="24"/>
        </w:rPr>
      </w:pPr>
      <w:r>
        <w:rPr>
          <w:rFonts w:ascii="Arial" w:hAnsi="Arial" w:cs="Arial"/>
          <w:sz w:val="24"/>
          <w:szCs w:val="24"/>
        </w:rPr>
        <w:t xml:space="preserve">No obstante, el trece de junio y veintiocho de julio de ese año, se presentaron en el </w:t>
      </w:r>
      <w:r>
        <w:rPr>
          <w:rFonts w:ascii="Arial" w:hAnsi="Arial" w:cs="Arial"/>
          <w:i/>
          <w:iCs/>
          <w:sz w:val="24"/>
          <w:szCs w:val="24"/>
        </w:rPr>
        <w:t>Ayuntamiento</w:t>
      </w:r>
      <w:r>
        <w:rPr>
          <w:rFonts w:ascii="Arial" w:hAnsi="Arial" w:cs="Arial"/>
          <w:sz w:val="24"/>
          <w:szCs w:val="24"/>
        </w:rPr>
        <w:t xml:space="preserve"> copias certificadas de las actas de Asamblea General celebradas los días once de junio y veintiséis de julio de la misma anualidad, en las que se manifestó el </w:t>
      </w:r>
      <w:r>
        <w:rPr>
          <w:rFonts w:ascii="Arial" w:hAnsi="Arial" w:cs="Arial"/>
          <w:b/>
          <w:bCs/>
          <w:sz w:val="24"/>
          <w:szCs w:val="24"/>
        </w:rPr>
        <w:t>desconocimiento</w:t>
      </w:r>
      <w:r>
        <w:rPr>
          <w:rFonts w:ascii="Arial" w:hAnsi="Arial" w:cs="Arial"/>
          <w:sz w:val="24"/>
          <w:szCs w:val="24"/>
        </w:rPr>
        <w:t xml:space="preserve"> del autogobierno y del </w:t>
      </w:r>
      <w:r>
        <w:rPr>
          <w:rFonts w:ascii="Arial" w:hAnsi="Arial" w:cs="Arial"/>
          <w:i/>
          <w:iCs/>
          <w:sz w:val="24"/>
          <w:szCs w:val="24"/>
        </w:rPr>
        <w:t>Concejo Comunal Indígena.</w:t>
      </w:r>
    </w:p>
    <w:p w14:paraId="2E820F27"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Asimismo, el quince de enero, entre otros la </w:t>
      </w:r>
      <w:r>
        <w:rPr>
          <w:rFonts w:ascii="Arial" w:hAnsi="Arial" w:cs="Arial"/>
          <w:i/>
          <w:iCs/>
          <w:sz w:val="24"/>
          <w:szCs w:val="24"/>
        </w:rPr>
        <w:t>parte actora</w:t>
      </w:r>
      <w:r>
        <w:rPr>
          <w:rFonts w:ascii="Arial" w:hAnsi="Arial" w:cs="Arial"/>
          <w:sz w:val="24"/>
          <w:szCs w:val="24"/>
        </w:rPr>
        <w:t xml:space="preserve"> solicitó al </w:t>
      </w:r>
      <w:r>
        <w:rPr>
          <w:rFonts w:ascii="Arial" w:hAnsi="Arial" w:cs="Arial"/>
          <w:i/>
          <w:iCs/>
          <w:sz w:val="24"/>
          <w:szCs w:val="24"/>
        </w:rPr>
        <w:t xml:space="preserve">IEM </w:t>
      </w:r>
      <w:r>
        <w:rPr>
          <w:rFonts w:ascii="Arial" w:hAnsi="Arial" w:cs="Arial"/>
          <w:sz w:val="24"/>
          <w:szCs w:val="24"/>
        </w:rPr>
        <w:t xml:space="preserve">información sobre la realización de la consulta y la integración del </w:t>
      </w:r>
      <w:r>
        <w:rPr>
          <w:rFonts w:ascii="Arial" w:hAnsi="Arial" w:cs="Arial"/>
          <w:i/>
          <w:iCs/>
          <w:sz w:val="24"/>
          <w:szCs w:val="24"/>
        </w:rPr>
        <w:t>Concejo Comunal Indígena</w:t>
      </w:r>
      <w:r>
        <w:rPr>
          <w:rStyle w:val="Refdenotaalpie"/>
          <w:rFonts w:ascii="Arial" w:hAnsi="Arial" w:cs="Arial"/>
          <w:sz w:val="24"/>
          <w:szCs w:val="24"/>
        </w:rPr>
        <w:footnoteReference w:id="36"/>
      </w:r>
      <w:r>
        <w:rPr>
          <w:rFonts w:ascii="Arial" w:hAnsi="Arial" w:cs="Arial"/>
          <w:sz w:val="24"/>
          <w:szCs w:val="24"/>
        </w:rPr>
        <w:t xml:space="preserve">. En respuesta, el </w:t>
      </w:r>
      <w:r>
        <w:rPr>
          <w:rFonts w:ascii="Arial" w:hAnsi="Arial" w:cs="Arial"/>
          <w:i/>
          <w:iCs/>
          <w:sz w:val="24"/>
          <w:szCs w:val="24"/>
        </w:rPr>
        <w:t>Instituto</w:t>
      </w:r>
      <w:r>
        <w:rPr>
          <w:rFonts w:ascii="Arial" w:hAnsi="Arial" w:cs="Arial"/>
          <w:sz w:val="24"/>
          <w:szCs w:val="24"/>
        </w:rPr>
        <w:t xml:space="preserve"> informó que, la publicación del acta constitutiva en el Periódico Oficial del Concejo en cita y su posterior integración, el expediente fue archivado al quedar sin materia</w:t>
      </w:r>
      <w:r>
        <w:rPr>
          <w:rStyle w:val="Refdenotaalpie"/>
          <w:rFonts w:ascii="Arial" w:hAnsi="Arial" w:cs="Arial"/>
          <w:sz w:val="24"/>
          <w:szCs w:val="24"/>
        </w:rPr>
        <w:footnoteReference w:id="37"/>
      </w:r>
      <w:r>
        <w:rPr>
          <w:rFonts w:ascii="Arial" w:hAnsi="Arial" w:cs="Arial"/>
          <w:sz w:val="24"/>
          <w:szCs w:val="24"/>
        </w:rPr>
        <w:t xml:space="preserve">. Inconforme, el once de febrero, entre otros la </w:t>
      </w:r>
      <w:r>
        <w:rPr>
          <w:rFonts w:ascii="Arial" w:hAnsi="Arial" w:cs="Arial"/>
          <w:i/>
          <w:iCs/>
          <w:sz w:val="24"/>
          <w:szCs w:val="24"/>
        </w:rPr>
        <w:t>parte actora</w:t>
      </w:r>
      <w:r>
        <w:rPr>
          <w:rFonts w:ascii="Arial" w:hAnsi="Arial" w:cs="Arial"/>
          <w:sz w:val="24"/>
          <w:szCs w:val="24"/>
        </w:rPr>
        <w:t xml:space="preserve"> promovió el </w:t>
      </w:r>
      <w:r>
        <w:rPr>
          <w:rFonts w:ascii="Arial" w:hAnsi="Arial" w:cs="Arial"/>
          <w:i/>
          <w:iCs/>
          <w:sz w:val="24"/>
          <w:szCs w:val="24"/>
        </w:rPr>
        <w:t>juicio de la ciudadanía</w:t>
      </w:r>
      <w:r>
        <w:rPr>
          <w:rFonts w:ascii="Arial" w:hAnsi="Arial" w:cs="Arial"/>
          <w:sz w:val="24"/>
          <w:szCs w:val="24"/>
        </w:rPr>
        <w:t xml:space="preserve"> </w:t>
      </w:r>
      <w:r>
        <w:rPr>
          <w:rFonts w:ascii="Arial" w:hAnsi="Arial" w:cs="Arial"/>
          <w:b/>
          <w:bCs/>
          <w:sz w:val="24"/>
          <w:szCs w:val="24"/>
        </w:rPr>
        <w:t>TEEM-JDC-005/2026</w:t>
      </w:r>
      <w:r>
        <w:rPr>
          <w:rFonts w:ascii="Arial" w:hAnsi="Arial" w:cs="Arial"/>
          <w:sz w:val="24"/>
          <w:szCs w:val="24"/>
        </w:rPr>
        <w:t>, al considerar que existía</w:t>
      </w:r>
      <w:r>
        <w:rPr>
          <w:rFonts w:ascii="Arial" w:hAnsi="Arial" w:cs="Arial"/>
          <w:b/>
          <w:bCs/>
          <w:sz w:val="24"/>
          <w:szCs w:val="24"/>
        </w:rPr>
        <w:t xml:space="preserve"> omisión del </w:t>
      </w:r>
      <w:r>
        <w:rPr>
          <w:rFonts w:ascii="Arial" w:hAnsi="Arial" w:cs="Arial"/>
          <w:b/>
          <w:bCs/>
          <w:i/>
          <w:iCs/>
          <w:sz w:val="24"/>
          <w:szCs w:val="24"/>
        </w:rPr>
        <w:t>Ayuntamiento</w:t>
      </w:r>
      <w:r>
        <w:rPr>
          <w:rFonts w:ascii="Arial" w:hAnsi="Arial" w:cs="Arial"/>
          <w:b/>
          <w:bCs/>
          <w:sz w:val="24"/>
          <w:szCs w:val="24"/>
        </w:rPr>
        <w:t xml:space="preserve"> en la realización de la consulta indígena</w:t>
      </w:r>
      <w:r>
        <w:rPr>
          <w:rFonts w:ascii="Arial" w:hAnsi="Arial" w:cs="Arial"/>
          <w:sz w:val="24"/>
          <w:szCs w:val="24"/>
        </w:rPr>
        <w:t xml:space="preserve"> y en el pronunciamiento respecto del acta de desconocimiento del referido Concejo; sin embargo, este Tribunal determinó que dicha </w:t>
      </w:r>
      <w:r>
        <w:rPr>
          <w:rFonts w:ascii="Arial" w:hAnsi="Arial" w:cs="Arial"/>
          <w:b/>
          <w:bCs/>
          <w:sz w:val="24"/>
          <w:szCs w:val="24"/>
        </w:rPr>
        <w:t>omisión era inexistente.</w:t>
      </w:r>
      <w:r>
        <w:rPr>
          <w:rFonts w:ascii="Arial" w:hAnsi="Arial" w:cs="Arial"/>
          <w:sz w:val="24"/>
          <w:szCs w:val="24"/>
        </w:rPr>
        <w:t xml:space="preserve"> </w:t>
      </w:r>
    </w:p>
    <w:p w14:paraId="4E8C1426" w14:textId="77777777" w:rsidR="00E11D56" w:rsidRDefault="00000000">
      <w:pPr>
        <w:pStyle w:val="Sinespaciado"/>
        <w:spacing w:before="100" w:beforeAutospacing="1" w:after="100" w:afterAutospacing="1" w:line="360" w:lineRule="auto"/>
        <w:jc w:val="both"/>
        <w:rPr>
          <w:rFonts w:ascii="Arial" w:hAnsi="Arial" w:cs="Arial"/>
          <w:b/>
          <w:bCs/>
          <w:sz w:val="24"/>
          <w:szCs w:val="24"/>
        </w:rPr>
      </w:pPr>
      <w:r>
        <w:rPr>
          <w:rFonts w:ascii="Arial" w:hAnsi="Arial" w:cs="Arial"/>
          <w:sz w:val="24"/>
          <w:szCs w:val="24"/>
        </w:rPr>
        <w:t xml:space="preserve">Con posterioridad, se recibió ante este </w:t>
      </w:r>
      <w:r>
        <w:rPr>
          <w:rFonts w:ascii="Arial" w:hAnsi="Arial"/>
          <w:i/>
          <w:sz w:val="24"/>
        </w:rPr>
        <w:t>Tribunal Electoral</w:t>
      </w:r>
      <w:r>
        <w:rPr>
          <w:rFonts w:ascii="Arial" w:hAnsi="Arial" w:cs="Arial"/>
          <w:sz w:val="24"/>
          <w:szCs w:val="24"/>
        </w:rPr>
        <w:t xml:space="preserve"> el </w:t>
      </w:r>
      <w:r>
        <w:rPr>
          <w:rFonts w:ascii="Arial" w:hAnsi="Arial" w:cs="Arial"/>
          <w:i/>
          <w:iCs/>
          <w:sz w:val="24"/>
          <w:szCs w:val="24"/>
        </w:rPr>
        <w:t>juicio de la ciudadanía</w:t>
      </w:r>
      <w:r>
        <w:rPr>
          <w:rFonts w:ascii="Arial" w:hAnsi="Arial" w:cs="Arial"/>
          <w:sz w:val="24"/>
          <w:szCs w:val="24"/>
        </w:rPr>
        <w:t xml:space="preserve"> TEEM-JDC-036/2026 promovido en contra del </w:t>
      </w:r>
      <w:proofErr w:type="gramStart"/>
      <w:r>
        <w:rPr>
          <w:rFonts w:ascii="Arial" w:hAnsi="Arial" w:cs="Arial"/>
          <w:sz w:val="24"/>
          <w:szCs w:val="24"/>
        </w:rPr>
        <w:t>Presidente</w:t>
      </w:r>
      <w:proofErr w:type="gramEnd"/>
      <w:r>
        <w:rPr>
          <w:rFonts w:ascii="Arial" w:hAnsi="Arial" w:cs="Arial"/>
          <w:sz w:val="24"/>
          <w:szCs w:val="24"/>
        </w:rPr>
        <w:t xml:space="preserve"> del </w:t>
      </w:r>
      <w:r>
        <w:rPr>
          <w:rFonts w:ascii="Arial" w:hAnsi="Arial" w:cs="Arial"/>
          <w:i/>
          <w:iCs/>
          <w:sz w:val="24"/>
          <w:szCs w:val="24"/>
        </w:rPr>
        <w:t>Ayuntamiento</w:t>
      </w:r>
      <w:r>
        <w:rPr>
          <w:rFonts w:ascii="Arial" w:hAnsi="Arial" w:cs="Arial"/>
          <w:sz w:val="24"/>
          <w:szCs w:val="24"/>
        </w:rPr>
        <w:t xml:space="preserve"> por la presunta omisión de reconocer el proceso electivo de jefe de tenencia celebrado mediante asamblea comunitaria el tres de marzo, y de expedir el nombramiento correspondiente. Posteriormente, el veintidós de mayo, la </w:t>
      </w:r>
      <w:r>
        <w:rPr>
          <w:rFonts w:ascii="Arial" w:hAnsi="Arial" w:cs="Arial"/>
          <w:i/>
          <w:iCs/>
          <w:sz w:val="24"/>
          <w:szCs w:val="24"/>
        </w:rPr>
        <w:t>parte actora</w:t>
      </w:r>
      <w:r>
        <w:rPr>
          <w:rFonts w:ascii="Arial" w:hAnsi="Arial" w:cs="Arial"/>
          <w:sz w:val="24"/>
          <w:szCs w:val="24"/>
        </w:rPr>
        <w:t xml:space="preserve"> </w:t>
      </w:r>
      <w:r>
        <w:rPr>
          <w:rFonts w:ascii="Arial" w:hAnsi="Arial" w:cs="Arial"/>
          <w:b/>
          <w:bCs/>
          <w:sz w:val="24"/>
          <w:szCs w:val="24"/>
        </w:rPr>
        <w:t>desahogó la vista</w:t>
      </w:r>
      <w:r>
        <w:rPr>
          <w:rFonts w:ascii="Arial" w:hAnsi="Arial" w:cs="Arial"/>
          <w:sz w:val="24"/>
          <w:szCs w:val="24"/>
        </w:rPr>
        <w:t xml:space="preserve"> otorgada dentro de dicho expediente y solicitó ampliar </w:t>
      </w:r>
      <w:r>
        <w:rPr>
          <w:rFonts w:ascii="Arial" w:hAnsi="Arial" w:cs="Arial"/>
          <w:sz w:val="24"/>
          <w:szCs w:val="24"/>
        </w:rPr>
        <w:lastRenderedPageBreak/>
        <w:t xml:space="preserve">la demanda; sin embargo, tal petición se declaró </w:t>
      </w:r>
      <w:r>
        <w:rPr>
          <w:rFonts w:ascii="Arial" w:hAnsi="Arial" w:cs="Arial"/>
          <w:b/>
          <w:bCs/>
          <w:sz w:val="24"/>
          <w:szCs w:val="24"/>
        </w:rPr>
        <w:t>improcedente</w:t>
      </w:r>
      <w:r>
        <w:rPr>
          <w:rFonts w:ascii="Arial" w:hAnsi="Arial" w:cs="Arial"/>
          <w:sz w:val="24"/>
          <w:szCs w:val="24"/>
        </w:rPr>
        <w:t xml:space="preserve"> </w:t>
      </w:r>
      <w:r>
        <w:rPr>
          <w:rFonts w:ascii="Arial" w:hAnsi="Arial" w:cs="Arial"/>
          <w:b/>
          <w:bCs/>
          <w:sz w:val="24"/>
          <w:szCs w:val="24"/>
        </w:rPr>
        <w:t>por no guardar relación con la litis planteada.</w:t>
      </w:r>
    </w:p>
    <w:p w14:paraId="6EEDCC7F" w14:textId="77777777" w:rsidR="00E11D56" w:rsidRDefault="00000000">
      <w:pPr>
        <w:pStyle w:val="Sinespaciado"/>
        <w:spacing w:before="100" w:beforeAutospacing="1" w:after="100" w:afterAutospacing="1" w:line="360" w:lineRule="auto"/>
        <w:jc w:val="both"/>
        <w:rPr>
          <w:rFonts w:ascii="Arial" w:hAnsi="Arial" w:cs="Arial"/>
          <w:sz w:val="24"/>
          <w:szCs w:val="24"/>
        </w:rPr>
      </w:pPr>
      <w:r>
        <w:rPr>
          <w:rFonts w:ascii="Arial" w:hAnsi="Arial" w:cs="Arial"/>
          <w:sz w:val="24"/>
          <w:szCs w:val="24"/>
        </w:rPr>
        <w:t xml:space="preserve">No obstante, el diez de junio, este </w:t>
      </w:r>
      <w:r>
        <w:rPr>
          <w:rFonts w:ascii="Arial" w:hAnsi="Arial" w:cs="Arial"/>
          <w:i/>
          <w:iCs/>
          <w:sz w:val="24"/>
          <w:szCs w:val="24"/>
        </w:rPr>
        <w:t>Tribunal Electoral</w:t>
      </w:r>
      <w:r>
        <w:rPr>
          <w:rFonts w:ascii="Arial" w:hAnsi="Arial" w:cs="Arial"/>
          <w:sz w:val="24"/>
          <w:szCs w:val="24"/>
        </w:rPr>
        <w:t xml:space="preserve"> ordenó la apertura del presente </w:t>
      </w:r>
      <w:r>
        <w:rPr>
          <w:rFonts w:ascii="Arial" w:hAnsi="Arial" w:cs="Arial"/>
          <w:i/>
          <w:iCs/>
          <w:sz w:val="24"/>
          <w:szCs w:val="24"/>
        </w:rPr>
        <w:t>juicio de la ciudadanía</w:t>
      </w:r>
      <w:r>
        <w:rPr>
          <w:rFonts w:ascii="Arial" w:hAnsi="Arial" w:cs="Arial"/>
          <w:sz w:val="24"/>
          <w:szCs w:val="24"/>
        </w:rPr>
        <w:t xml:space="preserve">, por la omisión del </w:t>
      </w:r>
      <w:r>
        <w:rPr>
          <w:rFonts w:ascii="Arial" w:hAnsi="Arial" w:cs="Arial"/>
          <w:i/>
          <w:iCs/>
          <w:sz w:val="24"/>
          <w:szCs w:val="24"/>
        </w:rPr>
        <w:t>Instituto,</w:t>
      </w:r>
      <w:r>
        <w:rPr>
          <w:rFonts w:ascii="Arial" w:hAnsi="Arial" w:cs="Arial"/>
          <w:sz w:val="24"/>
          <w:szCs w:val="24"/>
        </w:rPr>
        <w:t xml:space="preserve"> de realizar la consulta indígena a la comunidad, a fin de determinar si la mayoría de la población está de acuerdo en la administración directa de recursos en el ejercicio de su derecho de autogobierno</w:t>
      </w:r>
      <w:r>
        <w:rPr>
          <w:rFonts w:ascii="Arial" w:hAnsi="Arial" w:cs="Arial"/>
          <w:i/>
          <w:iCs/>
          <w:sz w:val="24"/>
          <w:szCs w:val="24"/>
        </w:rPr>
        <w:t xml:space="preserve">, </w:t>
      </w:r>
      <w:r>
        <w:rPr>
          <w:rFonts w:ascii="Arial" w:hAnsi="Arial" w:cs="Arial"/>
          <w:sz w:val="24"/>
          <w:szCs w:val="24"/>
        </w:rPr>
        <w:t>lo que a su juicio vulnera sus derechos de una consulta indígena, de autonomía y libre determinación.</w:t>
      </w:r>
    </w:p>
    <w:p w14:paraId="33CB040C"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Para mayor claridad, a continuación, se inserta una </w:t>
      </w:r>
      <w:r>
        <w:rPr>
          <w:rFonts w:ascii="Arial" w:hAnsi="Arial" w:cs="Arial"/>
          <w:b/>
          <w:bCs/>
          <w:sz w:val="24"/>
          <w:szCs w:val="24"/>
        </w:rPr>
        <w:t>línea del tiempo</w:t>
      </w:r>
      <w:r>
        <w:rPr>
          <w:rFonts w:ascii="Arial" w:hAnsi="Arial" w:cs="Arial"/>
          <w:sz w:val="24"/>
          <w:szCs w:val="24"/>
        </w:rPr>
        <w:t xml:space="preserve"> con los datos relevantes de la controversia planteada. </w:t>
      </w:r>
    </w:p>
    <w:p w14:paraId="0E670705" w14:textId="77777777" w:rsidR="00E11D56" w:rsidRDefault="00000000">
      <w:pPr>
        <w:spacing w:before="240" w:line="360" w:lineRule="auto"/>
        <w:jc w:val="both"/>
        <w:rPr>
          <w:rFonts w:ascii="Arial" w:hAnsi="Arial" w:cs="Arial"/>
          <w:sz w:val="24"/>
          <w:szCs w:val="24"/>
        </w:rPr>
      </w:pPr>
      <w:r>
        <w:rPr>
          <w:rFonts w:ascii="Arial" w:hAnsi="Arial" w:cs="Arial"/>
          <w:noProof/>
          <w:sz w:val="24"/>
          <w:szCs w:val="24"/>
        </w:rPr>
        <w:drawing>
          <wp:inline distT="0" distB="0" distL="0" distR="0" wp14:anchorId="6E450D76" wp14:editId="6A225B41">
            <wp:extent cx="5551418" cy="4689044"/>
            <wp:effectExtent l="0" t="0" r="0" b="0"/>
            <wp:docPr id="35193380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5075" b="6684"/>
                    <a:stretch/>
                  </pic:blipFill>
                  <pic:spPr bwMode="auto">
                    <a:xfrm>
                      <a:off x="0" y="0"/>
                      <a:ext cx="5581804" cy="4714710"/>
                    </a:xfrm>
                    <a:prstGeom prst="rect">
                      <a:avLst/>
                    </a:prstGeom>
                    <a:noFill/>
                    <a:ln>
                      <a:noFill/>
                    </a:ln>
                    <a:extLst>
                      <a:ext uri="{53640926-AAD7-44D8-BBD7-CCE9431645EC}">
                        <a14:shadowObscured xmlns:a14="http://schemas.microsoft.com/office/drawing/2010/main"/>
                      </a:ext>
                    </a:extLst>
                  </pic:spPr>
                </pic:pic>
              </a:graphicData>
            </a:graphic>
          </wp:inline>
        </w:drawing>
      </w:r>
    </w:p>
    <w:p w14:paraId="2185094F" w14:textId="77777777" w:rsidR="00E11D56" w:rsidRDefault="00000000">
      <w:pPr>
        <w:pStyle w:val="Ttulo2"/>
        <w:spacing w:before="360" w:after="40" w:line="360" w:lineRule="auto"/>
        <w:rPr>
          <w:rFonts w:ascii="Arial" w:hAnsi="Arial" w:cs="Arial"/>
          <w:b/>
          <w:bCs/>
          <w:color w:val="auto"/>
          <w:sz w:val="24"/>
          <w:szCs w:val="24"/>
        </w:rPr>
      </w:pPr>
      <w:bookmarkStart w:id="22" w:name="_Toc234501842"/>
      <w:r>
        <w:rPr>
          <w:rFonts w:ascii="Arial" w:hAnsi="Arial" w:cs="Arial"/>
          <w:b/>
          <w:bCs/>
          <w:color w:val="auto"/>
          <w:sz w:val="24"/>
          <w:szCs w:val="24"/>
        </w:rPr>
        <w:t>8.3. Precisión de la impugnación</w:t>
      </w:r>
      <w:bookmarkEnd w:id="22"/>
    </w:p>
    <w:p w14:paraId="07C2E1E9" w14:textId="77777777" w:rsidR="00E11D56" w:rsidRDefault="00000000">
      <w:pPr>
        <w:spacing w:after="160" w:line="360" w:lineRule="auto"/>
        <w:jc w:val="both"/>
        <w:rPr>
          <w:rFonts w:ascii="Arial" w:hAnsi="Arial" w:cs="Arial"/>
          <w:sz w:val="24"/>
          <w:szCs w:val="24"/>
        </w:rPr>
      </w:pPr>
      <w:r>
        <w:rPr>
          <w:rFonts w:ascii="Arial" w:hAnsi="Arial" w:cs="Arial"/>
          <w:sz w:val="24"/>
          <w:szCs w:val="24"/>
        </w:rPr>
        <w:t xml:space="preserve">Tomando en cuenta que en materia electoral los medios de impugnación deben considerarse como un todo y analizarse de forma integral para determinar con </w:t>
      </w:r>
      <w:r>
        <w:rPr>
          <w:rFonts w:ascii="Arial" w:hAnsi="Arial" w:cs="Arial"/>
          <w:sz w:val="24"/>
          <w:szCs w:val="24"/>
        </w:rPr>
        <w:lastRenderedPageBreak/>
        <w:t xml:space="preserve">exactitud la pretensión autentica de la </w:t>
      </w:r>
      <w:r>
        <w:rPr>
          <w:rFonts w:ascii="Arial" w:hAnsi="Arial" w:cs="Arial"/>
          <w:i/>
          <w:iCs/>
          <w:sz w:val="24"/>
          <w:szCs w:val="24"/>
        </w:rPr>
        <w:t>parte actora</w:t>
      </w:r>
      <w:r>
        <w:rPr>
          <w:rStyle w:val="Refdenotaalpie"/>
          <w:rFonts w:ascii="Arial" w:hAnsi="Arial" w:cs="Arial"/>
          <w:i/>
          <w:iCs/>
          <w:sz w:val="24"/>
          <w:szCs w:val="24"/>
        </w:rPr>
        <w:footnoteReference w:id="38"/>
      </w:r>
      <w:r>
        <w:rPr>
          <w:rFonts w:ascii="Arial" w:hAnsi="Arial" w:cs="Arial"/>
          <w:sz w:val="24"/>
          <w:szCs w:val="24"/>
        </w:rPr>
        <w:t>, así como que en los juicios promovidos por integrantes de comunidades o pueblos indígenas, en los que se plantee el menoscabo de su autonomía política o de los derechos de sus integrantes para elegir sus autoridades en relación con su derecho a la autodeterminación que les reconoce el artículo segundo constitucional, no sólo se debe suplir la deficiencia de los motivos de disenso, sino también su ausencia total o parcial, y precisar el acto que realmente les afecta, se estima necesario precisar los agravios esgrimidos</w:t>
      </w:r>
      <w:r>
        <w:rPr>
          <w:rStyle w:val="Refdenotaalpie"/>
          <w:rFonts w:ascii="Arial" w:hAnsi="Arial" w:cs="Arial"/>
          <w:sz w:val="24"/>
          <w:szCs w:val="24"/>
        </w:rPr>
        <w:footnoteReference w:id="39"/>
      </w:r>
      <w:r>
        <w:rPr>
          <w:rFonts w:ascii="Arial" w:hAnsi="Arial" w:cs="Arial"/>
          <w:sz w:val="24"/>
          <w:szCs w:val="24"/>
        </w:rPr>
        <w:t>.</w:t>
      </w:r>
    </w:p>
    <w:p w14:paraId="5A6162B0" w14:textId="77777777" w:rsidR="00E11D56" w:rsidRDefault="00000000">
      <w:pPr>
        <w:spacing w:after="160" w:line="360" w:lineRule="auto"/>
        <w:jc w:val="both"/>
        <w:rPr>
          <w:rFonts w:ascii="Arial" w:hAnsi="Arial" w:cs="Arial"/>
          <w:sz w:val="24"/>
          <w:szCs w:val="24"/>
        </w:rPr>
      </w:pPr>
      <w:r>
        <w:rPr>
          <w:rFonts w:ascii="Arial" w:hAnsi="Arial" w:cs="Arial"/>
          <w:sz w:val="24"/>
          <w:szCs w:val="24"/>
        </w:rPr>
        <w:t xml:space="preserve">Por tanto, el </w:t>
      </w:r>
      <w:r>
        <w:rPr>
          <w:rFonts w:ascii="Arial" w:hAnsi="Arial" w:cs="Arial"/>
          <w:i/>
          <w:iCs/>
          <w:sz w:val="24"/>
          <w:szCs w:val="24"/>
        </w:rPr>
        <w:t xml:space="preserve">actor </w:t>
      </w:r>
      <w:r>
        <w:rPr>
          <w:rFonts w:ascii="Arial" w:hAnsi="Arial" w:cs="Arial"/>
          <w:sz w:val="24"/>
          <w:szCs w:val="24"/>
        </w:rPr>
        <w:t xml:space="preserve">impugna la presunta omisión </w:t>
      </w:r>
      <w:r>
        <w:rPr>
          <w:rFonts w:ascii="Arial" w:hAnsi="Arial" w:cs="Arial"/>
          <w:bCs/>
          <w:sz w:val="24"/>
          <w:szCs w:val="24"/>
        </w:rPr>
        <w:t xml:space="preserve">del </w:t>
      </w:r>
      <w:r>
        <w:rPr>
          <w:rFonts w:ascii="Arial" w:hAnsi="Arial" w:cs="Arial"/>
          <w:bCs/>
          <w:i/>
          <w:iCs/>
          <w:sz w:val="24"/>
          <w:szCs w:val="24"/>
        </w:rPr>
        <w:t>IEM</w:t>
      </w:r>
      <w:r>
        <w:rPr>
          <w:rFonts w:ascii="Arial" w:hAnsi="Arial" w:cs="Arial"/>
          <w:bCs/>
          <w:sz w:val="24"/>
          <w:szCs w:val="24"/>
        </w:rPr>
        <w:t xml:space="preserve"> de realizar la consulta indígena para permitir la participación política efectiva a los integrantes de la </w:t>
      </w:r>
      <w:r>
        <w:rPr>
          <w:rFonts w:ascii="Arial" w:hAnsi="Arial" w:cs="Arial"/>
          <w:bCs/>
          <w:i/>
          <w:iCs/>
          <w:sz w:val="24"/>
          <w:szCs w:val="24"/>
        </w:rPr>
        <w:t>comunidad</w:t>
      </w:r>
      <w:r>
        <w:rPr>
          <w:rFonts w:ascii="Arial" w:hAnsi="Arial" w:cs="Arial"/>
          <w:sz w:val="24"/>
          <w:szCs w:val="24"/>
        </w:rPr>
        <w:t xml:space="preserve">, a fin de determinar si la mayoría de la población está de acuerdo en la administración directa de recursos en el ejercicio de su derecho de autogobierno. </w:t>
      </w:r>
    </w:p>
    <w:p w14:paraId="6513D8DF" w14:textId="77777777" w:rsidR="00E11D56" w:rsidRDefault="00000000">
      <w:pPr>
        <w:spacing w:after="160" w:line="360" w:lineRule="auto"/>
        <w:jc w:val="both"/>
        <w:rPr>
          <w:rFonts w:ascii="Arial" w:hAnsi="Arial" w:cs="Arial"/>
          <w:sz w:val="24"/>
          <w:szCs w:val="24"/>
        </w:rPr>
      </w:pPr>
      <w:r>
        <w:rPr>
          <w:rFonts w:ascii="Arial" w:hAnsi="Arial" w:cs="Arial"/>
          <w:sz w:val="24"/>
          <w:szCs w:val="24"/>
        </w:rPr>
        <w:t xml:space="preserve">Al respecto, es importante señalar que la misma omisión fue reclamada previamente al </w:t>
      </w:r>
      <w:r>
        <w:rPr>
          <w:rFonts w:ascii="Arial" w:hAnsi="Arial" w:cs="Arial"/>
          <w:i/>
          <w:iCs/>
          <w:sz w:val="24"/>
          <w:szCs w:val="24"/>
        </w:rPr>
        <w:t>Ayuntamiento</w:t>
      </w:r>
      <w:r>
        <w:rPr>
          <w:rFonts w:ascii="Arial" w:hAnsi="Arial" w:cs="Arial"/>
          <w:sz w:val="24"/>
          <w:szCs w:val="24"/>
        </w:rPr>
        <w:t xml:space="preserve"> en el </w:t>
      </w:r>
      <w:r>
        <w:rPr>
          <w:rFonts w:ascii="Arial" w:hAnsi="Arial" w:cs="Arial"/>
          <w:i/>
          <w:iCs/>
          <w:sz w:val="24"/>
          <w:szCs w:val="24"/>
        </w:rPr>
        <w:t>juicio de la ciudadanía</w:t>
      </w:r>
      <w:r>
        <w:rPr>
          <w:rFonts w:ascii="Arial" w:hAnsi="Arial" w:cs="Arial"/>
          <w:sz w:val="24"/>
          <w:szCs w:val="24"/>
        </w:rPr>
        <w:t xml:space="preserve"> TEEM-JDC-005/2026, en el cual este </w:t>
      </w:r>
      <w:r>
        <w:rPr>
          <w:rFonts w:ascii="Arial" w:hAnsi="Arial" w:cs="Arial"/>
          <w:i/>
          <w:iCs/>
          <w:sz w:val="24"/>
          <w:szCs w:val="24"/>
        </w:rPr>
        <w:t>Tribunal Electoral</w:t>
      </w:r>
      <w:r>
        <w:rPr>
          <w:rFonts w:ascii="Arial" w:hAnsi="Arial" w:cs="Arial"/>
          <w:sz w:val="24"/>
          <w:szCs w:val="24"/>
        </w:rPr>
        <w:t xml:space="preserve"> concluyó que la omisión alegada era inexistente.</w:t>
      </w:r>
    </w:p>
    <w:p w14:paraId="4573C22C" w14:textId="77777777" w:rsidR="00E11D56" w:rsidRDefault="00000000">
      <w:pPr>
        <w:pStyle w:val="Ttulo2"/>
        <w:spacing w:before="360" w:after="40" w:line="360" w:lineRule="auto"/>
        <w:rPr>
          <w:rFonts w:ascii="Arial" w:hAnsi="Arial" w:cs="Arial"/>
          <w:b/>
          <w:bCs/>
          <w:color w:val="auto"/>
          <w:sz w:val="24"/>
          <w:szCs w:val="24"/>
        </w:rPr>
      </w:pPr>
      <w:bookmarkStart w:id="23" w:name="_Toc234501843"/>
      <w:r>
        <w:rPr>
          <w:rFonts w:ascii="Arial" w:hAnsi="Arial" w:cs="Arial"/>
          <w:b/>
          <w:bCs/>
          <w:color w:val="auto"/>
          <w:sz w:val="24"/>
          <w:szCs w:val="24"/>
        </w:rPr>
        <w:t>8.4. Agravios</w:t>
      </w:r>
      <w:bookmarkEnd w:id="23"/>
    </w:p>
    <w:p w14:paraId="04ECDFB0" w14:textId="77777777" w:rsidR="00E11D56" w:rsidRDefault="00000000">
      <w:pPr>
        <w:spacing w:after="160" w:line="360" w:lineRule="auto"/>
        <w:jc w:val="both"/>
        <w:rPr>
          <w:rFonts w:ascii="Arial" w:hAnsi="Arial" w:cs="Arial"/>
          <w:sz w:val="24"/>
          <w:szCs w:val="24"/>
        </w:rPr>
      </w:pPr>
      <w:r>
        <w:rPr>
          <w:rFonts w:ascii="Arial" w:hAnsi="Arial" w:cs="Arial"/>
          <w:sz w:val="24"/>
          <w:szCs w:val="24"/>
        </w:rPr>
        <w:t xml:space="preserve">Conforme al artículo 32, fracción II, de la </w:t>
      </w:r>
      <w:r>
        <w:rPr>
          <w:rFonts w:ascii="Arial" w:hAnsi="Arial" w:cs="Arial"/>
          <w:i/>
          <w:iCs/>
          <w:sz w:val="24"/>
          <w:szCs w:val="24"/>
        </w:rPr>
        <w:t>Ley de Justicia Electoral</w:t>
      </w:r>
      <w:r>
        <w:rPr>
          <w:rFonts w:ascii="Arial" w:hAnsi="Arial" w:cs="Arial"/>
          <w:sz w:val="24"/>
          <w:szCs w:val="24"/>
        </w:rPr>
        <w:t xml:space="preserve">, se hace una síntesis de los agravios, sin que se desconozca el deber que tiene este </w:t>
      </w:r>
      <w:r>
        <w:rPr>
          <w:rFonts w:ascii="Arial" w:hAnsi="Arial" w:cs="Arial"/>
          <w:i/>
          <w:iCs/>
          <w:sz w:val="24"/>
          <w:szCs w:val="24"/>
        </w:rPr>
        <w:t xml:space="preserve">órgano jurisdiccional </w:t>
      </w:r>
      <w:r>
        <w:rPr>
          <w:rFonts w:ascii="Arial" w:hAnsi="Arial" w:cs="Arial"/>
          <w:sz w:val="24"/>
          <w:szCs w:val="24"/>
        </w:rPr>
        <w:t>de examinar e interpretar íntegramente la demanda respectiva, a efecto de identificar los motivos de disenso expuestos, y así llevar a cabo su análisis, siempre y cuando se haya expresado con claridad la causa de pedir</w:t>
      </w:r>
      <w:r>
        <w:rPr>
          <w:rStyle w:val="Refdenotaalpie"/>
          <w:rFonts w:ascii="Arial" w:eastAsia="Arial" w:hAnsi="Arial" w:cs="Arial"/>
          <w:i/>
          <w:iCs/>
          <w:sz w:val="24"/>
          <w:szCs w:val="24"/>
        </w:rPr>
        <w:footnoteReference w:id="40"/>
      </w:r>
      <w:r>
        <w:rPr>
          <w:rFonts w:ascii="Arial" w:hAnsi="Arial" w:cs="Arial"/>
          <w:sz w:val="24"/>
          <w:szCs w:val="24"/>
        </w:rPr>
        <w:t>.</w:t>
      </w:r>
    </w:p>
    <w:p w14:paraId="0E4E2447"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Bajo dicha tesitura, de la demanda se advierte que el </w:t>
      </w:r>
      <w:r>
        <w:rPr>
          <w:rFonts w:ascii="Arial" w:hAnsi="Arial" w:cs="Arial"/>
          <w:i/>
          <w:iCs/>
          <w:sz w:val="24"/>
          <w:szCs w:val="24"/>
        </w:rPr>
        <w:t xml:space="preserve">actor </w:t>
      </w:r>
      <w:r>
        <w:rPr>
          <w:rFonts w:ascii="Arial" w:hAnsi="Arial" w:cs="Arial"/>
          <w:sz w:val="24"/>
          <w:szCs w:val="24"/>
        </w:rPr>
        <w:t>señala como motivos de disenso los siguientes:</w:t>
      </w:r>
    </w:p>
    <w:p w14:paraId="66D27A41" w14:textId="77777777" w:rsidR="00E11D56" w:rsidRDefault="00000000">
      <w:pPr>
        <w:pStyle w:val="Prrafodelista"/>
        <w:numPr>
          <w:ilvl w:val="1"/>
          <w:numId w:val="28"/>
        </w:numPr>
        <w:spacing w:before="240" w:line="360" w:lineRule="auto"/>
        <w:ind w:left="567"/>
        <w:jc w:val="both"/>
        <w:rPr>
          <w:rFonts w:ascii="Arial" w:hAnsi="Arial" w:cs="Arial"/>
          <w:sz w:val="24"/>
          <w:szCs w:val="24"/>
          <w:lang w:val="es-ES"/>
        </w:rPr>
      </w:pPr>
      <w:bookmarkStart w:id="24" w:name="_Hlk233822897"/>
      <w:r>
        <w:rPr>
          <w:rFonts w:ascii="Arial" w:hAnsi="Arial" w:cs="Arial"/>
          <w:b/>
          <w:bCs/>
          <w:sz w:val="24"/>
          <w:szCs w:val="24"/>
        </w:rPr>
        <w:t>V</w:t>
      </w:r>
      <w:proofErr w:type="spellStart"/>
      <w:r>
        <w:rPr>
          <w:rFonts w:ascii="Arial" w:hAnsi="Arial" w:cs="Arial"/>
          <w:b/>
          <w:bCs/>
          <w:sz w:val="24"/>
          <w:szCs w:val="24"/>
          <w:lang w:val="es-ES"/>
        </w:rPr>
        <w:t>ulneración</w:t>
      </w:r>
      <w:proofErr w:type="spellEnd"/>
      <w:r>
        <w:rPr>
          <w:rFonts w:ascii="Arial" w:hAnsi="Arial" w:cs="Arial"/>
          <w:b/>
          <w:bCs/>
          <w:sz w:val="24"/>
          <w:szCs w:val="24"/>
          <w:lang w:val="es-ES"/>
        </w:rPr>
        <w:t xml:space="preserve"> al derecho de consulta indígena</w:t>
      </w:r>
      <w:r>
        <w:rPr>
          <w:rFonts w:ascii="Arial" w:hAnsi="Arial" w:cs="Arial"/>
          <w:sz w:val="24"/>
          <w:szCs w:val="24"/>
          <w:lang w:val="es-ES"/>
        </w:rPr>
        <w:t xml:space="preserve">, por no garantizar la legalidad de una consulta libre, previa e informada a la comunidad indígena; ya que a su consideración un acuerdo de Cabildo no puede sustituir un proceso de consulta indígena. Aunado a que ello modifica sustancialmente </w:t>
      </w:r>
      <w:r>
        <w:rPr>
          <w:rFonts w:ascii="Arial" w:hAnsi="Arial" w:cs="Arial"/>
          <w:sz w:val="24"/>
          <w:szCs w:val="24"/>
          <w:lang w:val="es-ES"/>
        </w:rPr>
        <w:lastRenderedPageBreak/>
        <w:t>su sistema normativo interno porque desaparece la figura de jefe de tenencia.</w:t>
      </w:r>
    </w:p>
    <w:p w14:paraId="33A8EDE0" w14:textId="77777777" w:rsidR="00E11D56" w:rsidRDefault="00000000">
      <w:pPr>
        <w:pStyle w:val="Prrafodelista"/>
        <w:numPr>
          <w:ilvl w:val="1"/>
          <w:numId w:val="28"/>
        </w:numPr>
        <w:spacing w:before="240" w:line="360" w:lineRule="auto"/>
        <w:ind w:left="567"/>
        <w:jc w:val="both"/>
        <w:rPr>
          <w:rFonts w:ascii="Arial" w:hAnsi="Arial" w:cs="Arial"/>
          <w:sz w:val="24"/>
          <w:szCs w:val="24"/>
          <w:lang w:val="es-ES"/>
        </w:rPr>
      </w:pPr>
      <w:r>
        <w:rPr>
          <w:rFonts w:ascii="Arial" w:hAnsi="Arial" w:cs="Arial"/>
          <w:b/>
          <w:bCs/>
          <w:sz w:val="24"/>
          <w:szCs w:val="24"/>
          <w:lang w:val="es-ES"/>
        </w:rPr>
        <w:t xml:space="preserve">Vulneración al derecho de la autonomía, libre determinación y autogobierno de la </w:t>
      </w:r>
      <w:r>
        <w:rPr>
          <w:rFonts w:ascii="Arial" w:hAnsi="Arial" w:cs="Arial"/>
          <w:b/>
          <w:bCs/>
          <w:i/>
          <w:iCs/>
          <w:sz w:val="24"/>
          <w:szCs w:val="24"/>
          <w:lang w:val="es-ES"/>
        </w:rPr>
        <w:t>comunidad</w:t>
      </w:r>
      <w:r>
        <w:rPr>
          <w:rFonts w:ascii="Arial" w:hAnsi="Arial" w:cs="Arial"/>
          <w:sz w:val="24"/>
          <w:szCs w:val="24"/>
          <w:lang w:val="es-ES"/>
        </w:rPr>
        <w:t xml:space="preserve">, al impedir la participación política efectiva a los integrantes de la </w:t>
      </w:r>
      <w:r>
        <w:rPr>
          <w:rFonts w:ascii="Arial" w:hAnsi="Arial" w:cs="Arial"/>
          <w:i/>
          <w:iCs/>
          <w:sz w:val="24"/>
          <w:szCs w:val="24"/>
          <w:lang w:val="es-ES"/>
        </w:rPr>
        <w:t>comunidad,</w:t>
      </w:r>
      <w:r>
        <w:rPr>
          <w:rFonts w:ascii="Arial" w:hAnsi="Arial" w:cs="Arial"/>
          <w:sz w:val="24"/>
          <w:szCs w:val="24"/>
          <w:lang w:val="es-ES"/>
        </w:rPr>
        <w:t xml:space="preserve"> a fin de determinar si la mayoría de la población está de acuerdo en la administración directa de recursos en el ejercicio de su derecho a autogobierno. Así, como impedirles elegir a las autoridades o representantes, para el ejercicio de sus propias formas de gobierno interno. Y, acceder a desempeñar los cargos públicos de elección popular. </w:t>
      </w:r>
    </w:p>
    <w:p w14:paraId="72BA712E" w14:textId="77777777" w:rsidR="00E11D56" w:rsidRDefault="00000000">
      <w:pPr>
        <w:pStyle w:val="Ttulo2"/>
        <w:spacing w:before="240" w:after="40" w:line="360" w:lineRule="auto"/>
        <w:jc w:val="both"/>
        <w:rPr>
          <w:rFonts w:ascii="Arial" w:hAnsi="Arial" w:cs="Arial"/>
          <w:color w:val="auto"/>
          <w:sz w:val="24"/>
          <w:szCs w:val="24"/>
        </w:rPr>
      </w:pPr>
      <w:bookmarkStart w:id="25" w:name="_Toc234501844"/>
      <w:bookmarkEnd w:id="24"/>
      <w:r>
        <w:rPr>
          <w:rFonts w:ascii="Arial" w:hAnsi="Arial" w:cs="Arial"/>
          <w:b/>
          <w:bCs/>
          <w:color w:val="auto"/>
          <w:sz w:val="24"/>
          <w:szCs w:val="24"/>
        </w:rPr>
        <w:t>8.5. Pretensión.</w:t>
      </w:r>
      <w:bookmarkEnd w:id="25"/>
      <w:r>
        <w:rPr>
          <w:rFonts w:ascii="Arial" w:hAnsi="Arial" w:cs="Arial"/>
          <w:color w:val="auto"/>
          <w:sz w:val="24"/>
          <w:szCs w:val="24"/>
        </w:rPr>
        <w:t xml:space="preserve"> </w:t>
      </w:r>
    </w:p>
    <w:p w14:paraId="7594E480" w14:textId="77777777" w:rsidR="00E11D56" w:rsidRDefault="00000000">
      <w:pPr>
        <w:spacing w:after="160" w:line="360" w:lineRule="auto"/>
        <w:jc w:val="both"/>
        <w:rPr>
          <w:rFonts w:ascii="Arial" w:hAnsi="Arial" w:cs="Arial"/>
          <w:sz w:val="24"/>
          <w:szCs w:val="24"/>
        </w:rPr>
      </w:pPr>
      <w:r>
        <w:rPr>
          <w:rFonts w:ascii="Arial" w:hAnsi="Arial" w:cs="Arial"/>
          <w:sz w:val="24"/>
          <w:szCs w:val="24"/>
        </w:rPr>
        <w:t xml:space="preserve">La pretensión de la </w:t>
      </w:r>
      <w:r>
        <w:rPr>
          <w:rFonts w:ascii="Arial" w:hAnsi="Arial" w:cs="Arial"/>
          <w:i/>
          <w:iCs/>
          <w:sz w:val="24"/>
          <w:szCs w:val="24"/>
        </w:rPr>
        <w:t>parte actora</w:t>
      </w:r>
      <w:r>
        <w:rPr>
          <w:rFonts w:ascii="Arial" w:hAnsi="Arial" w:cs="Arial"/>
          <w:sz w:val="24"/>
          <w:szCs w:val="24"/>
        </w:rPr>
        <w:t xml:space="preserve"> consiste en que este </w:t>
      </w:r>
      <w:r>
        <w:rPr>
          <w:rFonts w:ascii="Arial" w:hAnsi="Arial" w:cs="Arial"/>
          <w:i/>
          <w:iCs/>
          <w:sz w:val="24"/>
          <w:szCs w:val="24"/>
        </w:rPr>
        <w:t>órgano jurisdiccional</w:t>
      </w:r>
      <w:r>
        <w:rPr>
          <w:rFonts w:ascii="Arial" w:hAnsi="Arial" w:cs="Arial"/>
          <w:sz w:val="24"/>
          <w:szCs w:val="24"/>
        </w:rPr>
        <w:t xml:space="preserve"> ordene al </w:t>
      </w:r>
      <w:r>
        <w:rPr>
          <w:rFonts w:ascii="Arial" w:hAnsi="Arial" w:cs="Arial"/>
          <w:i/>
          <w:iCs/>
          <w:sz w:val="24"/>
          <w:szCs w:val="24"/>
        </w:rPr>
        <w:t xml:space="preserve">IEM </w:t>
      </w:r>
      <w:r>
        <w:rPr>
          <w:rFonts w:ascii="Arial" w:hAnsi="Arial" w:cs="Arial"/>
          <w:sz w:val="24"/>
          <w:szCs w:val="24"/>
        </w:rPr>
        <w:t xml:space="preserve">que convoque a una consulta a fin de determinar si la mayoría de la </w:t>
      </w:r>
      <w:r>
        <w:rPr>
          <w:rFonts w:ascii="Arial" w:hAnsi="Arial" w:cs="Arial"/>
          <w:i/>
          <w:iCs/>
          <w:sz w:val="24"/>
          <w:szCs w:val="24"/>
        </w:rPr>
        <w:t xml:space="preserve">comunidad </w:t>
      </w:r>
      <w:r>
        <w:rPr>
          <w:rFonts w:ascii="Arial" w:hAnsi="Arial" w:cs="Arial"/>
          <w:sz w:val="24"/>
          <w:szCs w:val="24"/>
        </w:rPr>
        <w:t>está de acuerdo en administrar de forma directa los recursos en el ejercicio de su derecho de autogobierno.</w:t>
      </w:r>
    </w:p>
    <w:p w14:paraId="6C0EE6D4" w14:textId="77777777" w:rsidR="00E11D56" w:rsidRDefault="00000000">
      <w:pPr>
        <w:spacing w:after="160" w:line="360" w:lineRule="auto"/>
        <w:jc w:val="both"/>
        <w:rPr>
          <w:rFonts w:ascii="Arial" w:hAnsi="Arial" w:cs="Arial"/>
          <w:sz w:val="24"/>
          <w:szCs w:val="24"/>
        </w:rPr>
      </w:pPr>
      <w:r>
        <w:rPr>
          <w:rFonts w:ascii="Arial" w:hAnsi="Arial" w:cs="Arial"/>
          <w:sz w:val="24"/>
          <w:szCs w:val="24"/>
        </w:rPr>
        <w:t xml:space="preserve">Asimismo, —conforme a su solicitud— se revoque la integración del </w:t>
      </w:r>
      <w:r>
        <w:rPr>
          <w:rFonts w:ascii="Arial" w:hAnsi="Arial" w:cs="Arial"/>
          <w:i/>
          <w:iCs/>
          <w:sz w:val="24"/>
          <w:szCs w:val="24"/>
        </w:rPr>
        <w:t>Concejo Comunal Indígena</w:t>
      </w:r>
      <w:r>
        <w:rPr>
          <w:rFonts w:ascii="Arial" w:hAnsi="Arial" w:cs="Arial"/>
          <w:sz w:val="24"/>
          <w:szCs w:val="24"/>
        </w:rPr>
        <w:t xml:space="preserve">, al considerar que su origen deriva de un vicio ante la falta de consulta previa, libre e informada por el </w:t>
      </w:r>
      <w:r>
        <w:rPr>
          <w:rFonts w:ascii="Arial" w:hAnsi="Arial" w:cs="Arial"/>
          <w:i/>
          <w:iCs/>
          <w:sz w:val="24"/>
          <w:szCs w:val="24"/>
        </w:rPr>
        <w:t>Instituto.</w:t>
      </w:r>
    </w:p>
    <w:p w14:paraId="12BA3540" w14:textId="77777777" w:rsidR="00E11D56" w:rsidRDefault="00000000">
      <w:pPr>
        <w:pStyle w:val="Ttulo2"/>
        <w:spacing w:before="240" w:after="40" w:line="360" w:lineRule="auto"/>
        <w:jc w:val="both"/>
        <w:rPr>
          <w:rFonts w:ascii="Arial" w:hAnsi="Arial" w:cs="Arial"/>
          <w:b/>
          <w:bCs/>
          <w:color w:val="auto"/>
          <w:sz w:val="24"/>
          <w:szCs w:val="24"/>
        </w:rPr>
      </w:pPr>
      <w:bookmarkStart w:id="26" w:name="_Toc234501845"/>
      <w:r>
        <w:rPr>
          <w:rFonts w:ascii="Arial" w:hAnsi="Arial" w:cs="Arial"/>
          <w:b/>
          <w:bCs/>
          <w:color w:val="auto"/>
          <w:sz w:val="24"/>
          <w:szCs w:val="24"/>
        </w:rPr>
        <w:t>8.6. Metodología de estudio</w:t>
      </w:r>
      <w:bookmarkEnd w:id="26"/>
    </w:p>
    <w:p w14:paraId="0C9990D3"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Ha sido criterio de la </w:t>
      </w:r>
      <w:r>
        <w:rPr>
          <w:rFonts w:ascii="Arial" w:hAnsi="Arial" w:cs="Arial"/>
          <w:i/>
          <w:iCs/>
          <w:sz w:val="24"/>
          <w:szCs w:val="24"/>
        </w:rPr>
        <w:t>Sala Superior</w:t>
      </w:r>
      <w:r>
        <w:rPr>
          <w:rFonts w:ascii="Arial" w:hAnsi="Arial" w:cs="Arial"/>
          <w:sz w:val="24"/>
          <w:szCs w:val="24"/>
        </w:rPr>
        <w:t xml:space="preserve"> que el orden y la forma en la que se aborde el estudio de los motivos de agravio no ocasiona </w:t>
      </w:r>
      <w:r w:rsidRPr="00F11E2B">
        <w:rPr>
          <w:rFonts w:ascii="Arial" w:hAnsi="Arial" w:cs="Arial"/>
          <w:sz w:val="24"/>
          <w:szCs w:val="24"/>
        </w:rPr>
        <w:t xml:space="preserve">perjuicio al </w:t>
      </w:r>
      <w:r w:rsidRPr="00F11E2B">
        <w:rPr>
          <w:rFonts w:ascii="Arial" w:hAnsi="Arial" w:cs="Arial"/>
          <w:i/>
          <w:iCs/>
          <w:sz w:val="24"/>
          <w:szCs w:val="24"/>
        </w:rPr>
        <w:t>actor</w:t>
      </w:r>
      <w:r w:rsidRPr="00F11E2B">
        <w:rPr>
          <w:rFonts w:ascii="Arial" w:hAnsi="Arial" w:cs="Arial"/>
          <w:sz w:val="24"/>
          <w:szCs w:val="24"/>
        </w:rPr>
        <w:t>, pues</w:t>
      </w:r>
      <w:r>
        <w:rPr>
          <w:rFonts w:ascii="Arial" w:hAnsi="Arial" w:cs="Arial"/>
          <w:sz w:val="24"/>
          <w:szCs w:val="24"/>
        </w:rPr>
        <w:t xml:space="preserve"> lo verdaderamente trascendente es que se analicen todos y cada uno de ellos, sin importar el orden de su estudio</w:t>
      </w:r>
      <w:r>
        <w:rPr>
          <w:rStyle w:val="Refdenotaalpie"/>
          <w:rFonts w:ascii="Arial" w:hAnsi="Arial" w:cs="Arial"/>
          <w:sz w:val="24"/>
          <w:szCs w:val="24"/>
        </w:rPr>
        <w:footnoteReference w:id="41"/>
      </w:r>
      <w:r>
        <w:rPr>
          <w:rFonts w:ascii="Arial" w:hAnsi="Arial" w:cs="Arial"/>
          <w:sz w:val="24"/>
          <w:szCs w:val="24"/>
        </w:rPr>
        <w:t xml:space="preserve">. </w:t>
      </w:r>
    </w:p>
    <w:p w14:paraId="7A55A772" w14:textId="77777777" w:rsidR="00E11D56" w:rsidRDefault="00000000">
      <w:pPr>
        <w:spacing w:before="240" w:line="360" w:lineRule="auto"/>
        <w:jc w:val="both"/>
        <w:rPr>
          <w:rFonts w:ascii="Arial" w:hAnsi="Arial" w:cs="Arial"/>
          <w:sz w:val="24"/>
          <w:szCs w:val="24"/>
        </w:rPr>
      </w:pPr>
      <w:r>
        <w:rPr>
          <w:rFonts w:ascii="Arial" w:hAnsi="Arial" w:cs="Arial"/>
          <w:sz w:val="24"/>
          <w:szCs w:val="24"/>
        </w:rPr>
        <w:t>Conforme a lo anterior, los agravios propuestos se analizarán de manera conjunta en virtud de que las violaciones alegadas derivan de la supuesta omisión del</w:t>
      </w:r>
      <w:r>
        <w:rPr>
          <w:rFonts w:ascii="Arial" w:hAnsi="Arial" w:cs="Arial"/>
          <w:i/>
          <w:iCs/>
          <w:sz w:val="24"/>
          <w:szCs w:val="24"/>
        </w:rPr>
        <w:t xml:space="preserve"> IEM.</w:t>
      </w:r>
    </w:p>
    <w:p w14:paraId="4305B47A" w14:textId="77777777" w:rsidR="00E11D56" w:rsidRDefault="00000000">
      <w:pPr>
        <w:pStyle w:val="Ttulo2"/>
        <w:spacing w:before="240" w:after="40"/>
        <w:rPr>
          <w:rFonts w:ascii="Arial" w:hAnsi="Arial" w:cs="Arial"/>
          <w:b/>
          <w:bCs/>
          <w:color w:val="auto"/>
          <w:sz w:val="24"/>
          <w:szCs w:val="24"/>
        </w:rPr>
      </w:pPr>
      <w:bookmarkStart w:id="27" w:name="_Toc234501846"/>
      <w:r>
        <w:rPr>
          <w:rFonts w:ascii="Arial" w:hAnsi="Arial" w:cs="Arial"/>
          <w:b/>
          <w:bCs/>
          <w:color w:val="auto"/>
          <w:sz w:val="24"/>
          <w:szCs w:val="24"/>
        </w:rPr>
        <w:t>8.7. Marco normativo</w:t>
      </w:r>
      <w:bookmarkEnd w:id="27"/>
    </w:p>
    <w:p w14:paraId="4CE99418" w14:textId="77777777" w:rsidR="00E11D56" w:rsidRDefault="00000000">
      <w:pPr>
        <w:tabs>
          <w:tab w:val="left" w:pos="426"/>
        </w:tabs>
        <w:spacing w:before="280" w:after="280" w:line="360" w:lineRule="auto"/>
        <w:jc w:val="both"/>
        <w:rPr>
          <w:rFonts w:ascii="Arial" w:hAnsi="Arial" w:cs="Arial"/>
          <w:sz w:val="24"/>
          <w:szCs w:val="24"/>
        </w:rPr>
      </w:pPr>
      <w:r>
        <w:rPr>
          <w:rFonts w:ascii="Arial" w:hAnsi="Arial" w:cs="Arial"/>
          <w:sz w:val="24"/>
          <w:szCs w:val="24"/>
        </w:rPr>
        <w:t>El artículo 2º de la</w:t>
      </w:r>
      <w:r>
        <w:rPr>
          <w:rFonts w:ascii="Arial" w:hAnsi="Arial" w:cs="Arial"/>
          <w:i/>
          <w:sz w:val="24"/>
          <w:szCs w:val="24"/>
        </w:rPr>
        <w:t xml:space="preserve"> Constitución General</w:t>
      </w:r>
      <w:r>
        <w:rPr>
          <w:rFonts w:ascii="Arial" w:hAnsi="Arial" w:cs="Arial"/>
          <w:sz w:val="24"/>
          <w:szCs w:val="24"/>
        </w:rPr>
        <w:t xml:space="preserve"> señala que la Nación Mexicana tiene una composición pluricultural sustentada originalmente en sus pueblos indígenas, que son aquellas colectividades con una continuidad histórica de las sociedades precoloniales establecidas en el territorio nacional, que conservan y desarrollan </w:t>
      </w:r>
      <w:r>
        <w:rPr>
          <w:rFonts w:ascii="Arial" w:hAnsi="Arial" w:cs="Arial"/>
          <w:sz w:val="24"/>
          <w:szCs w:val="24"/>
        </w:rPr>
        <w:lastRenderedPageBreak/>
        <w:t>sus propias instituciones sociales, normativas, económicas, culturales y políticas, o parte de ellas.</w:t>
      </w:r>
    </w:p>
    <w:p w14:paraId="37E34C83" w14:textId="77777777" w:rsidR="00E11D56" w:rsidRDefault="00000000">
      <w:pPr>
        <w:tabs>
          <w:tab w:val="left" w:pos="426"/>
        </w:tabs>
        <w:spacing w:before="280" w:after="280" w:line="360" w:lineRule="auto"/>
        <w:jc w:val="both"/>
        <w:rPr>
          <w:rFonts w:ascii="Arial" w:hAnsi="Arial" w:cs="Arial"/>
          <w:sz w:val="24"/>
          <w:szCs w:val="24"/>
        </w:rPr>
      </w:pPr>
      <w:r>
        <w:rPr>
          <w:rFonts w:ascii="Arial" w:hAnsi="Arial" w:cs="Arial"/>
          <w:sz w:val="24"/>
          <w:szCs w:val="24"/>
        </w:rPr>
        <w:t>Además, que se considera como comunidades integrantes de un pueblo indígena, a aquellas que formen una unidad social, económica y cultural, asentadas en un territorio y que reconocen autoridades propias de acuerdo con sus sistemas normativos.</w:t>
      </w:r>
    </w:p>
    <w:p w14:paraId="25FB17BB" w14:textId="77777777" w:rsidR="00E11D56" w:rsidRDefault="00000000">
      <w:pPr>
        <w:tabs>
          <w:tab w:val="left" w:pos="426"/>
        </w:tabs>
        <w:spacing w:before="280" w:after="280" w:line="360" w:lineRule="auto"/>
        <w:jc w:val="both"/>
        <w:rPr>
          <w:rFonts w:ascii="Arial" w:hAnsi="Arial" w:cs="Arial"/>
          <w:sz w:val="24"/>
          <w:szCs w:val="24"/>
        </w:rPr>
      </w:pPr>
      <w:r>
        <w:rPr>
          <w:rFonts w:ascii="Arial" w:hAnsi="Arial" w:cs="Arial"/>
          <w:sz w:val="24"/>
          <w:szCs w:val="24"/>
        </w:rPr>
        <w:t>También, en el apartado A, del referido artículo, se reconoce que los municipios deberán establecer las instituciones y determinar las políticas públicas que garanticen el ejercicio efectivo de los derechos de los pueblos indígenas y su desarrollo integral, intercultural y sostenible, diseñadas y operadas conjuntamente por ellos.</w:t>
      </w:r>
    </w:p>
    <w:p w14:paraId="2CCA281E" w14:textId="77777777" w:rsidR="00E11D56" w:rsidRDefault="00000000">
      <w:pPr>
        <w:tabs>
          <w:tab w:val="left" w:pos="426"/>
        </w:tabs>
        <w:spacing w:before="280" w:after="280" w:line="360" w:lineRule="auto"/>
        <w:jc w:val="both"/>
        <w:rPr>
          <w:rFonts w:ascii="Arial" w:eastAsia="Arial" w:hAnsi="Arial" w:cs="Arial"/>
          <w:sz w:val="24"/>
          <w:szCs w:val="24"/>
        </w:rPr>
      </w:pPr>
      <w:r>
        <w:rPr>
          <w:rFonts w:ascii="Arial" w:hAnsi="Arial" w:cs="Arial"/>
          <w:sz w:val="24"/>
          <w:szCs w:val="24"/>
        </w:rPr>
        <w:t xml:space="preserve">Aunado a ello, las autoridades tienen la obligación de determinar, mediante normas y criterios compensatorios, equitativos, justos y proporcionales, asignaciones presupuestales para los pueblos y comunidades indígenas, que serán administradas directamente por estos. Esto es, </w:t>
      </w:r>
      <w:r>
        <w:rPr>
          <w:rFonts w:ascii="Arial" w:eastAsia="Arial" w:hAnsi="Arial" w:cs="Arial"/>
          <w:sz w:val="24"/>
          <w:szCs w:val="24"/>
        </w:rPr>
        <w:t>reconoce y garantiza el derecho de los pueblos y las comunidades indígenas a la libre determinación y, en consecuencia, a la autonomía para:</w:t>
      </w:r>
    </w:p>
    <w:p w14:paraId="6271CFCD" w14:textId="77777777" w:rsidR="00E11D56" w:rsidRDefault="00000000">
      <w:pPr>
        <w:numPr>
          <w:ilvl w:val="0"/>
          <w:numId w:val="32"/>
        </w:numPr>
        <w:tabs>
          <w:tab w:val="left" w:pos="426"/>
        </w:tabs>
        <w:spacing w:before="280" w:after="0" w:line="360" w:lineRule="auto"/>
        <w:jc w:val="both"/>
        <w:rPr>
          <w:rFonts w:ascii="Arial" w:eastAsia="Arial" w:hAnsi="Arial" w:cs="Arial"/>
          <w:sz w:val="24"/>
          <w:szCs w:val="24"/>
        </w:rPr>
      </w:pPr>
      <w:r>
        <w:rPr>
          <w:rFonts w:ascii="Arial" w:eastAsia="Arial" w:hAnsi="Arial" w:cs="Arial"/>
          <w:sz w:val="24"/>
          <w:szCs w:val="24"/>
        </w:rPr>
        <w:t>Decidir sus formas internas de convivencia y organización social, económica, política y cultural.</w:t>
      </w:r>
    </w:p>
    <w:p w14:paraId="433DE18F" w14:textId="77777777" w:rsidR="00E11D56" w:rsidRDefault="00000000">
      <w:pPr>
        <w:numPr>
          <w:ilvl w:val="0"/>
          <w:numId w:val="32"/>
        </w:numPr>
        <w:tabs>
          <w:tab w:val="left" w:pos="426"/>
        </w:tabs>
        <w:spacing w:after="0" w:line="360" w:lineRule="auto"/>
        <w:jc w:val="both"/>
        <w:rPr>
          <w:rFonts w:ascii="Arial" w:eastAsia="Arial" w:hAnsi="Arial" w:cs="Arial"/>
          <w:sz w:val="24"/>
          <w:szCs w:val="24"/>
        </w:rPr>
      </w:pPr>
      <w:r>
        <w:rPr>
          <w:rFonts w:ascii="Arial" w:eastAsia="Arial" w:hAnsi="Arial" w:cs="Arial"/>
          <w:sz w:val="24"/>
          <w:szCs w:val="24"/>
        </w:rPr>
        <w:t>Aplicar sus propios sistemas normativos en la regulación y solución de sus conflictos internos.</w:t>
      </w:r>
    </w:p>
    <w:p w14:paraId="38030EFB" w14:textId="77777777" w:rsidR="00E11D56" w:rsidRDefault="00000000">
      <w:pPr>
        <w:numPr>
          <w:ilvl w:val="0"/>
          <w:numId w:val="32"/>
        </w:numPr>
        <w:tabs>
          <w:tab w:val="left" w:pos="426"/>
        </w:tabs>
        <w:spacing w:after="0" w:line="360" w:lineRule="auto"/>
        <w:jc w:val="both"/>
        <w:rPr>
          <w:rFonts w:ascii="Arial" w:eastAsia="Arial" w:hAnsi="Arial" w:cs="Arial"/>
          <w:sz w:val="24"/>
          <w:szCs w:val="24"/>
        </w:rPr>
      </w:pPr>
      <w:r>
        <w:rPr>
          <w:rFonts w:ascii="Arial" w:eastAsia="Arial" w:hAnsi="Arial" w:cs="Arial"/>
          <w:sz w:val="24"/>
          <w:szCs w:val="24"/>
        </w:rPr>
        <w:t>Elegir, de acuerdo con sus normas, procedimientos y prácticas tradicionales, a las autoridades o representantes para el ejercicio de sus formas propias de gobierno interno.</w:t>
      </w:r>
    </w:p>
    <w:p w14:paraId="68627977" w14:textId="77777777" w:rsidR="00E11D56" w:rsidRDefault="00000000">
      <w:pPr>
        <w:numPr>
          <w:ilvl w:val="0"/>
          <w:numId w:val="32"/>
        </w:numPr>
        <w:tabs>
          <w:tab w:val="left" w:pos="426"/>
        </w:tabs>
        <w:spacing w:after="280" w:line="360" w:lineRule="auto"/>
        <w:jc w:val="both"/>
        <w:rPr>
          <w:rFonts w:ascii="Arial" w:eastAsia="Arial" w:hAnsi="Arial" w:cs="Arial"/>
          <w:sz w:val="24"/>
          <w:szCs w:val="24"/>
        </w:rPr>
      </w:pPr>
      <w:r>
        <w:rPr>
          <w:rFonts w:ascii="Arial" w:eastAsia="Arial" w:hAnsi="Arial" w:cs="Arial"/>
          <w:sz w:val="24"/>
          <w:szCs w:val="24"/>
        </w:rPr>
        <w:t xml:space="preserve">Elegir, en los municipios con población indígena, representantes ante los ayuntamientos. </w:t>
      </w:r>
    </w:p>
    <w:p w14:paraId="24DAB29C" w14:textId="77777777" w:rsidR="00E11D56" w:rsidRDefault="00000000">
      <w:pPr>
        <w:tabs>
          <w:tab w:val="left" w:pos="426"/>
        </w:tabs>
        <w:spacing w:after="280" w:line="360" w:lineRule="auto"/>
        <w:jc w:val="both"/>
        <w:rPr>
          <w:rFonts w:ascii="Arial" w:eastAsia="Arial" w:hAnsi="Arial" w:cs="Arial"/>
          <w:sz w:val="24"/>
          <w:szCs w:val="24"/>
        </w:rPr>
      </w:pPr>
      <w:r>
        <w:rPr>
          <w:rFonts w:ascii="Arial" w:eastAsia="Arial" w:hAnsi="Arial" w:cs="Arial"/>
          <w:sz w:val="24"/>
          <w:szCs w:val="24"/>
        </w:rPr>
        <w:t xml:space="preserve">De igual forma, señala que el reconocimiento de los pueblos indígenas se hará en las constituciones y leyes de las entidades federativas, las que deberán tener en cuenta, además de los principios generales descritos, criterios etnolingüísticos y de asentamiento físico. </w:t>
      </w:r>
    </w:p>
    <w:p w14:paraId="7502BF1E" w14:textId="77777777" w:rsidR="00E11D56" w:rsidRDefault="00000000">
      <w:pPr>
        <w:tabs>
          <w:tab w:val="left" w:pos="426"/>
        </w:tabs>
        <w:spacing w:after="280" w:line="360" w:lineRule="auto"/>
        <w:jc w:val="both"/>
        <w:rPr>
          <w:rFonts w:ascii="Arial" w:eastAsia="Arial" w:hAnsi="Arial" w:cs="Arial"/>
          <w:sz w:val="24"/>
          <w:szCs w:val="24"/>
        </w:rPr>
      </w:pPr>
      <w:r>
        <w:rPr>
          <w:rFonts w:ascii="Arial" w:eastAsia="Arial" w:hAnsi="Arial" w:cs="Arial"/>
          <w:sz w:val="24"/>
          <w:szCs w:val="24"/>
        </w:rPr>
        <w:t xml:space="preserve">A su vez, el apartado B, del artículo 2º, de la </w:t>
      </w:r>
      <w:r>
        <w:rPr>
          <w:rFonts w:ascii="Arial" w:eastAsia="Arial" w:hAnsi="Arial" w:cs="Arial"/>
          <w:i/>
          <w:sz w:val="24"/>
          <w:szCs w:val="24"/>
        </w:rPr>
        <w:t xml:space="preserve">Constitución General, </w:t>
      </w:r>
      <w:r>
        <w:rPr>
          <w:rFonts w:ascii="Arial" w:eastAsia="Arial" w:hAnsi="Arial" w:cs="Arial"/>
          <w:sz w:val="24"/>
          <w:szCs w:val="24"/>
        </w:rPr>
        <w:t xml:space="preserve">precisa que la Federación, las entidades federativas y los municipios, para promover la </w:t>
      </w:r>
      <w:r>
        <w:rPr>
          <w:rFonts w:ascii="Arial" w:eastAsia="Arial" w:hAnsi="Arial" w:cs="Arial"/>
          <w:sz w:val="24"/>
          <w:szCs w:val="24"/>
        </w:rPr>
        <w:lastRenderedPageBreak/>
        <w:t xml:space="preserve">igualdad de oportunidades de los indígenas y eliminar cualquier práctica discriminatoria, establecerán instituciones y determinarán las políticas necesarias para garantizar la vigencia de sus derechos y el desarrollo integral de sus pueblos y comunidades. </w:t>
      </w:r>
    </w:p>
    <w:p w14:paraId="056AE7CD" w14:textId="77777777" w:rsidR="00E11D56" w:rsidRDefault="00000000">
      <w:pPr>
        <w:tabs>
          <w:tab w:val="left" w:pos="426"/>
        </w:tabs>
        <w:spacing w:after="280" w:line="360" w:lineRule="auto"/>
        <w:jc w:val="both"/>
        <w:rPr>
          <w:rFonts w:ascii="Arial" w:eastAsia="Arial" w:hAnsi="Arial" w:cs="Arial"/>
          <w:sz w:val="24"/>
          <w:szCs w:val="24"/>
        </w:rPr>
      </w:pPr>
      <w:r>
        <w:rPr>
          <w:rFonts w:ascii="Arial" w:eastAsia="Arial" w:hAnsi="Arial" w:cs="Arial"/>
          <w:sz w:val="24"/>
          <w:szCs w:val="24"/>
        </w:rPr>
        <w:t>Dichas autoridades están obligadas, en lo que nos interesa, a impulsar el desarrollo regional de las zonas indígenas con el propósito de fortalecer las economías locales y mejorar las condiciones de vida. Asimismo, las autoridades municipales determinarán equitativamente las asignaciones presupuestales que las comunidades administrarán directamente para fines específicos.</w:t>
      </w:r>
      <w:r>
        <w:rPr>
          <w:rFonts w:ascii="Arial" w:eastAsia="Arial" w:hAnsi="Arial" w:cs="Arial"/>
          <w:b/>
          <w:sz w:val="24"/>
          <w:szCs w:val="24"/>
        </w:rPr>
        <w:t xml:space="preserve"> </w:t>
      </w:r>
    </w:p>
    <w:p w14:paraId="714B475C" w14:textId="77777777" w:rsidR="00E11D56" w:rsidRDefault="00000000">
      <w:pPr>
        <w:tabs>
          <w:tab w:val="left" w:pos="426"/>
        </w:tabs>
        <w:spacing w:after="280" w:line="360" w:lineRule="auto"/>
        <w:jc w:val="both"/>
        <w:rPr>
          <w:rFonts w:ascii="Arial" w:eastAsia="Arial" w:hAnsi="Arial" w:cs="Arial"/>
          <w:sz w:val="24"/>
          <w:szCs w:val="24"/>
        </w:rPr>
      </w:pPr>
      <w:r>
        <w:rPr>
          <w:rFonts w:ascii="Arial" w:eastAsia="Arial" w:hAnsi="Arial" w:cs="Arial"/>
          <w:sz w:val="24"/>
          <w:szCs w:val="24"/>
        </w:rPr>
        <w:t xml:space="preserve">Asimismo, el artículo 115, fracción I, de la </w:t>
      </w:r>
      <w:r>
        <w:rPr>
          <w:rFonts w:ascii="Arial" w:eastAsia="Arial" w:hAnsi="Arial" w:cs="Arial"/>
          <w:i/>
          <w:sz w:val="24"/>
          <w:szCs w:val="24"/>
        </w:rPr>
        <w:t>Constitución General</w:t>
      </w:r>
      <w:r>
        <w:rPr>
          <w:rFonts w:ascii="Arial" w:eastAsia="Arial" w:hAnsi="Arial" w:cs="Arial"/>
          <w:sz w:val="24"/>
          <w:szCs w:val="24"/>
        </w:rPr>
        <w:t xml:space="preserve">, establece, entre otros aspectos, las bases constitucionales del municipio considerándolo la base de la división territorial y organización política y administrativa de los estados. Cada municipio será gobernado por un </w:t>
      </w:r>
      <w:r>
        <w:rPr>
          <w:rFonts w:ascii="Arial" w:eastAsia="Arial" w:hAnsi="Arial" w:cs="Arial"/>
          <w:i/>
          <w:sz w:val="24"/>
          <w:szCs w:val="24"/>
        </w:rPr>
        <w:t>Ayuntamiento</w:t>
      </w:r>
      <w:r>
        <w:rPr>
          <w:rFonts w:ascii="Arial" w:eastAsia="Arial" w:hAnsi="Arial" w:cs="Arial"/>
          <w:sz w:val="24"/>
          <w:szCs w:val="24"/>
        </w:rPr>
        <w:t xml:space="preserve"> de elección popular directa y contará con personalidad jurídica y patrimonio propios. </w:t>
      </w:r>
    </w:p>
    <w:p w14:paraId="6FFD94D9" w14:textId="77777777" w:rsidR="00E11D56" w:rsidRDefault="00000000">
      <w:pPr>
        <w:tabs>
          <w:tab w:val="left" w:pos="426"/>
        </w:tabs>
        <w:spacing w:after="280" w:line="360" w:lineRule="auto"/>
        <w:jc w:val="both"/>
        <w:rPr>
          <w:rFonts w:ascii="Arial" w:eastAsia="Arial" w:hAnsi="Arial" w:cs="Arial"/>
          <w:sz w:val="24"/>
          <w:szCs w:val="24"/>
        </w:rPr>
      </w:pPr>
      <w:r>
        <w:rPr>
          <w:rFonts w:ascii="Arial" w:eastAsia="Arial" w:hAnsi="Arial" w:cs="Arial"/>
          <w:sz w:val="24"/>
          <w:szCs w:val="24"/>
        </w:rPr>
        <w:t xml:space="preserve">De igual forma, la fracción IV, del citado artículo, dispone que los municipios administrarán libremente su hacienda. Todos sus recursos deben ejercerse directamente por los ayuntamientos o por quienes estos autoricen conforme a la ley. </w:t>
      </w:r>
    </w:p>
    <w:p w14:paraId="6E442F8E" w14:textId="77777777" w:rsidR="00E11D56" w:rsidRDefault="00000000">
      <w:pPr>
        <w:tabs>
          <w:tab w:val="left" w:pos="426"/>
        </w:tabs>
        <w:spacing w:after="280" w:line="360" w:lineRule="auto"/>
        <w:jc w:val="both"/>
        <w:rPr>
          <w:rFonts w:ascii="Arial" w:eastAsia="Arial" w:hAnsi="Arial" w:cs="Arial"/>
          <w:sz w:val="24"/>
          <w:szCs w:val="24"/>
        </w:rPr>
      </w:pPr>
      <w:r>
        <w:rPr>
          <w:rFonts w:ascii="Arial" w:eastAsia="Arial" w:hAnsi="Arial" w:cs="Arial"/>
          <w:sz w:val="24"/>
          <w:szCs w:val="24"/>
        </w:rPr>
        <w:t xml:space="preserve">La </w:t>
      </w:r>
      <w:r>
        <w:rPr>
          <w:rFonts w:ascii="Arial" w:eastAsia="Arial" w:hAnsi="Arial" w:cs="Arial"/>
          <w:i/>
          <w:sz w:val="24"/>
          <w:szCs w:val="24"/>
        </w:rPr>
        <w:t>Sala Superior</w:t>
      </w:r>
      <w:r>
        <w:rPr>
          <w:rFonts w:ascii="Arial" w:eastAsia="Arial" w:hAnsi="Arial" w:cs="Arial"/>
          <w:sz w:val="24"/>
          <w:szCs w:val="24"/>
        </w:rPr>
        <w:t xml:space="preserve">, al resolver el recurso de reconsideración SUP-REC-682/2018, estableció que el artículo 115 de la </w:t>
      </w:r>
      <w:r>
        <w:rPr>
          <w:rFonts w:ascii="Arial" w:eastAsia="Arial" w:hAnsi="Arial" w:cs="Arial"/>
          <w:i/>
          <w:sz w:val="24"/>
          <w:szCs w:val="24"/>
        </w:rPr>
        <w:t xml:space="preserve">Constitución General </w:t>
      </w:r>
      <w:r>
        <w:rPr>
          <w:rFonts w:ascii="Arial" w:eastAsia="Arial" w:hAnsi="Arial" w:cs="Arial"/>
          <w:sz w:val="24"/>
          <w:szCs w:val="24"/>
        </w:rPr>
        <w:t xml:space="preserve">debe interpretarse de manera sistemática y, por ende, armónica con el numeral 2º de la propia Constitución. Así, consideró que el reconocimiento de los pueblos y comunidades indígenas supone garantizar un mínimo de derechos, entre ellos, determinar su condición política y perseguir libremente su desarrollo integral, así como administrar directamente las asignaciones presupuestales que las autoridades municipales deberán determinar equitativamente, en el contexto de la legislación estatal aplicable. </w:t>
      </w:r>
    </w:p>
    <w:p w14:paraId="48E15BFD" w14:textId="77777777" w:rsidR="00E11D56" w:rsidRDefault="00000000">
      <w:pPr>
        <w:tabs>
          <w:tab w:val="left" w:pos="426"/>
        </w:tabs>
        <w:spacing w:after="280" w:line="360" w:lineRule="auto"/>
        <w:jc w:val="both"/>
        <w:rPr>
          <w:rFonts w:ascii="Arial" w:eastAsia="Arial" w:hAnsi="Arial" w:cs="Arial"/>
          <w:sz w:val="24"/>
          <w:szCs w:val="24"/>
        </w:rPr>
      </w:pPr>
      <w:r>
        <w:rPr>
          <w:rFonts w:ascii="Arial" w:eastAsia="Arial" w:hAnsi="Arial" w:cs="Arial"/>
          <w:sz w:val="24"/>
          <w:szCs w:val="24"/>
        </w:rPr>
        <w:t xml:space="preserve">Por su parte, el artículo 3 de la </w:t>
      </w:r>
      <w:r>
        <w:rPr>
          <w:rFonts w:ascii="Arial" w:eastAsia="Arial" w:hAnsi="Arial" w:cs="Arial"/>
          <w:i/>
          <w:sz w:val="24"/>
          <w:szCs w:val="24"/>
        </w:rPr>
        <w:t xml:space="preserve">Constitución Local </w:t>
      </w:r>
      <w:r>
        <w:rPr>
          <w:rFonts w:ascii="Arial" w:eastAsia="Arial" w:hAnsi="Arial" w:cs="Arial"/>
          <w:sz w:val="24"/>
          <w:szCs w:val="24"/>
        </w:rPr>
        <w:t xml:space="preserve">prevé que el Estado de Michoacán tiene una composición multicultural, pluriétnica y multilingüe sustentada originalmente en sus pueblos y comunidades indígenas y les garantiza los derechos consagrados en la </w:t>
      </w:r>
      <w:r>
        <w:rPr>
          <w:rFonts w:ascii="Arial" w:eastAsia="Arial" w:hAnsi="Arial" w:cs="Arial"/>
          <w:i/>
          <w:sz w:val="24"/>
          <w:szCs w:val="24"/>
        </w:rPr>
        <w:t xml:space="preserve">Constitución General </w:t>
      </w:r>
      <w:r>
        <w:rPr>
          <w:rFonts w:ascii="Arial" w:eastAsia="Arial" w:hAnsi="Arial" w:cs="Arial"/>
          <w:sz w:val="24"/>
          <w:szCs w:val="24"/>
        </w:rPr>
        <w:t xml:space="preserve">y en los instrumentos internacionales relacionados con la materia. </w:t>
      </w:r>
    </w:p>
    <w:p w14:paraId="0892C710" w14:textId="77777777" w:rsidR="00E11D56" w:rsidRDefault="00000000">
      <w:pPr>
        <w:tabs>
          <w:tab w:val="left" w:pos="426"/>
        </w:tabs>
        <w:spacing w:after="280" w:line="360" w:lineRule="auto"/>
        <w:jc w:val="both"/>
        <w:rPr>
          <w:rFonts w:ascii="Arial" w:eastAsia="Arial" w:hAnsi="Arial" w:cs="Arial"/>
          <w:sz w:val="24"/>
          <w:szCs w:val="24"/>
        </w:rPr>
      </w:pPr>
      <w:r>
        <w:rPr>
          <w:rFonts w:ascii="Arial" w:eastAsia="Arial" w:hAnsi="Arial" w:cs="Arial"/>
          <w:sz w:val="24"/>
          <w:szCs w:val="24"/>
        </w:rPr>
        <w:lastRenderedPageBreak/>
        <w:t>Además, establece que, el derecho a la libre determinación de los pueblos indígenas, asentados en el Estado de Michoacán, se ejercerá en un marco constitucional de autonomía en sus ámbitos comunal, regional y como pueblo indígena. Asimismo, indica que los pueblos y las comunidades indígenas tendrán, entre otros, el derecho a decidir y ejercer sus formas internas de gobierno, sus propios sistemas de participación, elección y organización social, económica, política y cultural, a través de las diversas formas y ámbitos de autonomía comunal, regional y como pueblo indígena.</w:t>
      </w:r>
    </w:p>
    <w:p w14:paraId="01EB759A" w14:textId="77777777" w:rsidR="00E11D56" w:rsidRDefault="00000000">
      <w:pPr>
        <w:tabs>
          <w:tab w:val="left" w:pos="426"/>
        </w:tabs>
        <w:spacing w:after="280" w:line="360" w:lineRule="auto"/>
        <w:jc w:val="both"/>
        <w:rPr>
          <w:rFonts w:ascii="Arial" w:eastAsia="Arial" w:hAnsi="Arial" w:cs="Arial"/>
          <w:sz w:val="24"/>
          <w:szCs w:val="24"/>
        </w:rPr>
      </w:pPr>
      <w:r>
        <w:rPr>
          <w:rFonts w:ascii="Arial" w:eastAsia="Arial" w:hAnsi="Arial" w:cs="Arial"/>
          <w:sz w:val="24"/>
          <w:szCs w:val="24"/>
        </w:rPr>
        <w:t xml:space="preserve">De igual forma, el artículo 114 de la </w:t>
      </w:r>
      <w:r>
        <w:rPr>
          <w:rFonts w:ascii="Arial" w:eastAsia="Arial" w:hAnsi="Arial" w:cs="Arial"/>
          <w:i/>
          <w:sz w:val="24"/>
          <w:szCs w:val="24"/>
        </w:rPr>
        <w:t xml:space="preserve">Constitución Local </w:t>
      </w:r>
      <w:r>
        <w:rPr>
          <w:rFonts w:ascii="Arial" w:eastAsia="Arial" w:hAnsi="Arial" w:cs="Arial"/>
          <w:sz w:val="24"/>
          <w:szCs w:val="24"/>
        </w:rPr>
        <w:t xml:space="preserve">señala que la ley establecerá los mecanismos para que, en los municipios con presencia de comunidades indígenas, se instituyan órganos colegiados de autoridades representantes de las comunidades indígenas, garantizando su participación y pleno respeto a la autonomía y personalidad jurídica comunal. </w:t>
      </w:r>
    </w:p>
    <w:p w14:paraId="410B3EAE" w14:textId="77777777" w:rsidR="00E11D56" w:rsidRDefault="00000000">
      <w:pPr>
        <w:tabs>
          <w:tab w:val="left" w:pos="426"/>
        </w:tabs>
        <w:spacing w:after="280" w:line="360" w:lineRule="auto"/>
        <w:jc w:val="both"/>
        <w:rPr>
          <w:rFonts w:ascii="Arial" w:eastAsia="Arial" w:hAnsi="Arial" w:cs="Arial"/>
          <w:sz w:val="24"/>
          <w:szCs w:val="24"/>
        </w:rPr>
      </w:pPr>
      <w:r>
        <w:rPr>
          <w:rFonts w:ascii="Arial" w:eastAsia="Arial" w:hAnsi="Arial" w:cs="Arial"/>
          <w:sz w:val="24"/>
          <w:szCs w:val="24"/>
        </w:rPr>
        <w:t xml:space="preserve">Por su parte, en su artículo 123, replica lo establecido en la </w:t>
      </w:r>
      <w:r>
        <w:rPr>
          <w:rFonts w:ascii="Arial" w:eastAsia="Arial" w:hAnsi="Arial" w:cs="Arial"/>
          <w:i/>
          <w:sz w:val="24"/>
          <w:szCs w:val="24"/>
        </w:rPr>
        <w:t>Constitución General</w:t>
      </w:r>
      <w:r>
        <w:rPr>
          <w:rFonts w:ascii="Arial" w:eastAsia="Arial" w:hAnsi="Arial" w:cs="Arial"/>
          <w:i/>
          <w:iCs/>
          <w:sz w:val="24"/>
          <w:szCs w:val="24"/>
        </w:rPr>
        <w:t xml:space="preserve">, </w:t>
      </w:r>
      <w:r>
        <w:rPr>
          <w:rFonts w:ascii="Arial" w:eastAsia="Arial" w:hAnsi="Arial" w:cs="Arial"/>
          <w:sz w:val="24"/>
          <w:szCs w:val="24"/>
        </w:rPr>
        <w:t xml:space="preserve">respecto de la facultad de los ayuntamientos a administrar libremente su hacienda, por ellos o, en su caso, por quien ellos autoricen conforme a la ley. </w:t>
      </w:r>
    </w:p>
    <w:p w14:paraId="677079B8" w14:textId="77777777" w:rsidR="00E11D56" w:rsidRDefault="00000000">
      <w:pPr>
        <w:tabs>
          <w:tab w:val="left" w:pos="426"/>
        </w:tabs>
        <w:spacing w:after="280" w:line="360" w:lineRule="auto"/>
        <w:jc w:val="both"/>
        <w:rPr>
          <w:rFonts w:ascii="Arial" w:eastAsia="Arial" w:hAnsi="Arial" w:cs="Arial"/>
          <w:sz w:val="24"/>
          <w:szCs w:val="24"/>
        </w:rPr>
      </w:pPr>
      <w:r>
        <w:rPr>
          <w:rFonts w:ascii="Arial" w:eastAsia="Arial" w:hAnsi="Arial" w:cs="Arial"/>
          <w:sz w:val="24"/>
          <w:szCs w:val="24"/>
        </w:rPr>
        <w:t xml:space="preserve">La </w:t>
      </w:r>
      <w:r>
        <w:rPr>
          <w:rFonts w:ascii="Arial" w:eastAsia="Arial" w:hAnsi="Arial" w:cs="Arial"/>
          <w:i/>
          <w:sz w:val="24"/>
          <w:szCs w:val="24"/>
        </w:rPr>
        <w:t>Ley Orgánica Municipal</w:t>
      </w:r>
      <w:r>
        <w:rPr>
          <w:rFonts w:ascii="Arial" w:eastAsia="Arial" w:hAnsi="Arial" w:cs="Arial"/>
          <w:sz w:val="24"/>
          <w:szCs w:val="24"/>
        </w:rPr>
        <w:t xml:space="preserve">, en su artículo 116, cuarto párrafo, establece que las comunidades indígenas, que tengan el carácter de Tenencia, tendrán derecho a ejercer directamente los recursos presupuestales que les sean asignados por el municipio. </w:t>
      </w:r>
    </w:p>
    <w:p w14:paraId="60FA76E3" w14:textId="77777777" w:rsidR="00E11D56" w:rsidRDefault="00000000">
      <w:pPr>
        <w:tabs>
          <w:tab w:val="left" w:pos="426"/>
        </w:tabs>
        <w:spacing w:after="280" w:line="360" w:lineRule="auto"/>
        <w:jc w:val="both"/>
        <w:rPr>
          <w:rFonts w:ascii="Arial" w:eastAsia="Arial" w:hAnsi="Arial" w:cs="Arial"/>
          <w:sz w:val="24"/>
          <w:szCs w:val="24"/>
        </w:rPr>
      </w:pPr>
      <w:r>
        <w:rPr>
          <w:rFonts w:ascii="Arial" w:eastAsia="Arial" w:hAnsi="Arial" w:cs="Arial"/>
          <w:sz w:val="24"/>
          <w:szCs w:val="24"/>
        </w:rPr>
        <w:t xml:space="preserve">Ahora bien, tanto el artículo 117, de la ley en cita, como el 330 del </w:t>
      </w:r>
      <w:r>
        <w:rPr>
          <w:rFonts w:ascii="Arial" w:eastAsia="Arial" w:hAnsi="Arial" w:cs="Arial"/>
          <w:i/>
          <w:sz w:val="24"/>
          <w:szCs w:val="24"/>
        </w:rPr>
        <w:t xml:space="preserve">Código Electoral, </w:t>
      </w:r>
      <w:r>
        <w:rPr>
          <w:rFonts w:ascii="Arial" w:eastAsia="Arial" w:hAnsi="Arial" w:cs="Arial"/>
          <w:sz w:val="24"/>
          <w:szCs w:val="24"/>
        </w:rPr>
        <w:t xml:space="preserve">a partir de la reforma publicada en el </w:t>
      </w:r>
      <w:r>
        <w:rPr>
          <w:rFonts w:ascii="Arial" w:eastAsia="Arial" w:hAnsi="Arial" w:cs="Arial"/>
          <w:i/>
          <w:sz w:val="24"/>
          <w:szCs w:val="24"/>
        </w:rPr>
        <w:t>Periódico Oficial</w:t>
      </w:r>
      <w:r>
        <w:rPr>
          <w:rFonts w:ascii="Arial" w:eastAsia="Arial" w:hAnsi="Arial" w:cs="Arial"/>
          <w:sz w:val="24"/>
          <w:szCs w:val="24"/>
        </w:rPr>
        <w:t xml:space="preserve"> el doce de junio de dos mil veintitrés, prevén el procedimiento que deben seguir las comunidades indígenas para hacer efectivo su derecho al autogobierno y a la administración directa de los recursos presupuestales.</w:t>
      </w:r>
    </w:p>
    <w:p w14:paraId="03AFC3A7" w14:textId="77777777" w:rsidR="00E11D56" w:rsidRDefault="00000000">
      <w:pPr>
        <w:tabs>
          <w:tab w:val="left" w:pos="426"/>
        </w:tabs>
        <w:spacing w:after="280" w:line="360" w:lineRule="auto"/>
        <w:jc w:val="both"/>
        <w:rPr>
          <w:rFonts w:ascii="Arial" w:eastAsia="Arial" w:hAnsi="Arial" w:cs="Arial"/>
          <w:sz w:val="24"/>
          <w:szCs w:val="24"/>
        </w:rPr>
      </w:pPr>
      <w:r>
        <w:rPr>
          <w:rFonts w:ascii="Arial" w:eastAsia="Arial" w:hAnsi="Arial" w:cs="Arial"/>
          <w:sz w:val="24"/>
          <w:szCs w:val="24"/>
        </w:rPr>
        <w:t xml:space="preserve">Además, existen diversos instrumentos internacionales que, de acuerdo con lo previsto en la </w:t>
      </w:r>
      <w:r>
        <w:rPr>
          <w:rFonts w:ascii="Arial" w:eastAsia="Arial" w:hAnsi="Arial" w:cs="Arial"/>
          <w:i/>
          <w:iCs/>
          <w:sz w:val="24"/>
          <w:szCs w:val="24"/>
        </w:rPr>
        <w:t xml:space="preserve">Constitución </w:t>
      </w:r>
      <w:r>
        <w:rPr>
          <w:rFonts w:ascii="Arial" w:eastAsia="Arial" w:hAnsi="Arial" w:cs="Arial"/>
          <w:i/>
          <w:sz w:val="24"/>
          <w:szCs w:val="24"/>
        </w:rPr>
        <w:t>General</w:t>
      </w:r>
      <w:r>
        <w:rPr>
          <w:rFonts w:ascii="Arial" w:eastAsia="Arial" w:hAnsi="Arial" w:cs="Arial"/>
          <w:sz w:val="24"/>
          <w:szCs w:val="24"/>
        </w:rPr>
        <w:t>, vinculan al Estado Mexicano a tutelar el derecho a la libre determinación de las comunidades indígenas y pueblos originarios. Al efecto, se destacan los siguientes:</w:t>
      </w:r>
    </w:p>
    <w:p w14:paraId="08F18156" w14:textId="77777777" w:rsidR="00E11D56" w:rsidRDefault="00000000">
      <w:pPr>
        <w:tabs>
          <w:tab w:val="left" w:pos="426"/>
        </w:tabs>
        <w:spacing w:after="280" w:line="360" w:lineRule="auto"/>
        <w:jc w:val="both"/>
        <w:rPr>
          <w:rFonts w:ascii="Arial" w:eastAsia="Arial" w:hAnsi="Arial" w:cs="Arial"/>
          <w:sz w:val="24"/>
          <w:szCs w:val="24"/>
        </w:rPr>
      </w:pPr>
      <w:r>
        <w:rPr>
          <w:rFonts w:ascii="Arial" w:eastAsia="Arial" w:hAnsi="Arial" w:cs="Arial"/>
          <w:sz w:val="24"/>
          <w:szCs w:val="24"/>
        </w:rPr>
        <w:t xml:space="preserve">El Convenio 169 de la Organización Internacional del Trabajo establece en su artículo 8, párrafo 2, que los pueblos indígenas tienen el derecho de conservar sus costumbres e instituciones propias, siempre que estas no sean incompatibles </w:t>
      </w:r>
      <w:r>
        <w:rPr>
          <w:rFonts w:ascii="Arial" w:eastAsia="Arial" w:hAnsi="Arial" w:cs="Arial"/>
          <w:sz w:val="24"/>
          <w:szCs w:val="24"/>
        </w:rPr>
        <w:lastRenderedPageBreak/>
        <w:t>con los derechos fundamentales definidos por el sistema jurídico nacional, ni con los derechos internacionalmente reconocidos.</w:t>
      </w:r>
    </w:p>
    <w:p w14:paraId="33FB8567" w14:textId="77777777" w:rsidR="00E11D56"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Por su parte, la Declaración de las Naciones Unidas sobre los Derechos de los Pueblos Indígenas, dispone en sus numerales 3, 4, 5, 33, párrafo 2; 34 y 40, que los pueblos indígenas tienen derecho, en lo que nos interesa, a:</w:t>
      </w:r>
    </w:p>
    <w:p w14:paraId="53398CFE" w14:textId="77777777" w:rsidR="00E11D56" w:rsidRDefault="00000000">
      <w:pPr>
        <w:numPr>
          <w:ilvl w:val="0"/>
          <w:numId w:val="31"/>
        </w:numPr>
        <w:spacing w:before="240" w:after="0" w:line="360" w:lineRule="auto"/>
        <w:jc w:val="both"/>
        <w:rPr>
          <w:rFonts w:ascii="Arial" w:eastAsia="Arial" w:hAnsi="Arial" w:cs="Arial"/>
          <w:sz w:val="24"/>
          <w:szCs w:val="24"/>
        </w:rPr>
      </w:pPr>
      <w:r>
        <w:rPr>
          <w:rFonts w:ascii="Arial" w:eastAsia="Arial" w:hAnsi="Arial" w:cs="Arial"/>
          <w:sz w:val="24"/>
          <w:szCs w:val="24"/>
        </w:rPr>
        <w:t>La libre determinación y, en virtud de ese derecho, a buscar configurar su condición política y a definir libremente su desarrollo económico, social y cultural.</w:t>
      </w:r>
    </w:p>
    <w:p w14:paraId="61E2DE8A" w14:textId="77777777" w:rsidR="00E11D56" w:rsidRDefault="00000000">
      <w:pPr>
        <w:numPr>
          <w:ilvl w:val="0"/>
          <w:numId w:val="31"/>
        </w:numPr>
        <w:spacing w:after="0" w:line="360" w:lineRule="auto"/>
        <w:jc w:val="both"/>
        <w:rPr>
          <w:rFonts w:ascii="Arial" w:eastAsia="Arial" w:hAnsi="Arial" w:cs="Arial"/>
          <w:sz w:val="24"/>
          <w:szCs w:val="24"/>
        </w:rPr>
      </w:pPr>
      <w:r>
        <w:rPr>
          <w:rFonts w:ascii="Arial" w:eastAsia="Arial" w:hAnsi="Arial" w:cs="Arial"/>
          <w:sz w:val="24"/>
          <w:szCs w:val="24"/>
        </w:rPr>
        <w:t>En ejercicio de su libre determinación, a la autonomía o al autogobierno en las cuestiones relacionadas con sus asuntos internos y locales, así como a disponer de los medios para financiar sus funciones autónomas.</w:t>
      </w:r>
    </w:p>
    <w:p w14:paraId="57802E0C" w14:textId="77777777" w:rsidR="00E11D56" w:rsidRDefault="00000000">
      <w:pPr>
        <w:numPr>
          <w:ilvl w:val="0"/>
          <w:numId w:val="31"/>
        </w:numPr>
        <w:spacing w:after="0" w:line="360" w:lineRule="auto"/>
        <w:jc w:val="both"/>
        <w:rPr>
          <w:rFonts w:ascii="Arial" w:eastAsia="Arial" w:hAnsi="Arial" w:cs="Arial"/>
          <w:sz w:val="24"/>
          <w:szCs w:val="24"/>
        </w:rPr>
      </w:pPr>
      <w:r>
        <w:rPr>
          <w:rFonts w:ascii="Arial" w:eastAsia="Arial" w:hAnsi="Arial" w:cs="Arial"/>
          <w:sz w:val="24"/>
          <w:szCs w:val="24"/>
        </w:rPr>
        <w:t>Conservar y reforzar sus propias instituciones políticas, jurídicas, económicas, sociales y culturales, manteniendo a la vez su derecho a participar plenamente, si lo desean, en la vida política, económica, social y cultural de su Estado.</w:t>
      </w:r>
    </w:p>
    <w:p w14:paraId="6B735AFF" w14:textId="77777777" w:rsidR="00E11D56" w:rsidRDefault="00000000">
      <w:pPr>
        <w:numPr>
          <w:ilvl w:val="0"/>
          <w:numId w:val="31"/>
        </w:numPr>
        <w:spacing w:after="0" w:line="360" w:lineRule="auto"/>
        <w:jc w:val="both"/>
        <w:rPr>
          <w:rFonts w:ascii="Arial" w:eastAsia="Arial" w:hAnsi="Arial" w:cs="Arial"/>
          <w:sz w:val="24"/>
          <w:szCs w:val="24"/>
        </w:rPr>
      </w:pPr>
      <w:r>
        <w:rPr>
          <w:rFonts w:ascii="Arial" w:eastAsia="Arial" w:hAnsi="Arial" w:cs="Arial"/>
          <w:sz w:val="24"/>
          <w:szCs w:val="24"/>
        </w:rPr>
        <w:t>Determinar las estructuras y elegir la composición de sus instituciones de conformidad con sus propios procedimientos.</w:t>
      </w:r>
    </w:p>
    <w:p w14:paraId="4376E445" w14:textId="77777777" w:rsidR="00E11D56" w:rsidRDefault="00000000">
      <w:pPr>
        <w:numPr>
          <w:ilvl w:val="0"/>
          <w:numId w:val="31"/>
        </w:numPr>
        <w:spacing w:after="0" w:line="360" w:lineRule="auto"/>
        <w:jc w:val="both"/>
        <w:rPr>
          <w:rFonts w:ascii="Arial" w:eastAsia="Arial" w:hAnsi="Arial" w:cs="Arial"/>
          <w:sz w:val="24"/>
          <w:szCs w:val="24"/>
        </w:rPr>
      </w:pPr>
      <w:r>
        <w:rPr>
          <w:rFonts w:ascii="Arial" w:eastAsia="Arial" w:hAnsi="Arial" w:cs="Arial"/>
          <w:sz w:val="24"/>
          <w:szCs w:val="24"/>
        </w:rPr>
        <w:t>Promover, desarrollar y mantener sus estructuras institucionales y sus propias costumbres, espiritualidad, tradiciones, procedimientos, prácticas y, cuando existan, costumbres o sistemas jurídicos, sean de conformidad con las normas internacionales de derechos humanos.</w:t>
      </w:r>
    </w:p>
    <w:p w14:paraId="431FF9D1" w14:textId="77777777" w:rsidR="00E11D56" w:rsidRDefault="00000000">
      <w:pPr>
        <w:numPr>
          <w:ilvl w:val="0"/>
          <w:numId w:val="31"/>
        </w:numPr>
        <w:spacing w:after="240" w:line="360" w:lineRule="auto"/>
        <w:jc w:val="both"/>
        <w:rPr>
          <w:rFonts w:ascii="Arial" w:eastAsia="Arial" w:hAnsi="Arial" w:cs="Arial"/>
          <w:sz w:val="24"/>
          <w:szCs w:val="24"/>
        </w:rPr>
      </w:pPr>
      <w:r>
        <w:rPr>
          <w:rFonts w:ascii="Arial" w:eastAsia="Arial" w:hAnsi="Arial" w:cs="Arial"/>
          <w:sz w:val="24"/>
          <w:szCs w:val="24"/>
        </w:rPr>
        <w:t xml:space="preserve">Acceder a procedimientos equitativos y justos para el arreglo de controversias con los Estados u otras partes, y a una pronta decisión sobre esas controversias, así como a una reparación efectiva de toda lesión en sus derechos individuales y colectivos. </w:t>
      </w:r>
    </w:p>
    <w:p w14:paraId="3CBF9D18" w14:textId="77777777" w:rsidR="00E11D56" w:rsidRDefault="00000000">
      <w:pPr>
        <w:pStyle w:val="Ttulo2"/>
        <w:spacing w:before="240" w:after="40"/>
        <w:rPr>
          <w:rFonts w:ascii="Arial" w:hAnsi="Arial" w:cs="Arial"/>
          <w:b/>
          <w:bCs/>
          <w:color w:val="auto"/>
          <w:sz w:val="24"/>
          <w:szCs w:val="24"/>
        </w:rPr>
      </w:pPr>
      <w:bookmarkStart w:id="28" w:name="_Toc234501847"/>
      <w:r>
        <w:rPr>
          <w:rFonts w:ascii="Arial" w:hAnsi="Arial" w:cs="Arial"/>
          <w:b/>
          <w:bCs/>
          <w:color w:val="auto"/>
          <w:sz w:val="24"/>
          <w:szCs w:val="24"/>
        </w:rPr>
        <w:t>8.8. Análisis de agravios y decisión</w:t>
      </w:r>
      <w:bookmarkEnd w:id="28"/>
    </w:p>
    <w:p w14:paraId="1DFA7737"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Los agravios resultan </w:t>
      </w:r>
      <w:r>
        <w:rPr>
          <w:rFonts w:ascii="Arial" w:hAnsi="Arial" w:cs="Arial"/>
          <w:b/>
          <w:bCs/>
          <w:sz w:val="24"/>
          <w:szCs w:val="24"/>
        </w:rPr>
        <w:t>infundados</w:t>
      </w:r>
      <w:r>
        <w:rPr>
          <w:rFonts w:ascii="Arial" w:hAnsi="Arial" w:cs="Arial"/>
          <w:sz w:val="24"/>
          <w:szCs w:val="24"/>
        </w:rPr>
        <w:t>, por las consideraciones siguientes.</w:t>
      </w:r>
    </w:p>
    <w:p w14:paraId="2CBC3620"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La </w:t>
      </w:r>
      <w:r>
        <w:rPr>
          <w:rFonts w:ascii="Arial" w:hAnsi="Arial" w:cs="Arial"/>
          <w:i/>
          <w:iCs/>
          <w:sz w:val="24"/>
          <w:szCs w:val="24"/>
        </w:rPr>
        <w:t>parte actora</w:t>
      </w:r>
      <w:r>
        <w:rPr>
          <w:rFonts w:ascii="Arial" w:hAnsi="Arial" w:cs="Arial"/>
          <w:sz w:val="24"/>
          <w:szCs w:val="24"/>
        </w:rPr>
        <w:t xml:space="preserve"> sostiene, esencialmente, que el </w:t>
      </w:r>
      <w:r>
        <w:rPr>
          <w:rFonts w:ascii="Arial" w:hAnsi="Arial" w:cs="Arial"/>
          <w:i/>
          <w:iCs/>
          <w:sz w:val="24"/>
          <w:szCs w:val="24"/>
        </w:rPr>
        <w:t>Instituto</w:t>
      </w:r>
      <w:r>
        <w:rPr>
          <w:rFonts w:ascii="Arial" w:hAnsi="Arial" w:cs="Arial"/>
          <w:sz w:val="24"/>
          <w:szCs w:val="24"/>
        </w:rPr>
        <w:t xml:space="preserve"> vulneró sus derechos de consulta previa, libre e informada, así como los de autonomía, libre determinación y participación política efectiva de la comunidad, al omitir organizar una consulta indígena, para que, la población decidiera si estaba de acuerdo con transitar al régimen de autogobierno y administración directa de los recursos públicos. </w:t>
      </w:r>
    </w:p>
    <w:p w14:paraId="4B75257E" w14:textId="77777777" w:rsidR="00E11D56" w:rsidRDefault="00000000">
      <w:pPr>
        <w:spacing w:before="240" w:line="360" w:lineRule="auto"/>
        <w:jc w:val="both"/>
        <w:rPr>
          <w:rFonts w:ascii="Arial" w:hAnsi="Arial" w:cs="Arial"/>
          <w:sz w:val="24"/>
          <w:szCs w:val="24"/>
          <w:lang w:val="es-ES"/>
        </w:rPr>
      </w:pPr>
      <w:r>
        <w:rPr>
          <w:rFonts w:ascii="Arial" w:hAnsi="Arial" w:cs="Arial"/>
          <w:sz w:val="24"/>
          <w:szCs w:val="24"/>
        </w:rPr>
        <w:lastRenderedPageBreak/>
        <w:t xml:space="preserve">Asimismo, afirma que </w:t>
      </w:r>
      <w:r>
        <w:rPr>
          <w:rFonts w:ascii="Arial" w:hAnsi="Arial" w:cs="Arial"/>
          <w:sz w:val="24"/>
          <w:szCs w:val="24"/>
          <w:lang w:val="es-ES"/>
        </w:rPr>
        <w:t>ello modifica sustancialmente su sistema normativo interno porque desaparece la figura de jefe de tenencia.</w:t>
      </w:r>
    </w:p>
    <w:p w14:paraId="682C31A1"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Los planteamientos parten de una premisa jurídica incorrecta consistente en considerar que el procedimiento de consulta previsto en los artículos 330 del </w:t>
      </w:r>
      <w:r>
        <w:rPr>
          <w:rFonts w:ascii="Arial" w:hAnsi="Arial" w:cs="Arial"/>
          <w:i/>
          <w:iCs/>
          <w:sz w:val="24"/>
          <w:szCs w:val="24"/>
        </w:rPr>
        <w:t>Código Electoral</w:t>
      </w:r>
      <w:r>
        <w:rPr>
          <w:rFonts w:ascii="Arial" w:hAnsi="Arial" w:cs="Arial"/>
          <w:sz w:val="24"/>
          <w:szCs w:val="24"/>
        </w:rPr>
        <w:t xml:space="preserve"> y 116, 117 y 118 de la </w:t>
      </w:r>
      <w:r>
        <w:rPr>
          <w:rFonts w:ascii="Arial" w:hAnsi="Arial" w:cs="Arial"/>
          <w:i/>
          <w:iCs/>
          <w:sz w:val="24"/>
          <w:szCs w:val="24"/>
        </w:rPr>
        <w:t>Ley Orgánica Municipal</w:t>
      </w:r>
      <w:r>
        <w:rPr>
          <w:rFonts w:ascii="Arial" w:hAnsi="Arial" w:cs="Arial"/>
          <w:sz w:val="24"/>
          <w:szCs w:val="24"/>
        </w:rPr>
        <w:t xml:space="preserve"> constituye el único mecanismo jurídicamente válido para que una comunidad indígena ejerza su derecho al autogobierno y a la administración directa de sus recursos.</w:t>
      </w:r>
    </w:p>
    <w:p w14:paraId="0278EC0C" w14:textId="77777777" w:rsidR="00E11D56" w:rsidRDefault="00000000">
      <w:pPr>
        <w:spacing w:before="240" w:line="360" w:lineRule="auto"/>
        <w:jc w:val="both"/>
        <w:rPr>
          <w:rFonts w:ascii="Arial" w:hAnsi="Arial" w:cs="Arial"/>
          <w:sz w:val="24"/>
          <w:szCs w:val="24"/>
        </w:rPr>
      </w:pPr>
      <w:r>
        <w:rPr>
          <w:rFonts w:ascii="Arial" w:hAnsi="Arial" w:cs="Arial"/>
          <w:sz w:val="24"/>
          <w:szCs w:val="24"/>
        </w:rPr>
        <w:t>Contrario a ello, el derecho al autogobierno y a la libre determinación</w:t>
      </w:r>
      <w:r>
        <w:rPr>
          <w:rStyle w:val="Refdenotaalpie"/>
          <w:rFonts w:ascii="Arial" w:hAnsi="Arial" w:cs="Arial"/>
          <w:sz w:val="24"/>
          <w:szCs w:val="24"/>
        </w:rPr>
        <w:footnoteReference w:id="42"/>
      </w:r>
      <w:r>
        <w:rPr>
          <w:rFonts w:ascii="Arial" w:hAnsi="Arial" w:cs="Arial"/>
          <w:sz w:val="24"/>
          <w:szCs w:val="24"/>
        </w:rPr>
        <w:t xml:space="preserve"> tiene reconocimiento directo en los artículos 1º, 2º y 115 de la </w:t>
      </w:r>
      <w:r>
        <w:rPr>
          <w:rFonts w:ascii="Arial" w:hAnsi="Arial" w:cs="Arial"/>
          <w:i/>
          <w:iCs/>
          <w:sz w:val="24"/>
          <w:szCs w:val="24"/>
        </w:rPr>
        <w:t>Constitución General</w:t>
      </w:r>
      <w:r>
        <w:rPr>
          <w:rFonts w:ascii="Arial" w:hAnsi="Arial" w:cs="Arial"/>
          <w:sz w:val="24"/>
          <w:szCs w:val="24"/>
        </w:rPr>
        <w:t xml:space="preserve">; 3º de la </w:t>
      </w:r>
      <w:r>
        <w:rPr>
          <w:rFonts w:ascii="Arial" w:hAnsi="Arial" w:cs="Arial"/>
          <w:i/>
          <w:iCs/>
          <w:sz w:val="24"/>
          <w:szCs w:val="24"/>
        </w:rPr>
        <w:t>Constitución Local</w:t>
      </w:r>
      <w:r>
        <w:rPr>
          <w:rFonts w:ascii="Arial" w:hAnsi="Arial" w:cs="Arial"/>
          <w:sz w:val="24"/>
          <w:szCs w:val="24"/>
        </w:rPr>
        <w:t>; 3 y 4 del Convenio 169 de la Organización Internacional del Trabajo sobre Pueblos Indígenas y Tribales; así como en los artículos 3, 4, 5 y 18 de la Declaración de las Naciones Unidas sobre los Derechos de los Pueblos Indígenas, instrumentos que reconocen a los pueblos y comunidades indígenas como sujetos de derecho público con capacidad para decidir libremente sus formas de organización política, económica, social y cultural, así como para administrar sus asuntos internos conforme a sus propios sistemas normativos.</w:t>
      </w:r>
    </w:p>
    <w:p w14:paraId="740433D1"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En congruencia con ese marco constitucional, legal y convencional, este </w:t>
      </w:r>
      <w:r>
        <w:rPr>
          <w:rFonts w:ascii="Arial" w:hAnsi="Arial" w:cs="Arial"/>
          <w:i/>
          <w:iCs/>
          <w:sz w:val="24"/>
          <w:szCs w:val="24"/>
        </w:rPr>
        <w:t xml:space="preserve">Tribunal Electoral </w:t>
      </w:r>
      <w:r>
        <w:rPr>
          <w:rFonts w:ascii="Arial" w:hAnsi="Arial" w:cs="Arial"/>
          <w:sz w:val="24"/>
          <w:szCs w:val="24"/>
        </w:rPr>
        <w:t>ha sostenido que</w:t>
      </w:r>
      <w:r>
        <w:rPr>
          <w:rStyle w:val="Refdenotaalpie"/>
          <w:rFonts w:ascii="Arial" w:hAnsi="Arial" w:cs="Arial"/>
          <w:sz w:val="24"/>
          <w:szCs w:val="24"/>
        </w:rPr>
        <w:footnoteReference w:id="43"/>
      </w:r>
      <w:r>
        <w:rPr>
          <w:rFonts w:ascii="Arial" w:hAnsi="Arial" w:cs="Arial"/>
          <w:sz w:val="24"/>
          <w:szCs w:val="24"/>
        </w:rPr>
        <w:t xml:space="preserve">, el acceso al autogobierno y a la administración directa del presupuesto </w:t>
      </w:r>
      <w:r>
        <w:rPr>
          <w:rFonts w:ascii="Arial" w:hAnsi="Arial" w:cs="Arial"/>
          <w:b/>
          <w:bCs/>
          <w:sz w:val="24"/>
          <w:szCs w:val="24"/>
        </w:rPr>
        <w:t>no se encuentra condicionado a un procedimiento único o exclusivo</w:t>
      </w:r>
      <w:r>
        <w:rPr>
          <w:rFonts w:ascii="Arial" w:hAnsi="Arial" w:cs="Arial"/>
          <w:sz w:val="24"/>
          <w:szCs w:val="24"/>
        </w:rPr>
        <w:t xml:space="preserve">, sino que puede materializarse mediante distintos </w:t>
      </w:r>
      <w:r>
        <w:rPr>
          <w:rFonts w:ascii="Arial" w:hAnsi="Arial" w:cs="Arial"/>
          <w:b/>
          <w:bCs/>
          <w:sz w:val="24"/>
          <w:szCs w:val="24"/>
        </w:rPr>
        <w:t>mecanismos jurídicamente válidos</w:t>
      </w:r>
      <w:r>
        <w:rPr>
          <w:rFonts w:ascii="Arial" w:hAnsi="Arial" w:cs="Arial"/>
          <w:sz w:val="24"/>
          <w:szCs w:val="24"/>
        </w:rPr>
        <w:t xml:space="preserve">: </w:t>
      </w:r>
    </w:p>
    <w:p w14:paraId="6044C041" w14:textId="77777777" w:rsidR="00E11D56" w:rsidRDefault="00000000">
      <w:pPr>
        <w:pStyle w:val="Prrafodelista"/>
        <w:numPr>
          <w:ilvl w:val="0"/>
          <w:numId w:val="49"/>
        </w:numPr>
        <w:spacing w:after="240" w:line="360" w:lineRule="auto"/>
        <w:ind w:left="1418"/>
        <w:jc w:val="both"/>
        <w:rPr>
          <w:rFonts w:ascii="Arial" w:eastAsia="Arial" w:hAnsi="Arial" w:cs="Arial"/>
          <w:sz w:val="24"/>
          <w:szCs w:val="24"/>
        </w:rPr>
      </w:pPr>
      <w:r>
        <w:rPr>
          <w:rFonts w:ascii="Arial" w:eastAsia="Arial" w:hAnsi="Arial" w:cs="Arial"/>
          <w:sz w:val="24"/>
          <w:szCs w:val="24"/>
        </w:rPr>
        <w:t>Convenios debidamente formalizados entre los ayuntamientos y las comunidades indígenas</w:t>
      </w:r>
      <w:r>
        <w:rPr>
          <w:rStyle w:val="Refdenotaalpie"/>
          <w:rFonts w:ascii="Arial" w:eastAsia="Arial" w:hAnsi="Arial" w:cs="Arial"/>
          <w:sz w:val="24"/>
          <w:szCs w:val="24"/>
        </w:rPr>
        <w:footnoteReference w:id="44"/>
      </w:r>
      <w:r>
        <w:rPr>
          <w:rFonts w:ascii="Arial" w:eastAsia="Arial" w:hAnsi="Arial" w:cs="Arial"/>
          <w:sz w:val="24"/>
          <w:szCs w:val="24"/>
        </w:rPr>
        <w:t>;</w:t>
      </w:r>
    </w:p>
    <w:p w14:paraId="48905A99" w14:textId="77777777" w:rsidR="00E11D56" w:rsidRDefault="00000000">
      <w:pPr>
        <w:pStyle w:val="Prrafodelista"/>
        <w:numPr>
          <w:ilvl w:val="0"/>
          <w:numId w:val="49"/>
        </w:numPr>
        <w:spacing w:after="240" w:line="360" w:lineRule="auto"/>
        <w:ind w:left="1418"/>
        <w:jc w:val="both"/>
        <w:rPr>
          <w:rFonts w:ascii="Arial" w:eastAsia="Arial" w:hAnsi="Arial" w:cs="Arial"/>
          <w:sz w:val="24"/>
          <w:szCs w:val="24"/>
        </w:rPr>
      </w:pPr>
      <w:r>
        <w:rPr>
          <w:rFonts w:ascii="Arial" w:eastAsia="Arial" w:hAnsi="Arial" w:cs="Arial"/>
          <w:sz w:val="24"/>
          <w:szCs w:val="24"/>
        </w:rPr>
        <w:t>Resoluciones de los Tribunales Electorales</w:t>
      </w:r>
      <w:r>
        <w:rPr>
          <w:rStyle w:val="Refdenotaalpie"/>
          <w:rFonts w:ascii="Arial" w:eastAsia="Arial" w:hAnsi="Arial" w:cs="Arial"/>
          <w:sz w:val="24"/>
          <w:szCs w:val="24"/>
        </w:rPr>
        <w:footnoteReference w:id="45"/>
      </w:r>
      <w:r>
        <w:rPr>
          <w:rFonts w:ascii="Arial" w:eastAsia="Arial" w:hAnsi="Arial" w:cs="Arial"/>
          <w:sz w:val="24"/>
          <w:szCs w:val="24"/>
        </w:rPr>
        <w:t>; y,</w:t>
      </w:r>
    </w:p>
    <w:p w14:paraId="64F08961" w14:textId="77777777" w:rsidR="00E11D56" w:rsidRDefault="00000000">
      <w:pPr>
        <w:pStyle w:val="Prrafodelista"/>
        <w:numPr>
          <w:ilvl w:val="0"/>
          <w:numId w:val="49"/>
        </w:numPr>
        <w:spacing w:after="240" w:line="360" w:lineRule="auto"/>
        <w:ind w:left="1418"/>
        <w:jc w:val="both"/>
        <w:rPr>
          <w:rFonts w:ascii="Arial" w:eastAsia="Arial" w:hAnsi="Arial" w:cs="Arial"/>
          <w:sz w:val="24"/>
          <w:szCs w:val="24"/>
        </w:rPr>
      </w:pPr>
      <w:r>
        <w:rPr>
          <w:rFonts w:ascii="Arial" w:eastAsia="Arial" w:hAnsi="Arial" w:cs="Arial"/>
          <w:sz w:val="24"/>
          <w:szCs w:val="24"/>
        </w:rPr>
        <w:t xml:space="preserve">El procedimiento previsto actualmente en la </w:t>
      </w:r>
      <w:r>
        <w:rPr>
          <w:rFonts w:ascii="Arial" w:eastAsia="Arial" w:hAnsi="Arial" w:cs="Arial"/>
          <w:i/>
          <w:iCs/>
          <w:sz w:val="24"/>
          <w:szCs w:val="24"/>
        </w:rPr>
        <w:t>Ley Orgánica Municipal</w:t>
      </w:r>
      <w:r>
        <w:rPr>
          <w:rStyle w:val="Refdenotaalpie"/>
          <w:rFonts w:ascii="Arial" w:eastAsia="Arial" w:hAnsi="Arial" w:cs="Arial"/>
          <w:i/>
          <w:iCs/>
          <w:sz w:val="24"/>
          <w:szCs w:val="24"/>
        </w:rPr>
        <w:footnoteReference w:id="46"/>
      </w:r>
      <w:r>
        <w:rPr>
          <w:rFonts w:ascii="Arial" w:eastAsia="Arial" w:hAnsi="Arial" w:cs="Arial"/>
          <w:i/>
          <w:iCs/>
          <w:sz w:val="24"/>
          <w:szCs w:val="24"/>
        </w:rPr>
        <w:t xml:space="preserve"> </w:t>
      </w:r>
      <w:r>
        <w:rPr>
          <w:rFonts w:ascii="Arial" w:eastAsia="Arial" w:hAnsi="Arial" w:cs="Arial"/>
          <w:sz w:val="24"/>
          <w:szCs w:val="24"/>
        </w:rPr>
        <w:t xml:space="preserve">y en el </w:t>
      </w:r>
      <w:r>
        <w:rPr>
          <w:rFonts w:ascii="Arial" w:eastAsia="Arial" w:hAnsi="Arial" w:cs="Arial"/>
          <w:i/>
          <w:iCs/>
          <w:sz w:val="24"/>
          <w:szCs w:val="24"/>
        </w:rPr>
        <w:t>Código Electoral</w:t>
      </w:r>
      <w:r>
        <w:rPr>
          <w:rFonts w:ascii="Arial" w:eastAsia="Arial" w:hAnsi="Arial" w:cs="Arial"/>
          <w:sz w:val="24"/>
          <w:szCs w:val="24"/>
        </w:rPr>
        <w:t xml:space="preserve">. </w:t>
      </w:r>
    </w:p>
    <w:p w14:paraId="7AD33A5B"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De esta forma, el orden jurídico federal y estatal reconocen que el acceso al autogobierno y al presupuesto directo no se encuentran sujetos a un </w:t>
      </w:r>
      <w:r>
        <w:rPr>
          <w:rFonts w:ascii="Arial" w:hAnsi="Arial" w:cs="Arial"/>
          <w:sz w:val="24"/>
          <w:szCs w:val="24"/>
        </w:rPr>
        <w:lastRenderedPageBreak/>
        <w:t>procedimiento único o exclusivo, sino que pueden originarse en diferentes mecanismos legales y legítimos.</w:t>
      </w:r>
    </w:p>
    <w:p w14:paraId="1472B963" w14:textId="77777777" w:rsidR="00E11D56" w:rsidRDefault="00000000">
      <w:pPr>
        <w:spacing w:before="240" w:line="360" w:lineRule="auto"/>
        <w:jc w:val="both"/>
        <w:rPr>
          <w:rFonts w:ascii="Arial" w:hAnsi="Arial" w:cs="Arial"/>
          <w:sz w:val="24"/>
          <w:szCs w:val="24"/>
        </w:rPr>
      </w:pPr>
      <w:r>
        <w:rPr>
          <w:rFonts w:ascii="Arial" w:hAnsi="Arial" w:cs="Arial"/>
          <w:sz w:val="24"/>
          <w:szCs w:val="24"/>
        </w:rPr>
        <w:t>Cuando la comunidad ha decidido de manera voluntaria, pacífica y consensuada el autogobernarse y asumir la administración de sus propios recursos y, asimismo se actualiza la aprobación por el ayuntamiento manifestando que no existe inconformidad con ello —como ocurre en el caso concreto—, no es necesaria la intervención de cualquier autoridad ajena a la asamblea para la elección de su Concejo comunal.</w:t>
      </w:r>
    </w:p>
    <w:p w14:paraId="103EB60D"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Así, la consulta organizada por el </w:t>
      </w:r>
      <w:r>
        <w:rPr>
          <w:rFonts w:ascii="Arial" w:hAnsi="Arial" w:cs="Arial"/>
          <w:i/>
          <w:iCs/>
          <w:sz w:val="24"/>
          <w:szCs w:val="24"/>
        </w:rPr>
        <w:t>IEM</w:t>
      </w:r>
      <w:r>
        <w:rPr>
          <w:rFonts w:ascii="Arial" w:hAnsi="Arial" w:cs="Arial"/>
          <w:sz w:val="24"/>
          <w:szCs w:val="24"/>
        </w:rPr>
        <w:t xml:space="preserve"> constituye un mecanismo institucional opcional de acompañamiento para facilitar el ejercicio del derecho de libre determinación cuando la comunidad decide acudir a dicha vía; sin embargo, no tiene naturaleza única o exclusiva de constitución de derecho, como lo manifiesta la </w:t>
      </w:r>
      <w:r>
        <w:rPr>
          <w:rFonts w:ascii="Arial" w:hAnsi="Arial" w:cs="Arial"/>
          <w:i/>
          <w:iCs/>
          <w:sz w:val="24"/>
          <w:szCs w:val="24"/>
        </w:rPr>
        <w:t>parte actora</w:t>
      </w:r>
      <w:r>
        <w:rPr>
          <w:rFonts w:ascii="Arial" w:hAnsi="Arial" w:cs="Arial"/>
          <w:sz w:val="24"/>
          <w:szCs w:val="24"/>
        </w:rPr>
        <w:t xml:space="preserve"> al señalar que es el </w:t>
      </w:r>
      <w:r>
        <w:rPr>
          <w:rFonts w:ascii="Arial" w:hAnsi="Arial" w:cs="Arial"/>
          <w:i/>
          <w:iCs/>
          <w:sz w:val="24"/>
          <w:szCs w:val="24"/>
        </w:rPr>
        <w:t>Instituto</w:t>
      </w:r>
      <w:r>
        <w:rPr>
          <w:rFonts w:ascii="Arial" w:hAnsi="Arial" w:cs="Arial"/>
          <w:sz w:val="24"/>
          <w:szCs w:val="24"/>
        </w:rPr>
        <w:t xml:space="preserve"> quien da legalidad y validez al proceso a través de la consulta; pues éste deriva directamente de la </w:t>
      </w:r>
      <w:r>
        <w:rPr>
          <w:rFonts w:ascii="Arial" w:hAnsi="Arial" w:cs="Arial"/>
          <w:i/>
          <w:iCs/>
          <w:sz w:val="24"/>
          <w:szCs w:val="24"/>
        </w:rPr>
        <w:t xml:space="preserve">Constitución General </w:t>
      </w:r>
      <w:r>
        <w:rPr>
          <w:rFonts w:ascii="Arial" w:hAnsi="Arial" w:cs="Arial"/>
          <w:sz w:val="24"/>
          <w:szCs w:val="24"/>
        </w:rPr>
        <w:t xml:space="preserve">y de los instrumentos internacionales que reconocen la autonomía de los pueblos indígenas. </w:t>
      </w:r>
    </w:p>
    <w:p w14:paraId="50DAD535"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Interpretar que únicamente mediante dicho procedimiento puede accederse al autogobierno </w:t>
      </w:r>
      <w:r>
        <w:rPr>
          <w:rFonts w:ascii="Arial" w:hAnsi="Arial" w:cs="Arial"/>
          <w:b/>
          <w:bCs/>
          <w:sz w:val="24"/>
          <w:szCs w:val="24"/>
        </w:rPr>
        <w:t xml:space="preserve">implicaría la imposición de una restricción </w:t>
      </w:r>
      <w:r>
        <w:rPr>
          <w:rFonts w:ascii="Arial" w:hAnsi="Arial" w:cs="Arial"/>
          <w:sz w:val="24"/>
          <w:szCs w:val="24"/>
        </w:rPr>
        <w:t xml:space="preserve">y formalismos innecesarios no previstos legal o constitucionalmente, incompatibles con el principio de maximización de la autonomía indígena reconocido por la </w:t>
      </w:r>
      <w:r>
        <w:rPr>
          <w:rFonts w:ascii="Arial" w:hAnsi="Arial" w:cs="Arial"/>
          <w:i/>
          <w:iCs/>
          <w:sz w:val="24"/>
          <w:szCs w:val="24"/>
        </w:rPr>
        <w:t>Sala Superior</w:t>
      </w:r>
      <w:r>
        <w:rPr>
          <w:rStyle w:val="Refdenotaalpie"/>
          <w:rFonts w:ascii="Arial" w:hAnsi="Arial" w:cs="Arial"/>
          <w:i/>
          <w:iCs/>
          <w:sz w:val="24"/>
          <w:szCs w:val="24"/>
        </w:rPr>
        <w:footnoteReference w:id="47"/>
      </w:r>
      <w:r>
        <w:rPr>
          <w:rFonts w:ascii="Arial" w:hAnsi="Arial" w:cs="Arial"/>
          <w:sz w:val="24"/>
          <w:szCs w:val="24"/>
        </w:rPr>
        <w:t>, y menoscaba el derecho de la comunidad a decidir libremente sobre sus recursos.</w:t>
      </w:r>
    </w:p>
    <w:p w14:paraId="76322CD7" w14:textId="77777777" w:rsidR="00E11D56" w:rsidRDefault="00000000">
      <w:pPr>
        <w:spacing w:before="240" w:line="360" w:lineRule="auto"/>
        <w:jc w:val="both"/>
        <w:rPr>
          <w:rFonts w:ascii="Arial" w:hAnsi="Arial" w:cs="Arial"/>
          <w:sz w:val="24"/>
          <w:szCs w:val="24"/>
        </w:rPr>
      </w:pPr>
      <w:r>
        <w:rPr>
          <w:rFonts w:ascii="Arial" w:hAnsi="Arial" w:cs="Arial"/>
          <w:sz w:val="24"/>
          <w:szCs w:val="24"/>
        </w:rPr>
        <w:t>Dicho principio obliga a todas las autoridades a privilegiar aquellas interpretaciones que fortalezcan la capacidad de los pueblos indígenas para decidir libremente sobre su organización interna, evitando imponer formalidades que, lejos de garantizar sus derechos, se traduzcan en obstáculos injustificados para su ejercicio.</w:t>
      </w:r>
    </w:p>
    <w:p w14:paraId="7DEF2518"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En este sentido, la autonomía indígena constituye un derecho constitucional reforzado que comprende la facultad de las comunidades para definir sus propias formas de organización, elegir a sus autoridades y administrar sus recursos conforme a sus sistemas normativos internos, limitándose la intervención de las autoridades estatales a funciones de acompañamiento, coordinación o tutela de </w:t>
      </w:r>
      <w:r>
        <w:rPr>
          <w:rFonts w:ascii="Arial" w:hAnsi="Arial" w:cs="Arial"/>
          <w:sz w:val="24"/>
          <w:szCs w:val="24"/>
        </w:rPr>
        <w:lastRenderedPageBreak/>
        <w:t>derechos fundamentales, sin sustituir la voluntad colectiva expresada por la comunidad</w:t>
      </w:r>
      <w:r>
        <w:rPr>
          <w:rStyle w:val="Refdenotaalpie"/>
          <w:rFonts w:ascii="Arial" w:hAnsi="Arial" w:cs="Arial"/>
          <w:sz w:val="24"/>
          <w:szCs w:val="24"/>
        </w:rPr>
        <w:footnoteReference w:id="48"/>
      </w:r>
      <w:r>
        <w:rPr>
          <w:rFonts w:ascii="Arial" w:hAnsi="Arial" w:cs="Arial"/>
          <w:sz w:val="24"/>
          <w:szCs w:val="24"/>
        </w:rPr>
        <w:t>.</w:t>
      </w:r>
    </w:p>
    <w:p w14:paraId="5A6F069F"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En Michoacán el proceso de transición hacia el autogobierno y la administración directa del presupuesto se desarrolla a través de tres etapas: —una fase previa a la consulta, la consulta organizada por el </w:t>
      </w:r>
      <w:r>
        <w:rPr>
          <w:rFonts w:ascii="Arial" w:hAnsi="Arial"/>
          <w:i/>
          <w:sz w:val="24"/>
        </w:rPr>
        <w:t>IEM</w:t>
      </w:r>
      <w:r>
        <w:rPr>
          <w:rFonts w:ascii="Arial" w:hAnsi="Arial" w:cs="Arial"/>
          <w:sz w:val="24"/>
          <w:szCs w:val="24"/>
        </w:rPr>
        <w:t xml:space="preserve"> y una etapa posterior, consistente en la realización de diversos trámites administrativos y el trabajo de organización de la comunidad para completar el proceso—.</w:t>
      </w:r>
    </w:p>
    <w:p w14:paraId="705DFA2B" w14:textId="77777777" w:rsidR="00E11D56" w:rsidRDefault="00000000">
      <w:pPr>
        <w:spacing w:before="240" w:line="360" w:lineRule="auto"/>
        <w:jc w:val="both"/>
        <w:rPr>
          <w:rFonts w:ascii="Arial" w:hAnsi="Arial" w:cs="Arial"/>
          <w:sz w:val="24"/>
          <w:szCs w:val="24"/>
        </w:rPr>
      </w:pPr>
      <w:r>
        <w:rPr>
          <w:rFonts w:ascii="Arial" w:hAnsi="Arial" w:cs="Arial"/>
          <w:sz w:val="24"/>
          <w:szCs w:val="24"/>
        </w:rPr>
        <w:t>Sin embargo, durante la fase inicial, también puede ocurrir que los ayuntamientos involucrados, dentro del marco de sus atribuciones constitucionales acuerde la transferencia directa de recursos a la comunidad indígena, lo que se condiciona únicamente a que existan elementos suficientes que acrediten su voluntad.</w:t>
      </w:r>
    </w:p>
    <w:p w14:paraId="60533FDA"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Bajo esas consideraciones, las constancias que obran en autos evidencian que el procedimiento de transición al autogobierno de la </w:t>
      </w:r>
      <w:r>
        <w:rPr>
          <w:rFonts w:ascii="Arial" w:hAnsi="Arial" w:cs="Arial"/>
          <w:i/>
          <w:iCs/>
          <w:sz w:val="24"/>
          <w:szCs w:val="24"/>
        </w:rPr>
        <w:t>comunidad</w:t>
      </w:r>
      <w:r>
        <w:rPr>
          <w:rFonts w:ascii="Arial" w:hAnsi="Arial" w:cs="Arial"/>
          <w:sz w:val="24"/>
          <w:szCs w:val="24"/>
        </w:rPr>
        <w:t xml:space="preserve"> no quedó inconcluso por una omisión atribuible al </w:t>
      </w:r>
      <w:r>
        <w:rPr>
          <w:rFonts w:ascii="Arial" w:hAnsi="Arial" w:cs="Arial"/>
          <w:i/>
          <w:iCs/>
          <w:sz w:val="24"/>
          <w:szCs w:val="24"/>
        </w:rPr>
        <w:t xml:space="preserve">Instituto, </w:t>
      </w:r>
      <w:r>
        <w:rPr>
          <w:rFonts w:ascii="Arial" w:hAnsi="Arial" w:cs="Arial"/>
          <w:sz w:val="24"/>
          <w:szCs w:val="24"/>
        </w:rPr>
        <w:t>como lo afirma el</w:t>
      </w:r>
      <w:r>
        <w:rPr>
          <w:rFonts w:ascii="Arial" w:hAnsi="Arial" w:cs="Arial"/>
          <w:i/>
          <w:iCs/>
          <w:sz w:val="24"/>
          <w:szCs w:val="24"/>
        </w:rPr>
        <w:t xml:space="preserve"> actor</w:t>
      </w:r>
      <w:r>
        <w:rPr>
          <w:rFonts w:ascii="Arial" w:hAnsi="Arial" w:cs="Arial"/>
          <w:sz w:val="24"/>
          <w:szCs w:val="24"/>
        </w:rPr>
        <w:t>.</w:t>
      </w:r>
    </w:p>
    <w:p w14:paraId="74C56E53"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Por el contrario, se encuentra acreditado que en dos mil veintiuno, fue solicitada la realización de la consulta indígena; sin embargo, ésta no pudo celebrarse debido a la existencia de un conflicto interno en la comunidad. Posteriormente, en octubre de dos mil veinticuatro se solicitó su reactivación, aunque nuevamente no fue posible desahogarla. No obstante, el </w:t>
      </w:r>
      <w:r>
        <w:rPr>
          <w:rFonts w:ascii="Arial" w:hAnsi="Arial" w:cs="Arial"/>
          <w:i/>
          <w:iCs/>
          <w:sz w:val="24"/>
          <w:szCs w:val="24"/>
        </w:rPr>
        <w:t>Ayuntamiento</w:t>
      </w:r>
      <w:r>
        <w:rPr>
          <w:rFonts w:ascii="Arial" w:hAnsi="Arial" w:cs="Arial"/>
          <w:sz w:val="24"/>
          <w:szCs w:val="24"/>
        </w:rPr>
        <w:t xml:space="preserve">, </w:t>
      </w:r>
      <w:bookmarkStart w:id="29" w:name="_Hlk234338186"/>
      <w:r>
        <w:rPr>
          <w:rFonts w:ascii="Arial" w:hAnsi="Arial" w:cs="Arial"/>
          <w:sz w:val="24"/>
          <w:szCs w:val="24"/>
        </w:rPr>
        <w:t>mediante acuerdo de diecisiete de diciembre de dos mil veinticuatro,</w:t>
      </w:r>
      <w:bookmarkEnd w:id="29"/>
      <w:r>
        <w:rPr>
          <w:rFonts w:ascii="Arial" w:hAnsi="Arial" w:cs="Arial"/>
          <w:sz w:val="24"/>
          <w:szCs w:val="24"/>
        </w:rPr>
        <w:t xml:space="preserve"> </w:t>
      </w:r>
      <w:r>
        <w:rPr>
          <w:rFonts w:ascii="Arial" w:hAnsi="Arial" w:cs="Arial"/>
          <w:b/>
          <w:bCs/>
          <w:sz w:val="24"/>
          <w:szCs w:val="24"/>
        </w:rPr>
        <w:t xml:space="preserve">reconoció el derecho de la </w:t>
      </w:r>
      <w:r>
        <w:rPr>
          <w:rFonts w:ascii="Arial" w:hAnsi="Arial" w:cs="Arial"/>
          <w:b/>
          <w:bCs/>
          <w:i/>
          <w:iCs/>
          <w:sz w:val="24"/>
          <w:szCs w:val="24"/>
        </w:rPr>
        <w:t>comunidad</w:t>
      </w:r>
      <w:r>
        <w:rPr>
          <w:rFonts w:ascii="Arial" w:hAnsi="Arial" w:cs="Arial"/>
          <w:sz w:val="24"/>
          <w:szCs w:val="24"/>
        </w:rPr>
        <w:t xml:space="preserve"> a ejercer el autogobierno y la administración directa de los recursos públicos, condicionando la transferencia presupuestal a la integración del correspondiente </w:t>
      </w:r>
      <w:r>
        <w:rPr>
          <w:rFonts w:ascii="Arial" w:hAnsi="Arial" w:cs="Arial"/>
          <w:i/>
          <w:iCs/>
          <w:sz w:val="24"/>
          <w:szCs w:val="24"/>
        </w:rPr>
        <w:t>Concejo Comunal Indígena</w:t>
      </w:r>
      <w:r>
        <w:rPr>
          <w:rFonts w:ascii="Arial" w:hAnsi="Arial" w:cs="Arial"/>
          <w:sz w:val="24"/>
          <w:szCs w:val="24"/>
        </w:rPr>
        <w:t xml:space="preserve"> integrado por personas electas de manera democrática y libre, atendiendo al criterio de paridad de género y por mayoría de votos.</w:t>
      </w:r>
    </w:p>
    <w:p w14:paraId="55266814"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En seguimiento a dicho acuerdo, la </w:t>
      </w:r>
      <w:r>
        <w:rPr>
          <w:rFonts w:ascii="Arial" w:hAnsi="Arial" w:cs="Arial"/>
          <w:i/>
          <w:iCs/>
          <w:sz w:val="24"/>
          <w:szCs w:val="24"/>
        </w:rPr>
        <w:t>comunidad</w:t>
      </w:r>
      <w:r>
        <w:rPr>
          <w:rFonts w:ascii="Arial" w:hAnsi="Arial" w:cs="Arial"/>
          <w:sz w:val="24"/>
          <w:szCs w:val="24"/>
        </w:rPr>
        <w:t xml:space="preserve"> celebró diversas reuniones preparatorias y posteriormente llevó a cabo la Asamblea General mediante la cual designó, </w:t>
      </w:r>
      <w:r>
        <w:rPr>
          <w:rFonts w:ascii="Arial" w:hAnsi="Arial" w:cs="Arial"/>
          <w:b/>
          <w:bCs/>
          <w:sz w:val="24"/>
          <w:szCs w:val="24"/>
        </w:rPr>
        <w:t>conforme a sus propios usos y costumbres</w:t>
      </w:r>
      <w:r>
        <w:rPr>
          <w:rFonts w:ascii="Arial" w:hAnsi="Arial" w:cs="Arial"/>
          <w:sz w:val="24"/>
          <w:szCs w:val="24"/>
        </w:rPr>
        <w:t xml:space="preserve">, a las personas que integrarían el </w:t>
      </w:r>
      <w:r>
        <w:rPr>
          <w:rFonts w:ascii="Arial" w:hAnsi="Arial" w:cs="Arial"/>
          <w:i/>
          <w:iCs/>
          <w:sz w:val="24"/>
          <w:szCs w:val="24"/>
        </w:rPr>
        <w:t>Concejo Comunal Indígena</w:t>
      </w:r>
      <w:r>
        <w:rPr>
          <w:rFonts w:ascii="Arial" w:hAnsi="Arial" w:cs="Arial"/>
          <w:sz w:val="24"/>
          <w:szCs w:val="24"/>
        </w:rPr>
        <w:t xml:space="preserve"> y el </w:t>
      </w:r>
      <w:r>
        <w:rPr>
          <w:rFonts w:ascii="Arial" w:hAnsi="Arial" w:cs="Arial"/>
          <w:i/>
          <w:iCs/>
          <w:sz w:val="24"/>
          <w:szCs w:val="24"/>
        </w:rPr>
        <w:t>Concejo de Autogobierno</w:t>
      </w:r>
      <w:r>
        <w:rPr>
          <w:rFonts w:ascii="Arial" w:hAnsi="Arial" w:cs="Arial"/>
          <w:sz w:val="24"/>
          <w:szCs w:val="24"/>
        </w:rPr>
        <w:t xml:space="preserve">, aprobando además sus estatutos internos. </w:t>
      </w:r>
    </w:p>
    <w:p w14:paraId="3D739FE8"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Tales actuaciones fueron posteriormente protocolizadas y publicadas en el Periódico Oficial del Estado — el tres y cinco de marzo de dos mil veinticinco—, </w:t>
      </w:r>
      <w:r>
        <w:rPr>
          <w:rFonts w:ascii="Arial" w:hAnsi="Arial" w:cs="Arial"/>
          <w:sz w:val="24"/>
          <w:szCs w:val="24"/>
        </w:rPr>
        <w:lastRenderedPageBreak/>
        <w:t xml:space="preserve">circunstancias que, incluso motivaron que el </w:t>
      </w:r>
      <w:r>
        <w:rPr>
          <w:rFonts w:ascii="Arial" w:hAnsi="Arial" w:cs="Arial"/>
          <w:i/>
          <w:iCs/>
          <w:sz w:val="24"/>
          <w:szCs w:val="24"/>
        </w:rPr>
        <w:t>Instituto</w:t>
      </w:r>
      <w:r>
        <w:rPr>
          <w:rFonts w:ascii="Arial" w:hAnsi="Arial" w:cs="Arial"/>
          <w:sz w:val="24"/>
          <w:szCs w:val="24"/>
        </w:rPr>
        <w:t xml:space="preserve"> determinara mediante acuerdo de ocho de agosto de ese mismo año, archivar el procedimiento inicialmente instaurado, al estimar que había quedado sin materia.</w:t>
      </w:r>
    </w:p>
    <w:p w14:paraId="17CA5C8D"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Con ello, se cumplió </w:t>
      </w:r>
      <w:bookmarkStart w:id="30" w:name="_Hlk234338358"/>
      <w:r>
        <w:rPr>
          <w:rFonts w:ascii="Arial" w:hAnsi="Arial" w:cs="Arial"/>
          <w:sz w:val="24"/>
          <w:szCs w:val="24"/>
        </w:rPr>
        <w:t>la finalidad constitucional y convencional de la consulta</w:t>
      </w:r>
      <w:bookmarkEnd w:id="30"/>
      <w:r>
        <w:rPr>
          <w:rFonts w:ascii="Arial" w:hAnsi="Arial" w:cs="Arial"/>
          <w:sz w:val="24"/>
          <w:szCs w:val="24"/>
        </w:rPr>
        <w:t xml:space="preserve">; dicha finalidad fue reconocida por la </w:t>
      </w:r>
      <w:r>
        <w:rPr>
          <w:rFonts w:ascii="Arial" w:hAnsi="Arial" w:cs="Arial"/>
          <w:i/>
          <w:iCs/>
          <w:sz w:val="24"/>
          <w:szCs w:val="24"/>
        </w:rPr>
        <w:t>comunidad</w:t>
      </w:r>
      <w:r>
        <w:rPr>
          <w:rFonts w:ascii="Arial" w:hAnsi="Arial" w:cs="Arial"/>
          <w:sz w:val="24"/>
          <w:szCs w:val="24"/>
        </w:rPr>
        <w:t xml:space="preserve"> en la Asamblea General y por el </w:t>
      </w:r>
      <w:r>
        <w:rPr>
          <w:rFonts w:ascii="Arial" w:hAnsi="Arial" w:cs="Arial"/>
          <w:i/>
          <w:iCs/>
          <w:sz w:val="24"/>
          <w:szCs w:val="24"/>
        </w:rPr>
        <w:t>Ayuntamiento</w:t>
      </w:r>
      <w:r>
        <w:rPr>
          <w:rFonts w:ascii="Arial" w:hAnsi="Arial" w:cs="Arial"/>
          <w:sz w:val="24"/>
          <w:szCs w:val="24"/>
        </w:rPr>
        <w:t xml:space="preserve"> al reconocer su validez; asimismo, se produjo exactamente el mismo efecto o resultado que se pretendía con la consulta; por tanto, desapareció el objeto material de </w:t>
      </w:r>
      <w:r w:rsidRPr="00F11E2B">
        <w:rPr>
          <w:rFonts w:ascii="Arial" w:hAnsi="Arial" w:cs="Arial"/>
          <w:sz w:val="24"/>
          <w:szCs w:val="24"/>
        </w:rPr>
        <w:t>esta, al haberse consumado su propósito.</w:t>
      </w:r>
    </w:p>
    <w:p w14:paraId="494D5BD2"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De ahí que, el acuerdo emitido por el </w:t>
      </w:r>
      <w:r>
        <w:rPr>
          <w:rFonts w:ascii="Arial" w:hAnsi="Arial" w:cs="Arial"/>
          <w:i/>
          <w:iCs/>
          <w:sz w:val="24"/>
          <w:szCs w:val="24"/>
        </w:rPr>
        <w:t>Ayuntamiento</w:t>
      </w:r>
      <w:r>
        <w:rPr>
          <w:rFonts w:ascii="Arial" w:hAnsi="Arial" w:cs="Arial"/>
          <w:sz w:val="24"/>
          <w:szCs w:val="24"/>
        </w:rPr>
        <w:t xml:space="preserve"> no sustituyó la consulta indígena que, a decir de la </w:t>
      </w:r>
      <w:r>
        <w:rPr>
          <w:rFonts w:ascii="Arial" w:hAnsi="Arial" w:cs="Arial"/>
          <w:i/>
          <w:iCs/>
          <w:sz w:val="24"/>
          <w:szCs w:val="24"/>
        </w:rPr>
        <w:t>parte actora</w:t>
      </w:r>
      <w:r>
        <w:rPr>
          <w:rFonts w:ascii="Arial" w:hAnsi="Arial" w:cs="Arial"/>
          <w:sz w:val="24"/>
          <w:szCs w:val="24"/>
        </w:rPr>
        <w:t xml:space="preserve">, debió haber sido organizada por el </w:t>
      </w:r>
      <w:r>
        <w:rPr>
          <w:rFonts w:ascii="Arial" w:hAnsi="Arial" w:cs="Arial"/>
          <w:i/>
          <w:iCs/>
          <w:sz w:val="24"/>
          <w:szCs w:val="24"/>
        </w:rPr>
        <w:t>IEM.</w:t>
      </w:r>
    </w:p>
    <w:p w14:paraId="37C875E2"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En realidad, dicho acuerdo reconoció la viabilidad jurídica del ejercicio del autogobierno y autorizó la transferencia directa de recursos, condicionando su eficacia a que la propia comunidad integrara democráticamente su órgano de representación; ya que en este, no se designaron autoridades comunitarias, tampoco modificó el sistema normativo interno de la comunidad, ni sustituyó la voluntad de la Asamblea General, pues fueron precisamente las y los integrantes de ésta quienes, en ejercicio de su derecho de autodeterminación, eligieron a sus representantes conforme a las reglas que consideraron aplicables. </w:t>
      </w:r>
    </w:p>
    <w:p w14:paraId="205F3CD7"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Por lo que, el </w:t>
      </w:r>
      <w:r>
        <w:rPr>
          <w:rFonts w:ascii="Arial" w:hAnsi="Arial" w:cs="Arial"/>
          <w:i/>
          <w:iCs/>
          <w:sz w:val="24"/>
          <w:szCs w:val="24"/>
        </w:rPr>
        <w:t>IEM</w:t>
      </w:r>
      <w:r>
        <w:rPr>
          <w:rFonts w:ascii="Arial" w:hAnsi="Arial" w:cs="Arial"/>
          <w:sz w:val="24"/>
          <w:szCs w:val="24"/>
        </w:rPr>
        <w:t>, de modo alguno podía desestimar tales circunstancias, en atención al principio de legalidad, ya que no se encontraba jur</w:t>
      </w:r>
      <w:r>
        <w:rPr>
          <w:rFonts w:ascii="Arial" w:hAnsi="Arial" w:cs="Arial" w:hint="eastAsia"/>
          <w:sz w:val="24"/>
          <w:szCs w:val="24"/>
        </w:rPr>
        <w:t>í</w:t>
      </w:r>
      <w:r>
        <w:rPr>
          <w:rFonts w:ascii="Arial" w:hAnsi="Arial" w:cs="Arial"/>
          <w:sz w:val="24"/>
          <w:szCs w:val="24"/>
        </w:rPr>
        <w:t>dicamente obligado a concluir una consulta cuya finalidad hab</w:t>
      </w:r>
      <w:r>
        <w:rPr>
          <w:rFonts w:ascii="Arial" w:hAnsi="Arial" w:cs="Arial" w:hint="eastAsia"/>
          <w:sz w:val="24"/>
          <w:szCs w:val="24"/>
        </w:rPr>
        <w:t>í</w:t>
      </w:r>
      <w:r>
        <w:rPr>
          <w:rFonts w:ascii="Arial" w:hAnsi="Arial" w:cs="Arial"/>
          <w:sz w:val="24"/>
          <w:szCs w:val="24"/>
        </w:rPr>
        <w:t>a sido materialmente satisfecha, pues ello habr</w:t>
      </w:r>
      <w:r>
        <w:rPr>
          <w:rFonts w:ascii="Arial" w:hAnsi="Arial" w:cs="Arial" w:hint="eastAsia"/>
          <w:sz w:val="24"/>
          <w:szCs w:val="24"/>
        </w:rPr>
        <w:t>í</w:t>
      </w:r>
      <w:r>
        <w:rPr>
          <w:rFonts w:ascii="Arial" w:hAnsi="Arial" w:cs="Arial"/>
          <w:sz w:val="24"/>
          <w:szCs w:val="24"/>
        </w:rPr>
        <w:t>a implicado duplicar un procedimiento respecto de una decisi</w:t>
      </w:r>
      <w:r>
        <w:rPr>
          <w:rFonts w:ascii="Arial" w:hAnsi="Arial" w:cs="Arial" w:hint="eastAsia"/>
          <w:sz w:val="24"/>
          <w:szCs w:val="24"/>
        </w:rPr>
        <w:t>ó</w:t>
      </w:r>
      <w:r>
        <w:rPr>
          <w:rFonts w:ascii="Arial" w:hAnsi="Arial" w:cs="Arial"/>
          <w:sz w:val="24"/>
          <w:szCs w:val="24"/>
        </w:rPr>
        <w:t>n comunitaria ya adoptada y reconocida por las autoridades competentes, desconociendo los efectos jur</w:t>
      </w:r>
      <w:r>
        <w:rPr>
          <w:rFonts w:ascii="Arial" w:hAnsi="Arial" w:cs="Arial" w:hint="eastAsia"/>
          <w:sz w:val="24"/>
          <w:szCs w:val="24"/>
        </w:rPr>
        <w:t>í</w:t>
      </w:r>
      <w:r>
        <w:rPr>
          <w:rFonts w:ascii="Arial" w:hAnsi="Arial" w:cs="Arial"/>
          <w:sz w:val="24"/>
          <w:szCs w:val="24"/>
        </w:rPr>
        <w:t>dicos de la Asamblea General y contrariando el principio de maximizaci</w:t>
      </w:r>
      <w:r>
        <w:rPr>
          <w:rFonts w:ascii="Arial" w:hAnsi="Arial" w:cs="Arial" w:hint="eastAsia"/>
          <w:sz w:val="24"/>
          <w:szCs w:val="24"/>
        </w:rPr>
        <w:t>ó</w:t>
      </w:r>
      <w:r>
        <w:rPr>
          <w:rFonts w:ascii="Arial" w:hAnsi="Arial" w:cs="Arial"/>
          <w:sz w:val="24"/>
          <w:szCs w:val="24"/>
        </w:rPr>
        <w:t>n de la autonom</w:t>
      </w:r>
      <w:r>
        <w:rPr>
          <w:rFonts w:ascii="Arial" w:hAnsi="Arial" w:cs="Arial" w:hint="eastAsia"/>
          <w:sz w:val="24"/>
          <w:szCs w:val="24"/>
        </w:rPr>
        <w:t>í</w:t>
      </w:r>
      <w:r>
        <w:rPr>
          <w:rFonts w:ascii="Arial" w:hAnsi="Arial" w:cs="Arial"/>
          <w:sz w:val="24"/>
          <w:szCs w:val="24"/>
        </w:rPr>
        <w:t>a ind</w:t>
      </w:r>
      <w:r>
        <w:rPr>
          <w:rFonts w:ascii="Arial" w:hAnsi="Arial" w:cs="Arial" w:hint="eastAsia"/>
          <w:sz w:val="24"/>
          <w:szCs w:val="24"/>
        </w:rPr>
        <w:t>í</w:t>
      </w:r>
      <w:r>
        <w:rPr>
          <w:rFonts w:ascii="Arial" w:hAnsi="Arial" w:cs="Arial"/>
          <w:sz w:val="24"/>
          <w:szCs w:val="24"/>
        </w:rPr>
        <w:t xml:space="preserve">gena. </w:t>
      </w:r>
    </w:p>
    <w:p w14:paraId="00ADC080"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Por ello, la determinación adoptada por el </w:t>
      </w:r>
      <w:r>
        <w:rPr>
          <w:rFonts w:ascii="Arial" w:hAnsi="Arial" w:cs="Arial"/>
          <w:i/>
          <w:iCs/>
          <w:sz w:val="24"/>
          <w:szCs w:val="24"/>
        </w:rPr>
        <w:t>Instituto</w:t>
      </w:r>
      <w:r>
        <w:rPr>
          <w:rFonts w:ascii="Arial" w:hAnsi="Arial" w:cs="Arial"/>
          <w:sz w:val="24"/>
          <w:szCs w:val="24"/>
        </w:rPr>
        <w:t xml:space="preserve"> constituye una consecuencia jur</w:t>
      </w:r>
      <w:r>
        <w:rPr>
          <w:rFonts w:ascii="Arial" w:hAnsi="Arial" w:cs="Arial" w:hint="eastAsia"/>
          <w:sz w:val="24"/>
          <w:szCs w:val="24"/>
        </w:rPr>
        <w:t>í</w:t>
      </w:r>
      <w:r>
        <w:rPr>
          <w:rFonts w:ascii="Arial" w:hAnsi="Arial" w:cs="Arial"/>
          <w:sz w:val="24"/>
          <w:szCs w:val="24"/>
        </w:rPr>
        <w:t>dica congruente con las circunstancias del caso, por lo que de modo alguno constituye una omisi</w:t>
      </w:r>
      <w:r>
        <w:rPr>
          <w:rFonts w:ascii="Arial" w:hAnsi="Arial" w:cs="Arial" w:hint="eastAsia"/>
          <w:sz w:val="24"/>
          <w:szCs w:val="24"/>
        </w:rPr>
        <w:t>ó</w:t>
      </w:r>
      <w:r>
        <w:rPr>
          <w:rFonts w:ascii="Arial" w:hAnsi="Arial" w:cs="Arial"/>
          <w:sz w:val="24"/>
          <w:szCs w:val="24"/>
        </w:rPr>
        <w:t>n, por el contrario, en cumplimiento de sus atribuciones acordó archivar el procedimiento por haber quedado sin materia.</w:t>
      </w:r>
    </w:p>
    <w:p w14:paraId="24BEB16A" w14:textId="77777777" w:rsidR="00E11D56" w:rsidRDefault="00000000">
      <w:pPr>
        <w:spacing w:before="240" w:line="360" w:lineRule="auto"/>
        <w:jc w:val="both"/>
        <w:rPr>
          <w:rFonts w:ascii="Arial" w:hAnsi="Arial" w:cs="Arial"/>
          <w:color w:val="000000"/>
        </w:rPr>
      </w:pPr>
      <w:r>
        <w:rPr>
          <w:rFonts w:ascii="Arial" w:hAnsi="Arial" w:cs="Arial"/>
          <w:color w:val="000000"/>
          <w:sz w:val="24"/>
          <w:szCs w:val="24"/>
        </w:rPr>
        <w:t xml:space="preserve">Ello es así, ya que los pueblos y comunidades indígenas tienen la facultad preponderante de definir y aplicar sus propias normas y procedimientos en los distintos ámbitos de su vida social y política, incluyendo la elección de sus representantes y la administración de sus recursos; por lo que, cualquier </w:t>
      </w:r>
      <w:r>
        <w:rPr>
          <w:rFonts w:ascii="Arial" w:hAnsi="Arial" w:cs="Arial"/>
          <w:color w:val="000000"/>
          <w:sz w:val="24"/>
          <w:szCs w:val="24"/>
        </w:rPr>
        <w:lastRenderedPageBreak/>
        <w:t xml:space="preserve">intervención de autoridades externas —como el </w:t>
      </w:r>
      <w:r>
        <w:rPr>
          <w:rFonts w:ascii="Arial" w:hAnsi="Arial" w:cs="Arial"/>
          <w:i/>
          <w:iCs/>
          <w:color w:val="000000"/>
          <w:sz w:val="24"/>
          <w:szCs w:val="24"/>
        </w:rPr>
        <w:t>IEM</w:t>
      </w:r>
      <w:r>
        <w:rPr>
          <w:rFonts w:ascii="Arial" w:hAnsi="Arial" w:cs="Arial"/>
          <w:color w:val="000000"/>
          <w:sz w:val="24"/>
          <w:szCs w:val="24"/>
        </w:rPr>
        <w:t>— debe limitarse a funciones de acompañamiento o supervisión —siempre y cuando así se solicite—, sin sustituir ni condicionar la voluntad colectiva. Esta delimitación asegura que la autonomía no se reduzca a un concepto formal, sino que se traduzca en un ejercicio efectivo del autogobierno</w:t>
      </w:r>
      <w:r>
        <w:rPr>
          <w:rStyle w:val="Refdenotaalpie"/>
          <w:rFonts w:ascii="Arial" w:hAnsi="Arial" w:cs="Arial"/>
          <w:color w:val="000000"/>
        </w:rPr>
        <w:footnoteReference w:id="49"/>
      </w:r>
      <w:r>
        <w:rPr>
          <w:rFonts w:ascii="Arial" w:hAnsi="Arial" w:cs="Arial"/>
          <w:color w:val="000000"/>
        </w:rPr>
        <w:t>.</w:t>
      </w:r>
    </w:p>
    <w:p w14:paraId="42A8EADA" w14:textId="77777777" w:rsidR="00E11D56" w:rsidRDefault="00000000">
      <w:pPr>
        <w:spacing w:before="240" w:line="360" w:lineRule="auto"/>
        <w:jc w:val="both"/>
        <w:rPr>
          <w:rFonts w:ascii="Arial" w:hAnsi="Arial" w:cs="Arial"/>
          <w:color w:val="000000"/>
          <w:sz w:val="24"/>
          <w:szCs w:val="24"/>
        </w:rPr>
      </w:pPr>
      <w:r>
        <w:rPr>
          <w:rFonts w:ascii="Arial" w:hAnsi="Arial" w:cs="Arial"/>
          <w:color w:val="000000"/>
          <w:sz w:val="24"/>
          <w:szCs w:val="24"/>
        </w:rPr>
        <w:t>Asimismo, el alcance del derecho a la libre determinación supone la posibilidad real de que las comunidades adopten decisiones autónomas conforme a sus prácticas, instituciones y valores culturales, dentro del marco del orden jurídico nacional, pues la finalidad de este reconocimiento constitucional es garantizar que los pueblos originarios puedan ejercer un autogobierno efectivo, en ámbitos tan diversos como la administración de sus recursos, la solución de sus conflictos internos, la impartición de justicia comunitaria, la educación, la salud, la preservación de su lengua y cultura, así como la gestión de su territorio.</w:t>
      </w:r>
    </w:p>
    <w:p w14:paraId="65468D24"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Aunado a ello, este </w:t>
      </w:r>
      <w:r>
        <w:rPr>
          <w:rFonts w:ascii="Arial" w:hAnsi="Arial" w:cs="Arial"/>
          <w:i/>
          <w:iCs/>
          <w:sz w:val="24"/>
          <w:szCs w:val="24"/>
        </w:rPr>
        <w:t>Tribunal Electoral</w:t>
      </w:r>
      <w:r>
        <w:rPr>
          <w:rFonts w:ascii="Arial" w:hAnsi="Arial" w:cs="Arial"/>
          <w:sz w:val="24"/>
          <w:szCs w:val="24"/>
        </w:rPr>
        <w:t xml:space="preserve"> advierte que la misma omisión relacionada con la falta de realización de la consulta indígena ya fue objeto de análisis en el juicio ciudadano TEEM-JDC-005/2026, promovido por diversos integrantes de la comunidad en contra del </w:t>
      </w:r>
      <w:r>
        <w:rPr>
          <w:rFonts w:ascii="Arial" w:hAnsi="Arial" w:cs="Arial"/>
          <w:i/>
          <w:iCs/>
          <w:sz w:val="24"/>
          <w:szCs w:val="24"/>
        </w:rPr>
        <w:t>Ayuntamiento</w:t>
      </w:r>
      <w:r>
        <w:rPr>
          <w:rFonts w:ascii="Arial" w:hAnsi="Arial" w:cs="Arial"/>
          <w:sz w:val="24"/>
          <w:szCs w:val="24"/>
        </w:rPr>
        <w:t xml:space="preserve">, resolución en la cual se concluyó que la omisión reclamada era </w:t>
      </w:r>
      <w:r>
        <w:rPr>
          <w:rFonts w:ascii="Arial" w:hAnsi="Arial" w:cs="Arial"/>
          <w:b/>
          <w:bCs/>
          <w:sz w:val="24"/>
          <w:szCs w:val="24"/>
        </w:rPr>
        <w:t xml:space="preserve">inexistente, </w:t>
      </w:r>
      <w:r>
        <w:rPr>
          <w:rFonts w:ascii="Arial" w:hAnsi="Arial" w:cs="Arial"/>
          <w:sz w:val="24"/>
          <w:szCs w:val="24"/>
        </w:rPr>
        <w:t>al haberse materializado el proceso de transición al autogobierno mediante una vía constitucionalmente válida</w:t>
      </w:r>
      <w:r>
        <w:rPr>
          <w:rStyle w:val="Refdenotaalpie"/>
          <w:rFonts w:ascii="Arial" w:hAnsi="Arial" w:cs="Arial"/>
          <w:sz w:val="24"/>
          <w:szCs w:val="24"/>
        </w:rPr>
        <w:footnoteReference w:id="50"/>
      </w:r>
      <w:r>
        <w:rPr>
          <w:rFonts w:ascii="Arial" w:hAnsi="Arial" w:cs="Arial"/>
          <w:sz w:val="24"/>
          <w:szCs w:val="24"/>
        </w:rPr>
        <w:t>.</w:t>
      </w:r>
    </w:p>
    <w:p w14:paraId="5EA17B70"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Si bien en el presente asunto la </w:t>
      </w:r>
      <w:r>
        <w:rPr>
          <w:rFonts w:ascii="Arial" w:hAnsi="Arial" w:cs="Arial"/>
          <w:i/>
          <w:iCs/>
          <w:sz w:val="24"/>
          <w:szCs w:val="24"/>
        </w:rPr>
        <w:t>autoridad responsable</w:t>
      </w:r>
      <w:r>
        <w:rPr>
          <w:rFonts w:ascii="Arial" w:hAnsi="Arial" w:cs="Arial"/>
          <w:sz w:val="24"/>
          <w:szCs w:val="24"/>
        </w:rPr>
        <w:t xml:space="preserve"> es distinta, lo cierto es que, el presupuesto que sustenta ambos medios de impugnación es sustancialmente el mismo, pues nuevamente se pretende obtener la realización de una consulta cuya finalidad ya fue alcanzada mediante la decisión adoptada por la propia </w:t>
      </w:r>
      <w:r>
        <w:rPr>
          <w:rFonts w:ascii="Arial" w:hAnsi="Arial" w:cs="Arial"/>
          <w:i/>
          <w:iCs/>
          <w:sz w:val="24"/>
          <w:szCs w:val="24"/>
        </w:rPr>
        <w:t>comunidad</w:t>
      </w:r>
      <w:r>
        <w:rPr>
          <w:rFonts w:ascii="Arial" w:hAnsi="Arial" w:cs="Arial"/>
          <w:sz w:val="24"/>
          <w:szCs w:val="24"/>
        </w:rPr>
        <w:t>.</w:t>
      </w:r>
    </w:p>
    <w:p w14:paraId="74095DF6"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En ese sentido, tampoco puede estimarse vulnerado el </w:t>
      </w:r>
      <w:r>
        <w:rPr>
          <w:rFonts w:ascii="Arial" w:hAnsi="Arial" w:cs="Arial"/>
          <w:b/>
          <w:bCs/>
          <w:sz w:val="24"/>
          <w:szCs w:val="24"/>
        </w:rPr>
        <w:t>derecho de participación política de la comunidad</w:t>
      </w:r>
      <w:r>
        <w:rPr>
          <w:rFonts w:ascii="Arial" w:hAnsi="Arial" w:cs="Arial"/>
          <w:sz w:val="24"/>
          <w:szCs w:val="24"/>
        </w:rPr>
        <w:t>.</w:t>
      </w:r>
    </w:p>
    <w:p w14:paraId="2666A440"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El derecho de participación política efectiva no implica que toda decisión comunitaria deba adoptarse con el consentimiento unánime de sus integrantes, </w:t>
      </w:r>
      <w:r>
        <w:rPr>
          <w:rFonts w:ascii="Arial" w:hAnsi="Arial" w:cs="Arial"/>
          <w:sz w:val="24"/>
          <w:szCs w:val="24"/>
        </w:rPr>
        <w:lastRenderedPageBreak/>
        <w:t>sino que las determinaciones colectivas sean tomadas conforme al sistema normativo interno de la comunidad y mediante procedimientos que respeten su libre autodeterminación.</w:t>
      </w:r>
    </w:p>
    <w:p w14:paraId="4AB7E4B8"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En el caso concreto, lejos de acreditarse que se hubiera impedido participar a la población, las constancias evidencian que existieron reuniones informativas, asambleas comunitarias y mecanismos de deliberación previos a la integración del </w:t>
      </w:r>
      <w:r>
        <w:rPr>
          <w:rFonts w:ascii="Arial" w:hAnsi="Arial" w:cs="Arial"/>
          <w:i/>
          <w:iCs/>
          <w:sz w:val="24"/>
          <w:szCs w:val="24"/>
        </w:rPr>
        <w:t>Concejo Comunal Indígena</w:t>
      </w:r>
      <w:r>
        <w:rPr>
          <w:rFonts w:ascii="Arial" w:hAnsi="Arial" w:cs="Arial"/>
          <w:sz w:val="24"/>
          <w:szCs w:val="24"/>
        </w:rPr>
        <w:t xml:space="preserve">. </w:t>
      </w:r>
    </w:p>
    <w:p w14:paraId="0BCE4CE6"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En realidad, lo que revelan los autos que obran en el presente </w:t>
      </w:r>
      <w:r>
        <w:rPr>
          <w:rFonts w:ascii="Arial" w:hAnsi="Arial" w:cs="Arial"/>
          <w:i/>
          <w:iCs/>
          <w:sz w:val="24"/>
          <w:szCs w:val="24"/>
        </w:rPr>
        <w:t>juicio de la ciudadanía</w:t>
      </w:r>
      <w:r>
        <w:rPr>
          <w:rStyle w:val="Refdenotaalpie"/>
          <w:rFonts w:ascii="Arial" w:hAnsi="Arial" w:cs="Arial"/>
          <w:i/>
          <w:iCs/>
          <w:sz w:val="24"/>
          <w:szCs w:val="24"/>
        </w:rPr>
        <w:footnoteReference w:id="51"/>
      </w:r>
      <w:r>
        <w:rPr>
          <w:rFonts w:ascii="Arial" w:hAnsi="Arial" w:cs="Arial"/>
          <w:sz w:val="24"/>
          <w:szCs w:val="24"/>
        </w:rPr>
        <w:t>, es la existencia de una discrepancia entre un grupo minoritario de habitantes respecto de la decisión adoptada por la Asamblea General de la comunidad; sin embargo, dicha circunstancia no torna inválidas las determinaciones colectivas mayoritariamente adoptadas conforme a los usos y costumbres comunitarios, pues ello equivaldría a reconocer un derecho de veto incompatible con el ejercicio democrático del autogobierno.</w:t>
      </w:r>
    </w:p>
    <w:p w14:paraId="0468D62B"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Aceptar la pretensión de la </w:t>
      </w:r>
      <w:r>
        <w:rPr>
          <w:rFonts w:ascii="Arial" w:hAnsi="Arial" w:cs="Arial"/>
          <w:i/>
          <w:iCs/>
          <w:sz w:val="24"/>
          <w:szCs w:val="24"/>
        </w:rPr>
        <w:t>parte actora</w:t>
      </w:r>
      <w:r>
        <w:rPr>
          <w:rFonts w:ascii="Arial" w:hAnsi="Arial" w:cs="Arial"/>
          <w:sz w:val="24"/>
          <w:szCs w:val="24"/>
        </w:rPr>
        <w:t xml:space="preserve"> —ordenar al </w:t>
      </w:r>
      <w:r>
        <w:rPr>
          <w:rFonts w:ascii="Arial" w:hAnsi="Arial" w:cs="Arial"/>
          <w:i/>
          <w:iCs/>
          <w:sz w:val="24"/>
          <w:szCs w:val="24"/>
        </w:rPr>
        <w:t>IEM</w:t>
      </w:r>
      <w:r>
        <w:rPr>
          <w:rFonts w:ascii="Arial" w:hAnsi="Arial" w:cs="Arial"/>
          <w:sz w:val="24"/>
          <w:szCs w:val="24"/>
        </w:rPr>
        <w:t xml:space="preserve"> la realización de una consulta— implicaría desconocer la validez de las decisiones adoptadas por la Asamblea General, máxima autoridad comunitaria conforme al sistema normativo indígena, así como condicionar el ejercicio de un derecho constitucional a la realización de un procedimiento administrativo que, dadas las circunstancias particulares del caso, dejó de ser necesario al haberse materializado el objeto para el cual fue previsto; tal y como fue determinado por este órgano jurisdiccional al resolver el </w:t>
      </w:r>
      <w:r>
        <w:rPr>
          <w:rFonts w:ascii="Arial" w:hAnsi="Arial" w:cs="Arial"/>
          <w:i/>
          <w:iCs/>
          <w:sz w:val="24"/>
          <w:szCs w:val="24"/>
        </w:rPr>
        <w:t xml:space="preserve">juicio de la ciudadanía </w:t>
      </w:r>
      <w:r>
        <w:rPr>
          <w:rFonts w:ascii="Arial" w:hAnsi="Arial" w:cs="Arial"/>
          <w:sz w:val="24"/>
          <w:szCs w:val="24"/>
        </w:rPr>
        <w:t xml:space="preserve">en cita. </w:t>
      </w:r>
    </w:p>
    <w:p w14:paraId="44ECF574"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Aunado a ello, la conclusión alcanzada en la presente sentencia resulta congruente con lo resuelto en dicho juicio, pues, aunque en aquel asunto la autoridad responsable fue distinta, la cuestión jurídica fundamental ya fue definida por este </w:t>
      </w:r>
      <w:r>
        <w:rPr>
          <w:rFonts w:ascii="Arial" w:hAnsi="Arial" w:cs="Arial"/>
          <w:i/>
          <w:iCs/>
          <w:sz w:val="24"/>
          <w:szCs w:val="24"/>
        </w:rPr>
        <w:t>Tribunal Electoral</w:t>
      </w:r>
      <w:r>
        <w:rPr>
          <w:rFonts w:ascii="Arial" w:hAnsi="Arial" w:cs="Arial"/>
          <w:sz w:val="24"/>
          <w:szCs w:val="24"/>
        </w:rPr>
        <w:t>; esto es, que el proceso de transición al autogobierno de la comunidad quedó válidamente consumado mediante un mecanismo constitucionalmente legítimo diverso al procedimiento de consulta. Dicha determinación constituye el presupuesto lógico indispensable para resolver el presente juicio, de modo que emitir una conclusión distinta generaría resoluciones incompatibles respecto de una misma situación jurídica.</w:t>
      </w:r>
    </w:p>
    <w:p w14:paraId="51914811" w14:textId="77777777" w:rsidR="00E11D56" w:rsidRDefault="00000000">
      <w:pPr>
        <w:spacing w:before="240" w:line="360" w:lineRule="auto"/>
        <w:jc w:val="both"/>
        <w:rPr>
          <w:rFonts w:ascii="Arial" w:hAnsi="Arial" w:cs="Arial"/>
          <w:sz w:val="24"/>
          <w:szCs w:val="24"/>
        </w:rPr>
      </w:pPr>
      <w:r>
        <w:rPr>
          <w:rFonts w:ascii="Arial" w:hAnsi="Arial" w:cs="Arial"/>
          <w:sz w:val="24"/>
          <w:szCs w:val="24"/>
        </w:rPr>
        <w:lastRenderedPageBreak/>
        <w:t xml:space="preserve">En consecuencia, al quedar acreditado que el proceso de transición al autogobierno y a la administración directa de los recursos públicos fue culminado mediante decisiones adoptadas por la propia comunidad, reconocidas por el </w:t>
      </w:r>
      <w:r>
        <w:rPr>
          <w:rFonts w:ascii="Arial" w:hAnsi="Arial" w:cs="Arial"/>
          <w:i/>
          <w:iCs/>
          <w:sz w:val="24"/>
          <w:szCs w:val="24"/>
        </w:rPr>
        <w:t>Ayuntamiento</w:t>
      </w:r>
      <w:r>
        <w:rPr>
          <w:rFonts w:ascii="Arial" w:hAnsi="Arial" w:cs="Arial"/>
          <w:sz w:val="24"/>
          <w:szCs w:val="24"/>
        </w:rPr>
        <w:t xml:space="preserve"> y acordes con el principio de maximización de la autonomía indígena</w:t>
      </w:r>
      <w:bookmarkStart w:id="31" w:name="_Hlk233866932"/>
      <w:r>
        <w:rPr>
          <w:rStyle w:val="Refdenotaalpie"/>
          <w:rFonts w:ascii="Arial" w:hAnsi="Arial" w:cs="Arial"/>
          <w:sz w:val="24"/>
          <w:szCs w:val="24"/>
        </w:rPr>
        <w:footnoteReference w:id="52"/>
      </w:r>
      <w:r>
        <w:rPr>
          <w:rFonts w:ascii="Arial" w:hAnsi="Arial" w:cs="Arial"/>
          <w:sz w:val="24"/>
          <w:szCs w:val="24"/>
        </w:rPr>
        <w:t xml:space="preserve">. </w:t>
      </w:r>
    </w:p>
    <w:bookmarkEnd w:id="31"/>
    <w:p w14:paraId="4D86A7B7" w14:textId="77777777" w:rsidR="00E11D56" w:rsidRDefault="00000000">
      <w:pPr>
        <w:spacing w:before="240" w:line="360" w:lineRule="auto"/>
        <w:jc w:val="both"/>
        <w:rPr>
          <w:rFonts w:ascii="Arial" w:hAnsi="Arial" w:cs="Arial"/>
          <w:sz w:val="24"/>
          <w:szCs w:val="24"/>
          <w:lang w:val="es-ES"/>
        </w:rPr>
      </w:pPr>
      <w:r>
        <w:rPr>
          <w:rFonts w:ascii="Arial" w:hAnsi="Arial" w:cs="Arial"/>
          <w:sz w:val="24"/>
          <w:szCs w:val="24"/>
        </w:rPr>
        <w:t xml:space="preserve">Finalmente, resulta </w:t>
      </w:r>
      <w:r>
        <w:rPr>
          <w:rFonts w:ascii="Arial" w:hAnsi="Arial" w:cs="Arial"/>
          <w:b/>
          <w:bCs/>
          <w:sz w:val="24"/>
          <w:szCs w:val="24"/>
        </w:rPr>
        <w:t>inatendible</w:t>
      </w:r>
      <w:r>
        <w:rPr>
          <w:rFonts w:ascii="Arial" w:hAnsi="Arial" w:cs="Arial"/>
          <w:sz w:val="24"/>
          <w:szCs w:val="24"/>
        </w:rPr>
        <w:t xml:space="preserve"> la manifestación de la </w:t>
      </w:r>
      <w:r>
        <w:rPr>
          <w:rFonts w:ascii="Arial" w:hAnsi="Arial" w:cs="Arial"/>
          <w:i/>
          <w:iCs/>
          <w:sz w:val="24"/>
          <w:szCs w:val="24"/>
        </w:rPr>
        <w:t>parte actora</w:t>
      </w:r>
      <w:r>
        <w:rPr>
          <w:rFonts w:ascii="Arial" w:hAnsi="Arial" w:cs="Arial"/>
          <w:sz w:val="24"/>
          <w:szCs w:val="24"/>
        </w:rPr>
        <w:t xml:space="preserve">, que considera que la omisión del </w:t>
      </w:r>
      <w:r>
        <w:rPr>
          <w:rFonts w:ascii="Arial" w:hAnsi="Arial" w:cs="Arial"/>
          <w:i/>
          <w:iCs/>
          <w:sz w:val="24"/>
          <w:szCs w:val="24"/>
        </w:rPr>
        <w:t>IEM</w:t>
      </w:r>
      <w:r>
        <w:rPr>
          <w:rFonts w:ascii="Arial" w:hAnsi="Arial" w:cs="Arial"/>
          <w:sz w:val="24"/>
          <w:szCs w:val="24"/>
        </w:rPr>
        <w:t xml:space="preserve">, de realizar la consulta </w:t>
      </w:r>
      <w:r>
        <w:rPr>
          <w:rFonts w:ascii="Arial" w:hAnsi="Arial" w:cs="Arial"/>
          <w:sz w:val="24"/>
          <w:szCs w:val="24"/>
          <w:lang w:val="es-ES"/>
        </w:rPr>
        <w:t>modifica sustancialmente su sistema normativo interno porque desaparece la figura de jefe de tenencia.</w:t>
      </w:r>
    </w:p>
    <w:p w14:paraId="41DCF4C4"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En todo caso, cualquier adecuación a la estructura de gobierno comunitario deriva del ejercicio del propio derecho de libre determinación de la comunidad, cuya máxima expresión corresponde a la Asamblea General, y no de una imposición proveniente de una autoridad externa. </w:t>
      </w:r>
    </w:p>
    <w:p w14:paraId="54A6E283" w14:textId="77777777" w:rsidR="00E11D56" w:rsidRDefault="00000000">
      <w:pPr>
        <w:spacing w:before="240" w:line="360" w:lineRule="auto"/>
        <w:jc w:val="both"/>
        <w:rPr>
          <w:rFonts w:ascii="Arial" w:hAnsi="Arial" w:cs="Arial"/>
          <w:sz w:val="24"/>
          <w:szCs w:val="24"/>
        </w:rPr>
      </w:pPr>
      <w:r>
        <w:rPr>
          <w:rFonts w:ascii="Arial" w:hAnsi="Arial" w:cs="Arial"/>
          <w:sz w:val="24"/>
          <w:szCs w:val="24"/>
        </w:rPr>
        <w:t xml:space="preserve">Máxime que esta cuestión ya fue materia de análisis por este </w:t>
      </w:r>
      <w:r>
        <w:rPr>
          <w:rFonts w:ascii="Arial" w:hAnsi="Arial" w:cs="Arial"/>
          <w:i/>
          <w:iCs/>
          <w:sz w:val="24"/>
          <w:szCs w:val="24"/>
        </w:rPr>
        <w:t xml:space="preserve">órgano jurisdiccional </w:t>
      </w:r>
      <w:r>
        <w:rPr>
          <w:rFonts w:ascii="Arial" w:hAnsi="Arial" w:cs="Arial"/>
          <w:sz w:val="24"/>
          <w:szCs w:val="24"/>
        </w:rPr>
        <w:t xml:space="preserve">al resolver el </w:t>
      </w:r>
      <w:r>
        <w:rPr>
          <w:rFonts w:ascii="Arial" w:hAnsi="Arial" w:cs="Arial"/>
          <w:i/>
          <w:iCs/>
          <w:sz w:val="24"/>
          <w:szCs w:val="24"/>
        </w:rPr>
        <w:t>juicio de la ciudadanía</w:t>
      </w:r>
      <w:r>
        <w:rPr>
          <w:rFonts w:ascii="Arial" w:hAnsi="Arial" w:cs="Arial"/>
          <w:sz w:val="24"/>
          <w:szCs w:val="24"/>
        </w:rPr>
        <w:t xml:space="preserve"> TEEM-JDC-36/2026, en el que se determinó </w:t>
      </w:r>
      <w:r>
        <w:rPr>
          <w:rFonts w:ascii="Arial" w:hAnsi="Arial" w:cs="Arial"/>
          <w:b/>
          <w:bCs/>
          <w:sz w:val="24"/>
          <w:szCs w:val="24"/>
        </w:rPr>
        <w:t xml:space="preserve">inexistente la omisión </w:t>
      </w:r>
      <w:r>
        <w:rPr>
          <w:rFonts w:ascii="Arial" w:hAnsi="Arial" w:cs="Arial"/>
          <w:sz w:val="24"/>
          <w:szCs w:val="24"/>
        </w:rPr>
        <w:t xml:space="preserve">atribuida al </w:t>
      </w:r>
      <w:proofErr w:type="gramStart"/>
      <w:r>
        <w:rPr>
          <w:rFonts w:ascii="Arial" w:hAnsi="Arial" w:cs="Arial"/>
          <w:sz w:val="24"/>
          <w:szCs w:val="24"/>
        </w:rPr>
        <w:t>Presidente</w:t>
      </w:r>
      <w:proofErr w:type="gramEnd"/>
      <w:r>
        <w:rPr>
          <w:rFonts w:ascii="Arial" w:hAnsi="Arial" w:cs="Arial"/>
          <w:sz w:val="24"/>
          <w:szCs w:val="24"/>
        </w:rPr>
        <w:t xml:space="preserve"> del </w:t>
      </w:r>
      <w:r>
        <w:rPr>
          <w:rFonts w:ascii="Arial" w:hAnsi="Arial" w:cs="Arial"/>
          <w:i/>
          <w:iCs/>
          <w:sz w:val="24"/>
          <w:szCs w:val="24"/>
        </w:rPr>
        <w:t>Ayuntamiento</w:t>
      </w:r>
      <w:r>
        <w:rPr>
          <w:rFonts w:ascii="Arial" w:hAnsi="Arial" w:cs="Arial"/>
          <w:sz w:val="24"/>
          <w:szCs w:val="24"/>
        </w:rPr>
        <w:t xml:space="preserve">, consistente en reconocer la elección de la Jefatura de Tenencia de la </w:t>
      </w:r>
      <w:r>
        <w:rPr>
          <w:rFonts w:ascii="Arial" w:hAnsi="Arial"/>
          <w:sz w:val="24"/>
        </w:rPr>
        <w:t>comunidad</w:t>
      </w:r>
      <w:r>
        <w:rPr>
          <w:rFonts w:ascii="Arial" w:hAnsi="Arial" w:cs="Arial"/>
          <w:sz w:val="24"/>
          <w:szCs w:val="24"/>
        </w:rPr>
        <w:t xml:space="preserve"> indígena de Francisco Serrato y expedir el nombramiento correspondiente</w:t>
      </w:r>
      <w:r>
        <w:rPr>
          <w:rStyle w:val="Refdenotaalpie"/>
          <w:rFonts w:ascii="Arial" w:hAnsi="Arial" w:cs="Arial"/>
          <w:sz w:val="24"/>
          <w:szCs w:val="24"/>
        </w:rPr>
        <w:footnoteReference w:id="53"/>
      </w:r>
      <w:r>
        <w:rPr>
          <w:rFonts w:ascii="Arial" w:hAnsi="Arial" w:cs="Arial"/>
          <w:sz w:val="24"/>
          <w:szCs w:val="24"/>
        </w:rPr>
        <w:t>.</w:t>
      </w:r>
    </w:p>
    <w:p w14:paraId="214C973B" w14:textId="77777777" w:rsidR="00E11D56" w:rsidRDefault="00000000">
      <w:pPr>
        <w:spacing w:before="240" w:line="360" w:lineRule="auto"/>
        <w:jc w:val="both"/>
        <w:rPr>
          <w:rFonts w:ascii="Arial" w:hAnsi="Arial" w:cs="Arial"/>
          <w:i/>
          <w:iCs/>
          <w:sz w:val="24"/>
          <w:szCs w:val="24"/>
          <w:lang w:val="es-ES"/>
        </w:rPr>
      </w:pPr>
      <w:r>
        <w:rPr>
          <w:rFonts w:ascii="Arial" w:hAnsi="Arial" w:cs="Arial"/>
          <w:sz w:val="24"/>
          <w:szCs w:val="24"/>
        </w:rPr>
        <w:t xml:space="preserve">Por lo hasta aquí expuesto, este </w:t>
      </w:r>
      <w:r>
        <w:rPr>
          <w:rFonts w:ascii="Arial" w:hAnsi="Arial" w:cs="Arial"/>
          <w:i/>
          <w:iCs/>
          <w:sz w:val="24"/>
          <w:szCs w:val="24"/>
        </w:rPr>
        <w:t>Tribunal Electoral</w:t>
      </w:r>
      <w:r>
        <w:rPr>
          <w:rFonts w:ascii="Arial" w:hAnsi="Arial" w:cs="Arial"/>
          <w:sz w:val="24"/>
          <w:szCs w:val="24"/>
        </w:rPr>
        <w:t xml:space="preserve"> concluye que es </w:t>
      </w:r>
      <w:r>
        <w:rPr>
          <w:rFonts w:ascii="Arial" w:hAnsi="Arial" w:cs="Arial"/>
          <w:b/>
          <w:bCs/>
          <w:sz w:val="24"/>
          <w:szCs w:val="24"/>
        </w:rPr>
        <w:t xml:space="preserve">inexistente la omisión del </w:t>
      </w:r>
      <w:r>
        <w:rPr>
          <w:rFonts w:ascii="Arial" w:hAnsi="Arial" w:cs="Arial"/>
          <w:b/>
          <w:bCs/>
          <w:i/>
          <w:iCs/>
          <w:sz w:val="24"/>
          <w:szCs w:val="24"/>
        </w:rPr>
        <w:t>IEM</w:t>
      </w:r>
      <w:r>
        <w:rPr>
          <w:rFonts w:ascii="Arial" w:hAnsi="Arial" w:cs="Arial"/>
          <w:i/>
          <w:iCs/>
          <w:sz w:val="24"/>
          <w:szCs w:val="24"/>
        </w:rPr>
        <w:t xml:space="preserve"> </w:t>
      </w:r>
      <w:r>
        <w:rPr>
          <w:rFonts w:ascii="Arial" w:hAnsi="Arial" w:cs="Arial"/>
          <w:sz w:val="24"/>
          <w:szCs w:val="24"/>
        </w:rPr>
        <w:t xml:space="preserve">planteada por la </w:t>
      </w:r>
      <w:r>
        <w:rPr>
          <w:rFonts w:ascii="Arial" w:hAnsi="Arial" w:cs="Arial"/>
          <w:i/>
          <w:iCs/>
          <w:sz w:val="24"/>
          <w:szCs w:val="24"/>
        </w:rPr>
        <w:t>parte actora</w:t>
      </w:r>
      <w:r>
        <w:rPr>
          <w:rFonts w:ascii="Arial" w:hAnsi="Arial" w:cs="Arial"/>
          <w:sz w:val="24"/>
          <w:szCs w:val="24"/>
        </w:rPr>
        <w:t xml:space="preserve"> de realizar la consulta indígena a la </w:t>
      </w:r>
      <w:r>
        <w:rPr>
          <w:rFonts w:ascii="Arial" w:hAnsi="Arial" w:cs="Arial"/>
          <w:i/>
          <w:iCs/>
          <w:sz w:val="24"/>
          <w:szCs w:val="24"/>
        </w:rPr>
        <w:t>comunidad</w:t>
      </w:r>
      <w:r>
        <w:rPr>
          <w:rFonts w:ascii="Arial" w:hAnsi="Arial" w:cs="Arial"/>
          <w:sz w:val="24"/>
          <w:szCs w:val="24"/>
        </w:rPr>
        <w:t>, a fin determinar si la mayoría de la población está de acuerdo en la administración directa de recursos en el ejercicio de su derecho de autogobierno</w:t>
      </w:r>
      <w:r>
        <w:rPr>
          <w:rFonts w:ascii="Arial" w:hAnsi="Arial" w:cs="Arial"/>
          <w:i/>
          <w:iCs/>
          <w:sz w:val="24"/>
          <w:szCs w:val="24"/>
        </w:rPr>
        <w:t xml:space="preserve">, </w:t>
      </w:r>
      <w:r>
        <w:rPr>
          <w:rFonts w:ascii="Arial" w:hAnsi="Arial" w:cs="Arial"/>
          <w:sz w:val="24"/>
          <w:szCs w:val="24"/>
        </w:rPr>
        <w:t xml:space="preserve">lo que a su juicio vulnera su derecho a una consulta indígena, de autonomía y libre determinación </w:t>
      </w:r>
      <w:r>
        <w:rPr>
          <w:rFonts w:ascii="Arial" w:hAnsi="Arial" w:cs="Arial"/>
          <w:sz w:val="24"/>
          <w:szCs w:val="24"/>
          <w:lang w:val="es-ES"/>
        </w:rPr>
        <w:t xml:space="preserve">y autogobierno de la </w:t>
      </w:r>
      <w:r>
        <w:rPr>
          <w:rFonts w:ascii="Arial" w:hAnsi="Arial" w:cs="Arial"/>
          <w:i/>
          <w:iCs/>
          <w:sz w:val="24"/>
          <w:szCs w:val="24"/>
          <w:lang w:val="es-ES"/>
        </w:rPr>
        <w:t xml:space="preserve">comunidad. </w:t>
      </w:r>
    </w:p>
    <w:p w14:paraId="12526B88" w14:textId="77777777" w:rsidR="00E11D56" w:rsidRDefault="00000000">
      <w:pPr>
        <w:spacing w:after="160" w:line="360" w:lineRule="auto"/>
        <w:jc w:val="both"/>
        <w:rPr>
          <w:rFonts w:ascii="Arial" w:hAnsi="Arial" w:cs="Arial"/>
          <w:sz w:val="24"/>
          <w:szCs w:val="24"/>
          <w:lang w:val="es-ES"/>
        </w:rPr>
      </w:pPr>
      <w:r>
        <w:rPr>
          <w:rFonts w:ascii="Arial" w:hAnsi="Arial" w:cs="Arial"/>
          <w:sz w:val="24"/>
          <w:szCs w:val="24"/>
        </w:rPr>
        <w:t>En consecuencia</w:t>
      </w:r>
      <w:r>
        <w:rPr>
          <w:rFonts w:ascii="Arial" w:hAnsi="Arial" w:cs="Arial"/>
          <w:sz w:val="24"/>
          <w:szCs w:val="24"/>
          <w:lang w:val="es-ES"/>
        </w:rPr>
        <w:t xml:space="preserve">, no puede ser atendida de forma positiva la solicitud de la </w:t>
      </w:r>
      <w:r>
        <w:rPr>
          <w:rFonts w:ascii="Arial" w:hAnsi="Arial" w:cs="Arial"/>
          <w:i/>
          <w:iCs/>
          <w:sz w:val="24"/>
          <w:szCs w:val="24"/>
          <w:lang w:val="es-ES"/>
        </w:rPr>
        <w:t>parte actora</w:t>
      </w:r>
      <w:r>
        <w:rPr>
          <w:rFonts w:ascii="Arial" w:hAnsi="Arial" w:cs="Arial"/>
          <w:sz w:val="24"/>
          <w:szCs w:val="24"/>
          <w:lang w:val="es-ES"/>
        </w:rPr>
        <w:t xml:space="preserve"> respecto a que </w:t>
      </w:r>
      <w:r>
        <w:rPr>
          <w:rFonts w:ascii="Arial" w:hAnsi="Arial" w:cs="Arial"/>
          <w:sz w:val="24"/>
          <w:szCs w:val="24"/>
        </w:rPr>
        <w:t xml:space="preserve">se revoque la integración del </w:t>
      </w:r>
      <w:r>
        <w:rPr>
          <w:rFonts w:ascii="Arial" w:hAnsi="Arial" w:cs="Arial"/>
          <w:i/>
          <w:iCs/>
          <w:sz w:val="24"/>
          <w:szCs w:val="24"/>
        </w:rPr>
        <w:t>Consejo Comunal Indígena</w:t>
      </w:r>
      <w:r>
        <w:rPr>
          <w:rFonts w:ascii="Arial" w:hAnsi="Arial" w:cs="Arial"/>
          <w:sz w:val="24"/>
          <w:szCs w:val="24"/>
        </w:rPr>
        <w:t xml:space="preserve">, al considerar que su origen deriva de un vicio ante la falta de consulta previa, libre e informada por el </w:t>
      </w:r>
      <w:r>
        <w:rPr>
          <w:rFonts w:ascii="Arial" w:hAnsi="Arial" w:cs="Arial"/>
          <w:i/>
          <w:iCs/>
          <w:sz w:val="24"/>
          <w:szCs w:val="24"/>
        </w:rPr>
        <w:t>Instituto,</w:t>
      </w:r>
      <w:r>
        <w:rPr>
          <w:rFonts w:ascii="Arial" w:hAnsi="Arial" w:cs="Arial"/>
          <w:sz w:val="24"/>
          <w:szCs w:val="24"/>
          <w:lang w:val="es-ES"/>
        </w:rPr>
        <w:t xml:space="preserve"> máxime que ya fue motivo de pronunciamiento </w:t>
      </w:r>
      <w:r>
        <w:rPr>
          <w:rFonts w:ascii="Arial" w:hAnsi="Arial" w:cs="Arial"/>
          <w:sz w:val="24"/>
          <w:szCs w:val="24"/>
          <w:lang w:val="es-ES"/>
        </w:rPr>
        <w:lastRenderedPageBreak/>
        <w:t xml:space="preserve">por este </w:t>
      </w:r>
      <w:r>
        <w:rPr>
          <w:rFonts w:ascii="Arial" w:hAnsi="Arial" w:cs="Arial"/>
          <w:i/>
          <w:iCs/>
          <w:sz w:val="24"/>
          <w:szCs w:val="24"/>
          <w:lang w:val="es-ES"/>
        </w:rPr>
        <w:t>Tribunal Electoral</w:t>
      </w:r>
      <w:r>
        <w:rPr>
          <w:rFonts w:ascii="Arial" w:hAnsi="Arial" w:cs="Arial"/>
          <w:sz w:val="24"/>
          <w:szCs w:val="24"/>
          <w:lang w:val="es-ES"/>
        </w:rPr>
        <w:t xml:space="preserve"> al </w:t>
      </w:r>
      <w:r>
        <w:rPr>
          <w:rFonts w:ascii="Arial" w:hAnsi="Arial" w:cs="Arial"/>
          <w:b/>
          <w:color w:val="000000"/>
          <w:sz w:val="24"/>
          <w:szCs w:val="24"/>
          <w:lang w:val="es-ES" w:eastAsia="es-ES_tradnl"/>
        </w:rPr>
        <w:t>confirmar</w:t>
      </w:r>
      <w:r>
        <w:rPr>
          <w:rFonts w:ascii="Arial" w:hAnsi="Arial" w:cs="Arial"/>
          <w:color w:val="000000"/>
          <w:sz w:val="24"/>
          <w:szCs w:val="24"/>
          <w:lang w:val="es-ES" w:eastAsia="es-ES_tradnl"/>
        </w:rPr>
        <w:t xml:space="preserve"> la conformación del </w:t>
      </w:r>
      <w:r>
        <w:rPr>
          <w:rFonts w:ascii="Arial" w:hAnsi="Arial" w:cs="Arial"/>
          <w:i/>
          <w:color w:val="000000"/>
          <w:sz w:val="24"/>
          <w:szCs w:val="24"/>
          <w:lang w:val="es-ES" w:eastAsia="es-ES_tradnl"/>
        </w:rPr>
        <w:t>Concejo Comunal</w:t>
      </w:r>
      <w:r>
        <w:rPr>
          <w:rFonts w:ascii="Arial" w:hAnsi="Arial" w:cs="Arial"/>
          <w:i/>
          <w:iCs/>
          <w:color w:val="000000"/>
          <w:sz w:val="24"/>
          <w:szCs w:val="24"/>
          <w:lang w:val="es-ES" w:eastAsia="es-ES_tradnl"/>
        </w:rPr>
        <w:t xml:space="preserve"> Indígena</w:t>
      </w:r>
      <w:r>
        <w:rPr>
          <w:rStyle w:val="Refdenotaalpie"/>
          <w:rFonts w:ascii="Arial" w:hAnsi="Arial" w:cs="Arial"/>
          <w:i/>
          <w:iCs/>
          <w:color w:val="000000"/>
          <w:sz w:val="24"/>
          <w:szCs w:val="24"/>
          <w:lang w:val="es-ES" w:eastAsia="es-ES_tradnl"/>
        </w:rPr>
        <w:footnoteReference w:id="54"/>
      </w:r>
      <w:r>
        <w:rPr>
          <w:rFonts w:ascii="Arial" w:hAnsi="Arial" w:cs="Arial"/>
          <w:i/>
          <w:iCs/>
          <w:color w:val="000000"/>
          <w:sz w:val="24"/>
          <w:szCs w:val="24"/>
          <w:lang w:val="es-ES" w:eastAsia="es-ES_tradnl"/>
        </w:rPr>
        <w:t>.</w:t>
      </w:r>
    </w:p>
    <w:p w14:paraId="7EF4039D" w14:textId="77777777" w:rsidR="00E11D56" w:rsidRDefault="00000000">
      <w:pPr>
        <w:pStyle w:val="Ttulo2"/>
        <w:numPr>
          <w:ilvl w:val="0"/>
          <w:numId w:val="38"/>
        </w:numPr>
        <w:spacing w:before="100" w:beforeAutospacing="1" w:after="100" w:afterAutospacing="1" w:line="360" w:lineRule="auto"/>
        <w:ind w:left="0" w:right="-91" w:firstLine="0"/>
        <w:jc w:val="center"/>
        <w:rPr>
          <w:rFonts w:ascii="Arial" w:hAnsi="Arial" w:cs="Arial"/>
          <w:b/>
          <w:bCs/>
          <w:color w:val="000000" w:themeColor="text1"/>
          <w:sz w:val="24"/>
          <w:szCs w:val="24"/>
          <w:lang w:val="es-ES_tradnl"/>
        </w:rPr>
      </w:pPr>
      <w:bookmarkStart w:id="32" w:name="_Toc234501848"/>
      <w:r>
        <w:rPr>
          <w:rFonts w:ascii="Arial" w:hAnsi="Arial" w:cs="Arial"/>
          <w:b/>
          <w:bCs/>
          <w:color w:val="000000" w:themeColor="text1"/>
          <w:sz w:val="24"/>
          <w:szCs w:val="24"/>
          <w:lang w:val="es-ES_tradnl"/>
        </w:rPr>
        <w:t>RESUMEN DE LA SENTENCIA</w:t>
      </w:r>
      <w:bookmarkEnd w:id="32"/>
    </w:p>
    <w:p w14:paraId="723B9B9D" w14:textId="77777777" w:rsidR="00E11D56" w:rsidRDefault="00000000">
      <w:pPr>
        <w:pBdr>
          <w:top w:val="nil"/>
          <w:left w:val="nil"/>
          <w:bottom w:val="nil"/>
          <w:right w:val="nil"/>
          <w:between w:val="nil"/>
        </w:pBdr>
        <w:spacing w:after="240" w:line="360" w:lineRule="auto"/>
        <w:jc w:val="both"/>
        <w:rPr>
          <w:rFonts w:ascii="Arial" w:hAnsi="Arial" w:cs="Arial"/>
          <w:color w:val="000000"/>
          <w:sz w:val="24"/>
          <w:szCs w:val="24"/>
        </w:rPr>
      </w:pPr>
      <w:r>
        <w:rPr>
          <w:rFonts w:ascii="Arial" w:hAnsi="Arial" w:cs="Arial"/>
          <w:color w:val="000000"/>
          <w:sz w:val="24"/>
          <w:szCs w:val="24"/>
        </w:rPr>
        <w:t xml:space="preserve">Para el efecto de comunicar a la </w:t>
      </w:r>
      <w:r>
        <w:rPr>
          <w:rFonts w:ascii="Arial" w:hAnsi="Arial" w:cs="Arial"/>
          <w:i/>
          <w:color w:val="000000"/>
          <w:sz w:val="24"/>
          <w:szCs w:val="24"/>
        </w:rPr>
        <w:t>comunidad</w:t>
      </w:r>
      <w:r>
        <w:rPr>
          <w:rFonts w:ascii="Arial" w:hAnsi="Arial" w:cs="Arial"/>
          <w:color w:val="000000"/>
          <w:sz w:val="24"/>
          <w:szCs w:val="24"/>
        </w:rPr>
        <w:t xml:space="preserve"> el sentido y alcance de la presente sentencia, este </w:t>
      </w:r>
      <w:r>
        <w:rPr>
          <w:rFonts w:ascii="Arial" w:hAnsi="Arial" w:cs="Arial"/>
          <w:i/>
          <w:color w:val="000000"/>
          <w:sz w:val="24"/>
          <w:szCs w:val="24"/>
        </w:rPr>
        <w:t>Tribunal</w:t>
      </w:r>
      <w:r>
        <w:rPr>
          <w:rFonts w:ascii="Arial" w:hAnsi="Arial" w:cs="Arial"/>
          <w:color w:val="000000"/>
          <w:sz w:val="24"/>
          <w:szCs w:val="24"/>
        </w:rPr>
        <w:t xml:space="preserve"> </w:t>
      </w:r>
      <w:r>
        <w:rPr>
          <w:rFonts w:ascii="Arial" w:hAnsi="Arial" w:cs="Arial"/>
          <w:i/>
          <w:color w:val="000000"/>
          <w:sz w:val="24"/>
          <w:szCs w:val="24"/>
        </w:rPr>
        <w:t>Electoral</w:t>
      </w:r>
      <w:r>
        <w:rPr>
          <w:rFonts w:ascii="Arial" w:hAnsi="Arial" w:cs="Arial"/>
          <w:color w:val="000000"/>
          <w:sz w:val="24"/>
          <w:szCs w:val="24"/>
        </w:rPr>
        <w:t xml:space="preserve"> estima procedente elaborar un resumen oficial a fin de que sea traducido a la lengua mazahua-otomí, por ser la lengua predominante en la región</w:t>
      </w:r>
      <w:r>
        <w:rPr>
          <w:rStyle w:val="Refdenotaalpie"/>
          <w:rFonts w:ascii="Arial" w:hAnsi="Arial" w:cs="Arial"/>
          <w:color w:val="000000"/>
          <w:sz w:val="24"/>
          <w:szCs w:val="24"/>
        </w:rPr>
        <w:footnoteReference w:id="55"/>
      </w:r>
      <w:r>
        <w:rPr>
          <w:rFonts w:ascii="Arial" w:hAnsi="Arial" w:cs="Arial"/>
          <w:color w:val="000000"/>
          <w:sz w:val="24"/>
          <w:szCs w:val="24"/>
        </w:rPr>
        <w:t xml:space="preserve">. </w:t>
      </w:r>
    </w:p>
    <w:p w14:paraId="73CDC05B" w14:textId="77777777" w:rsidR="00E11D56" w:rsidRDefault="00000000">
      <w:pPr>
        <w:pBdr>
          <w:top w:val="nil"/>
          <w:left w:val="nil"/>
          <w:bottom w:val="nil"/>
          <w:right w:val="nil"/>
          <w:between w:val="nil"/>
        </w:pBdr>
        <w:spacing w:after="240" w:line="360" w:lineRule="auto"/>
        <w:jc w:val="both"/>
        <w:rPr>
          <w:rFonts w:ascii="Arial" w:hAnsi="Arial" w:cs="Arial"/>
          <w:i/>
          <w:color w:val="000000"/>
          <w:sz w:val="24"/>
          <w:szCs w:val="24"/>
        </w:rPr>
      </w:pPr>
      <w:r>
        <w:rPr>
          <w:rFonts w:ascii="Arial" w:hAnsi="Arial" w:cs="Arial"/>
          <w:color w:val="000000"/>
          <w:sz w:val="24"/>
          <w:szCs w:val="24"/>
        </w:rPr>
        <w:t xml:space="preserve">Por tanto, resulta necesario ordenar que se realice la traducción del resumen oficial y de los puntos resolutivos, a fin de que, tanto la versión en español como la versión en lengua indígena, puedan difundirse entre la población de la </w:t>
      </w:r>
      <w:r>
        <w:rPr>
          <w:rFonts w:ascii="Arial" w:hAnsi="Arial" w:cs="Arial"/>
          <w:i/>
          <w:color w:val="000000"/>
          <w:sz w:val="24"/>
          <w:szCs w:val="24"/>
        </w:rPr>
        <w:t xml:space="preserve">comunidad. </w:t>
      </w:r>
    </w:p>
    <w:p w14:paraId="375959AC" w14:textId="77777777" w:rsidR="00E11D56" w:rsidRDefault="00000000">
      <w:pPr>
        <w:pBdr>
          <w:top w:val="nil"/>
          <w:left w:val="nil"/>
          <w:bottom w:val="nil"/>
          <w:right w:val="nil"/>
          <w:between w:val="nil"/>
        </w:pBdr>
        <w:spacing w:after="240" w:line="360" w:lineRule="auto"/>
        <w:jc w:val="both"/>
        <w:rPr>
          <w:rFonts w:ascii="Arial" w:hAnsi="Arial" w:cs="Arial"/>
          <w:i/>
          <w:color w:val="000000"/>
          <w:sz w:val="24"/>
          <w:szCs w:val="24"/>
        </w:rPr>
      </w:pPr>
      <w:r>
        <w:rPr>
          <w:rFonts w:ascii="Arial" w:hAnsi="Arial" w:cs="Arial"/>
          <w:color w:val="000000"/>
          <w:sz w:val="24"/>
          <w:szCs w:val="24"/>
        </w:rPr>
        <w:t xml:space="preserve">Por lo anterior, </w:t>
      </w:r>
      <w:r>
        <w:rPr>
          <w:rFonts w:ascii="Arial" w:hAnsi="Arial" w:cs="Arial"/>
          <w:b/>
          <w:color w:val="000000"/>
          <w:sz w:val="24"/>
          <w:szCs w:val="24"/>
        </w:rPr>
        <w:t>se instruye a la</w:t>
      </w:r>
      <w:r>
        <w:rPr>
          <w:rFonts w:ascii="Arial" w:hAnsi="Arial" w:cs="Arial"/>
          <w:color w:val="000000"/>
          <w:sz w:val="24"/>
          <w:szCs w:val="24"/>
        </w:rPr>
        <w:t xml:space="preserve"> </w:t>
      </w:r>
      <w:r>
        <w:rPr>
          <w:rFonts w:ascii="Arial" w:hAnsi="Arial" w:cs="Arial"/>
          <w:b/>
          <w:color w:val="000000"/>
          <w:sz w:val="24"/>
          <w:szCs w:val="24"/>
        </w:rPr>
        <w:t xml:space="preserve">Secretaría General de Acuerdos de este </w:t>
      </w:r>
      <w:r>
        <w:rPr>
          <w:rFonts w:ascii="Arial" w:hAnsi="Arial" w:cs="Arial"/>
          <w:b/>
          <w:i/>
          <w:color w:val="000000"/>
          <w:sz w:val="24"/>
          <w:szCs w:val="24"/>
        </w:rPr>
        <w:t>Tribunal Electoral</w:t>
      </w:r>
      <w:r>
        <w:rPr>
          <w:rFonts w:ascii="Arial" w:hAnsi="Arial" w:cs="Arial"/>
          <w:color w:val="000000"/>
          <w:sz w:val="24"/>
          <w:szCs w:val="24"/>
        </w:rPr>
        <w:t xml:space="preserve">, para que a la </w:t>
      </w:r>
      <w:r>
        <w:rPr>
          <w:rFonts w:ascii="Arial" w:hAnsi="Arial" w:cs="Arial"/>
          <w:b/>
          <w:color w:val="000000"/>
          <w:sz w:val="24"/>
          <w:szCs w:val="24"/>
        </w:rPr>
        <w:t>brevedad</w:t>
      </w:r>
      <w:r>
        <w:rPr>
          <w:rFonts w:ascii="Arial" w:hAnsi="Arial" w:cs="Arial"/>
          <w:color w:val="000000"/>
          <w:sz w:val="24"/>
          <w:szCs w:val="24"/>
        </w:rPr>
        <w:t xml:space="preserve"> obtenga, mediante perito calificado, la traducción del resumen y puntos resolutivos, la cual en su momento deberá adjuntarse a la sentencia; asimismo, para que el </w:t>
      </w:r>
      <w:r>
        <w:rPr>
          <w:rFonts w:ascii="Arial" w:hAnsi="Arial" w:cs="Arial"/>
          <w:i/>
          <w:color w:val="000000"/>
          <w:sz w:val="24"/>
          <w:szCs w:val="24"/>
        </w:rPr>
        <w:t>SMRT</w:t>
      </w:r>
      <w:r>
        <w:rPr>
          <w:rFonts w:ascii="Arial" w:hAnsi="Arial" w:cs="Arial"/>
          <w:color w:val="000000"/>
          <w:sz w:val="24"/>
          <w:szCs w:val="24"/>
        </w:rPr>
        <w:t xml:space="preserve"> y el </w:t>
      </w:r>
      <w:r>
        <w:rPr>
          <w:rFonts w:ascii="Arial" w:hAnsi="Arial" w:cs="Arial"/>
          <w:i/>
          <w:color w:val="000000"/>
          <w:sz w:val="24"/>
          <w:szCs w:val="24"/>
        </w:rPr>
        <w:t>Ayuntamiento</w:t>
      </w:r>
      <w:r>
        <w:rPr>
          <w:rFonts w:ascii="Arial" w:hAnsi="Arial" w:cs="Arial"/>
          <w:color w:val="000000"/>
          <w:sz w:val="24"/>
          <w:szCs w:val="24"/>
        </w:rPr>
        <w:t>, coadyuven para su difusión tanto en español como en lengua indígena.</w:t>
      </w:r>
    </w:p>
    <w:p w14:paraId="79D1E3A3" w14:textId="77777777" w:rsidR="00E11D56" w:rsidRDefault="00000000">
      <w:pPr>
        <w:spacing w:before="360" w:after="40" w:line="360" w:lineRule="auto"/>
        <w:jc w:val="both"/>
        <w:rPr>
          <w:rFonts w:ascii="Arial" w:hAnsi="Arial" w:cs="Arial"/>
          <w:color w:val="000000"/>
          <w:sz w:val="24"/>
          <w:szCs w:val="24"/>
        </w:rPr>
      </w:pPr>
      <w:r>
        <w:rPr>
          <w:rFonts w:ascii="Arial" w:hAnsi="Arial" w:cs="Arial"/>
          <w:color w:val="000000"/>
          <w:sz w:val="24"/>
          <w:szCs w:val="24"/>
        </w:rPr>
        <w:t xml:space="preserve">Por tanto, </w:t>
      </w:r>
      <w:r>
        <w:rPr>
          <w:rFonts w:ascii="Arial" w:hAnsi="Arial" w:cs="Arial"/>
          <w:b/>
          <w:color w:val="000000"/>
          <w:sz w:val="24"/>
          <w:szCs w:val="24"/>
        </w:rPr>
        <w:t xml:space="preserve">se vincula al </w:t>
      </w:r>
      <w:r>
        <w:rPr>
          <w:rFonts w:ascii="Arial" w:hAnsi="Arial" w:cs="Arial"/>
          <w:b/>
          <w:i/>
          <w:color w:val="000000"/>
          <w:sz w:val="24"/>
          <w:szCs w:val="24"/>
        </w:rPr>
        <w:t>SMRT</w:t>
      </w:r>
      <w:r>
        <w:rPr>
          <w:rFonts w:ascii="Arial" w:hAnsi="Arial" w:cs="Arial"/>
          <w:b/>
          <w:color w:val="000000"/>
          <w:sz w:val="24"/>
          <w:szCs w:val="24"/>
        </w:rPr>
        <w:t xml:space="preserve"> </w:t>
      </w:r>
      <w:r>
        <w:rPr>
          <w:rFonts w:ascii="Arial" w:hAnsi="Arial" w:cs="Arial"/>
          <w:color w:val="000000"/>
          <w:sz w:val="24"/>
          <w:szCs w:val="24"/>
        </w:rPr>
        <w:t xml:space="preserve">para que, una vez notificado el resumen oficial y los puntos resolutivos de la presente sentencia, coadyuve con su difusión tanto en español como en mazahua </w:t>
      </w:r>
      <w:r>
        <w:rPr>
          <w:rFonts w:ascii="Arial" w:hAnsi="Arial" w:cs="Arial"/>
          <w:b/>
          <w:color w:val="000000"/>
          <w:sz w:val="24"/>
          <w:szCs w:val="24"/>
        </w:rPr>
        <w:t>por un plazo de tres días hábiles</w:t>
      </w:r>
      <w:r>
        <w:rPr>
          <w:rFonts w:ascii="Arial" w:hAnsi="Arial" w:cs="Arial"/>
          <w:color w:val="000000"/>
          <w:sz w:val="24"/>
          <w:szCs w:val="24"/>
        </w:rPr>
        <w:t xml:space="preserve">, a los integrantes de la </w:t>
      </w:r>
      <w:r>
        <w:rPr>
          <w:rFonts w:ascii="Arial" w:hAnsi="Arial" w:cs="Arial"/>
          <w:i/>
          <w:color w:val="000000"/>
          <w:sz w:val="24"/>
          <w:szCs w:val="24"/>
        </w:rPr>
        <w:t>comunidad</w:t>
      </w:r>
      <w:r>
        <w:rPr>
          <w:rFonts w:ascii="Arial" w:hAnsi="Arial" w:cs="Arial"/>
          <w:color w:val="000000"/>
          <w:sz w:val="24"/>
          <w:szCs w:val="24"/>
        </w:rPr>
        <w:t>, mediante sus distintas frecuencias de radio y/o televisión, con cobertura en esa localidad</w:t>
      </w:r>
      <w:r>
        <w:rPr>
          <w:rStyle w:val="Refdenotaalpie"/>
          <w:rFonts w:ascii="Arial" w:hAnsi="Arial" w:cs="Arial"/>
          <w:color w:val="000000"/>
          <w:sz w:val="24"/>
          <w:szCs w:val="24"/>
        </w:rPr>
        <w:footnoteReference w:id="56"/>
      </w:r>
      <w:r>
        <w:rPr>
          <w:rFonts w:ascii="Arial" w:hAnsi="Arial" w:cs="Arial"/>
          <w:color w:val="000000"/>
          <w:sz w:val="24"/>
          <w:szCs w:val="24"/>
        </w:rPr>
        <w:t>.</w:t>
      </w:r>
    </w:p>
    <w:p w14:paraId="0416E159" w14:textId="77777777" w:rsidR="00E11D56" w:rsidRDefault="00000000">
      <w:pPr>
        <w:spacing w:before="360" w:after="40" w:line="360" w:lineRule="auto"/>
        <w:jc w:val="both"/>
        <w:rPr>
          <w:rFonts w:ascii="Arial" w:hAnsi="Arial" w:cs="Arial"/>
          <w:color w:val="000000"/>
          <w:sz w:val="24"/>
          <w:szCs w:val="24"/>
        </w:rPr>
      </w:pPr>
      <w:r>
        <w:rPr>
          <w:rFonts w:ascii="Arial" w:hAnsi="Arial" w:cs="Arial"/>
          <w:color w:val="000000"/>
          <w:sz w:val="24"/>
          <w:szCs w:val="24"/>
        </w:rPr>
        <w:t xml:space="preserve">De igual forma, </w:t>
      </w:r>
      <w:r>
        <w:rPr>
          <w:rFonts w:ascii="Arial" w:hAnsi="Arial" w:cs="Arial"/>
          <w:b/>
          <w:color w:val="000000"/>
          <w:sz w:val="24"/>
          <w:szCs w:val="24"/>
        </w:rPr>
        <w:t xml:space="preserve">se vincula al </w:t>
      </w:r>
      <w:r>
        <w:rPr>
          <w:rFonts w:ascii="Arial" w:hAnsi="Arial" w:cs="Arial"/>
          <w:b/>
          <w:i/>
          <w:color w:val="000000"/>
          <w:sz w:val="24"/>
          <w:szCs w:val="24"/>
        </w:rPr>
        <w:t>Ayuntamiento</w:t>
      </w:r>
      <w:r>
        <w:rPr>
          <w:rFonts w:ascii="Arial" w:hAnsi="Arial" w:cs="Arial"/>
          <w:color w:val="000000"/>
          <w:sz w:val="24"/>
          <w:szCs w:val="24"/>
        </w:rPr>
        <w:t xml:space="preserve"> para que, por el </w:t>
      </w:r>
      <w:r>
        <w:rPr>
          <w:rFonts w:ascii="Arial" w:hAnsi="Arial" w:cs="Arial"/>
          <w:b/>
          <w:color w:val="000000"/>
          <w:sz w:val="24"/>
          <w:szCs w:val="24"/>
        </w:rPr>
        <w:t>término de tres días naturales</w:t>
      </w:r>
      <w:r>
        <w:rPr>
          <w:rFonts w:ascii="Arial" w:hAnsi="Arial" w:cs="Arial"/>
          <w:color w:val="000000"/>
          <w:sz w:val="24"/>
          <w:szCs w:val="24"/>
        </w:rPr>
        <w:t xml:space="preserve">, difunda el resumen oficial de la sentencia y los puntos resolutivos a la </w:t>
      </w:r>
      <w:r>
        <w:rPr>
          <w:rFonts w:ascii="Arial" w:hAnsi="Arial" w:cs="Arial"/>
          <w:i/>
          <w:color w:val="000000"/>
          <w:sz w:val="24"/>
          <w:szCs w:val="24"/>
        </w:rPr>
        <w:t>comunidad</w:t>
      </w:r>
      <w:r>
        <w:rPr>
          <w:rFonts w:ascii="Arial" w:hAnsi="Arial" w:cs="Arial"/>
          <w:color w:val="000000"/>
          <w:sz w:val="24"/>
          <w:szCs w:val="24"/>
        </w:rPr>
        <w:t xml:space="preserve">, tanto en español como en mazahua; lo que podrá efectuarse por los medios tradicionales </w:t>
      </w:r>
      <w:r>
        <w:rPr>
          <w:rFonts w:ascii="Arial" w:hAnsi="Arial" w:cs="Arial"/>
          <w:b/>
          <w:bCs/>
          <w:color w:val="000000"/>
          <w:sz w:val="24"/>
          <w:szCs w:val="24"/>
        </w:rPr>
        <w:t>acostumbrados</w:t>
      </w:r>
      <w:r>
        <w:rPr>
          <w:rFonts w:ascii="Arial" w:hAnsi="Arial" w:cs="Arial"/>
          <w:color w:val="000000"/>
          <w:sz w:val="24"/>
          <w:szCs w:val="24"/>
        </w:rPr>
        <w:t xml:space="preserve"> </w:t>
      </w:r>
      <w:r>
        <w:rPr>
          <w:rFonts w:ascii="Arial" w:hAnsi="Arial" w:cs="Arial"/>
          <w:b/>
          <w:bCs/>
          <w:color w:val="000000"/>
          <w:sz w:val="24"/>
          <w:szCs w:val="24"/>
        </w:rPr>
        <w:t xml:space="preserve">por la </w:t>
      </w:r>
      <w:r w:rsidRPr="00F11E2B">
        <w:rPr>
          <w:rFonts w:ascii="Arial" w:hAnsi="Arial" w:cs="Arial"/>
          <w:b/>
          <w:bCs/>
          <w:i/>
          <w:iCs/>
          <w:color w:val="000000"/>
          <w:sz w:val="24"/>
          <w:szCs w:val="24"/>
        </w:rPr>
        <w:t>comunidad</w:t>
      </w:r>
      <w:r w:rsidRPr="00F11E2B">
        <w:rPr>
          <w:rFonts w:ascii="Arial" w:hAnsi="Arial" w:cs="Arial"/>
          <w:color w:val="000000"/>
          <w:sz w:val="24"/>
          <w:szCs w:val="24"/>
        </w:rPr>
        <w:t xml:space="preserve"> (como puede ser a</w:t>
      </w:r>
      <w:r>
        <w:rPr>
          <w:rFonts w:ascii="Arial" w:hAnsi="Arial" w:cs="Arial"/>
          <w:color w:val="000000"/>
          <w:sz w:val="24"/>
          <w:szCs w:val="24"/>
        </w:rPr>
        <w:t xml:space="preserve"> través de su colocación en inmuebles en los que se suele difundir información </w:t>
      </w:r>
      <w:r>
        <w:rPr>
          <w:rFonts w:ascii="Arial" w:hAnsi="Arial" w:cs="Arial"/>
          <w:color w:val="000000"/>
          <w:sz w:val="24"/>
          <w:szCs w:val="24"/>
        </w:rPr>
        <w:lastRenderedPageBreak/>
        <w:t>relevante, perifoneo, o cualquier otro medio por el que se garantice su difusión entre la </w:t>
      </w:r>
      <w:r>
        <w:rPr>
          <w:rFonts w:ascii="Arial" w:hAnsi="Arial" w:cs="Arial"/>
          <w:i/>
          <w:iCs/>
          <w:color w:val="000000"/>
          <w:sz w:val="24"/>
          <w:szCs w:val="24"/>
        </w:rPr>
        <w:t>comunidad</w:t>
      </w:r>
      <w:r>
        <w:rPr>
          <w:rFonts w:ascii="Arial" w:hAnsi="Arial" w:cs="Arial"/>
          <w:color w:val="000000"/>
          <w:sz w:val="24"/>
          <w:szCs w:val="24"/>
        </w:rPr>
        <w:t>).</w:t>
      </w:r>
    </w:p>
    <w:p w14:paraId="7CCFD3FE" w14:textId="77777777" w:rsidR="00E11D56" w:rsidRDefault="00000000">
      <w:pPr>
        <w:spacing w:before="360" w:after="40" w:line="360" w:lineRule="auto"/>
        <w:jc w:val="both"/>
        <w:rPr>
          <w:rFonts w:ascii="Arial" w:hAnsi="Arial" w:cs="Arial"/>
          <w:sz w:val="24"/>
          <w:szCs w:val="24"/>
        </w:rPr>
      </w:pPr>
      <w:r>
        <w:rPr>
          <w:rFonts w:ascii="Arial" w:hAnsi="Arial" w:cs="Arial"/>
          <w:color w:val="000000"/>
          <w:sz w:val="24"/>
          <w:szCs w:val="24"/>
        </w:rPr>
        <w:t xml:space="preserve">Una vez realizado lo anterior, las autoridades vinculadas deberán informarlo a este </w:t>
      </w:r>
      <w:r>
        <w:rPr>
          <w:rFonts w:ascii="Arial" w:hAnsi="Arial" w:cs="Arial"/>
          <w:i/>
          <w:color w:val="000000"/>
          <w:sz w:val="24"/>
          <w:szCs w:val="24"/>
        </w:rPr>
        <w:t>Tribunal Electoral,</w:t>
      </w:r>
      <w:r>
        <w:rPr>
          <w:rFonts w:ascii="Arial" w:hAnsi="Arial" w:cs="Arial"/>
          <w:color w:val="000000"/>
          <w:sz w:val="24"/>
          <w:szCs w:val="24"/>
        </w:rPr>
        <w:t xml:space="preserve"> dentro del plazo de </w:t>
      </w:r>
      <w:r>
        <w:rPr>
          <w:rFonts w:ascii="Arial" w:hAnsi="Arial" w:cs="Arial"/>
          <w:b/>
          <w:color w:val="000000"/>
          <w:sz w:val="24"/>
          <w:szCs w:val="24"/>
        </w:rPr>
        <w:t>tres días hábiles</w:t>
      </w:r>
      <w:r>
        <w:rPr>
          <w:rFonts w:ascii="Arial" w:hAnsi="Arial" w:cs="Arial"/>
          <w:color w:val="000000"/>
          <w:sz w:val="24"/>
          <w:szCs w:val="24"/>
        </w:rPr>
        <w:t xml:space="preserve"> siguientes a que ello ocurra, debiendo remitir las constancias que acrediten el cumplimiento de lo ordenado. </w:t>
      </w:r>
    </w:p>
    <w:p w14:paraId="4C04AE1C" w14:textId="77777777" w:rsidR="00E11D56" w:rsidRDefault="00000000">
      <w:pPr>
        <w:spacing w:before="360" w:line="360" w:lineRule="auto"/>
        <w:jc w:val="both"/>
        <w:rPr>
          <w:rFonts w:ascii="Arial" w:hAnsi="Arial" w:cs="Arial"/>
          <w:sz w:val="24"/>
          <w:szCs w:val="24"/>
        </w:rPr>
      </w:pPr>
      <w:r>
        <w:rPr>
          <w:rFonts w:ascii="Arial" w:hAnsi="Arial" w:cs="Arial"/>
          <w:sz w:val="24"/>
          <w:szCs w:val="24"/>
        </w:rPr>
        <w:t xml:space="preserve">El </w:t>
      </w:r>
      <w:r>
        <w:rPr>
          <w:rFonts w:ascii="Arial" w:hAnsi="Arial" w:cs="Arial"/>
          <w:b/>
          <w:bCs/>
          <w:sz w:val="24"/>
          <w:szCs w:val="24"/>
        </w:rPr>
        <w:t>resumen oficial de la sentencia</w:t>
      </w:r>
      <w:r>
        <w:rPr>
          <w:rFonts w:ascii="Arial" w:hAnsi="Arial" w:cs="Arial"/>
          <w:sz w:val="24"/>
          <w:szCs w:val="24"/>
        </w:rPr>
        <w:t xml:space="preserve"> es el siguiente: </w:t>
      </w:r>
    </w:p>
    <w:p w14:paraId="6A98454E" w14:textId="77777777" w:rsidR="00E11D56" w:rsidRDefault="00000000">
      <w:pPr>
        <w:spacing w:before="240" w:after="240" w:line="360" w:lineRule="auto"/>
        <w:ind w:left="567" w:right="618"/>
        <w:jc w:val="both"/>
        <w:rPr>
          <w:rFonts w:ascii="Arial" w:hAnsi="Arial" w:cs="Arial"/>
          <w:i/>
          <w:iCs/>
          <w:sz w:val="22"/>
          <w:szCs w:val="22"/>
        </w:rPr>
      </w:pPr>
      <w:r>
        <w:rPr>
          <w:rFonts w:ascii="Arial" w:hAnsi="Arial" w:cs="Arial"/>
          <w:i/>
          <w:iCs/>
          <w:sz w:val="22"/>
          <w:szCs w:val="22"/>
        </w:rPr>
        <w:t xml:space="preserve">“Dos ciudadanos </w:t>
      </w:r>
      <w:bookmarkStart w:id="33" w:name="_Hlk234328483"/>
      <w:r>
        <w:rPr>
          <w:rFonts w:ascii="Arial" w:hAnsi="Arial" w:cs="Arial"/>
          <w:i/>
          <w:iCs/>
          <w:sz w:val="22"/>
          <w:szCs w:val="22"/>
        </w:rPr>
        <w:t xml:space="preserve">de la comunidad de Francisco Serrato, municipio de Zitácuaro, Michoacán </w:t>
      </w:r>
      <w:bookmarkStart w:id="34" w:name="_Hlk234328408"/>
      <w:bookmarkEnd w:id="33"/>
      <w:r>
        <w:rPr>
          <w:rFonts w:ascii="Arial" w:hAnsi="Arial" w:cs="Arial"/>
          <w:i/>
          <w:iCs/>
          <w:sz w:val="22"/>
          <w:szCs w:val="22"/>
        </w:rPr>
        <w:t xml:space="preserve">demandaron la presunta omisión del Instituto Electoral de Michoacán de realizar una consulta indígena para que la población decidiera si estaba de acuerdo con ejercer el autogobierno y la administración directa de los recursos públicos. </w:t>
      </w:r>
    </w:p>
    <w:p w14:paraId="6EA7B912" w14:textId="77777777" w:rsidR="00E11D56" w:rsidRDefault="00000000">
      <w:pPr>
        <w:spacing w:before="240" w:after="240" w:line="360" w:lineRule="auto"/>
        <w:ind w:left="567" w:right="618"/>
        <w:jc w:val="both"/>
        <w:rPr>
          <w:rFonts w:ascii="Arial" w:hAnsi="Arial" w:cs="Arial"/>
          <w:i/>
          <w:iCs/>
          <w:sz w:val="22"/>
          <w:szCs w:val="22"/>
        </w:rPr>
      </w:pPr>
      <w:r>
        <w:rPr>
          <w:rFonts w:ascii="Arial" w:hAnsi="Arial" w:cs="Arial"/>
          <w:i/>
          <w:iCs/>
          <w:sz w:val="22"/>
          <w:szCs w:val="22"/>
        </w:rPr>
        <w:t>Desde la perspectiva de los actores, la omisión demandada vulneraba sus derechos a la consulta previa, libre e informada, a la autonomía, a la libre determinación, al autogobierno y a la participación política efectiva de los integrantes de la comunidad.</w:t>
      </w:r>
    </w:p>
    <w:p w14:paraId="3373CB6B" w14:textId="77777777" w:rsidR="00E11D56" w:rsidRDefault="00000000">
      <w:pPr>
        <w:spacing w:before="240" w:after="240" w:line="360" w:lineRule="auto"/>
        <w:ind w:left="567" w:right="618"/>
        <w:jc w:val="both"/>
        <w:rPr>
          <w:rFonts w:ascii="Arial" w:hAnsi="Arial" w:cs="Arial"/>
          <w:i/>
          <w:iCs/>
          <w:sz w:val="22"/>
          <w:szCs w:val="22"/>
        </w:rPr>
      </w:pPr>
      <w:r>
        <w:rPr>
          <w:rFonts w:ascii="Arial" w:hAnsi="Arial" w:cs="Arial"/>
          <w:i/>
          <w:iCs/>
          <w:sz w:val="22"/>
          <w:szCs w:val="22"/>
        </w:rPr>
        <w:t xml:space="preserve">Sin embargo, este Tribunal Electoral determinó, respecto de uno de los actores, tener por no presentado el escrito de demanda por carecer de firma autógrafa. Respecto del otro de los actores, concluyó que no se vulneraron los derechos invocados por este, porque el derecho al autogobierno no depende exclusivamente de la consulta organizada por el Instituto referido, sino que puede materializarse por otros mecanismos jurídicamente válidos, como en el caso aconteció. </w:t>
      </w:r>
    </w:p>
    <w:p w14:paraId="7C4FA6A7" w14:textId="77777777" w:rsidR="00E11D56" w:rsidRDefault="00000000">
      <w:pPr>
        <w:spacing w:before="240" w:after="240" w:line="360" w:lineRule="auto"/>
        <w:ind w:left="567" w:right="618"/>
        <w:jc w:val="both"/>
        <w:rPr>
          <w:rFonts w:ascii="Arial" w:hAnsi="Arial" w:cs="Arial"/>
          <w:i/>
          <w:iCs/>
          <w:sz w:val="22"/>
          <w:szCs w:val="22"/>
        </w:rPr>
      </w:pPr>
      <w:r>
        <w:rPr>
          <w:rFonts w:ascii="Arial" w:hAnsi="Arial" w:cs="Arial"/>
          <w:i/>
          <w:iCs/>
          <w:sz w:val="22"/>
          <w:szCs w:val="22"/>
        </w:rPr>
        <w:t>En el caso, quedó acreditado que el Ayuntamiento reconoció el derecho de la comunidad a ejercer el autogobierno y que, posteriormente, la propia Asamblea General eligió a su Concejo Comunal Indígena conforme a sus usos y costumbres e incluso se protocolizó el acta de Asamblea correspondiente, la cual fue publicada en el Periódico Oficial del Estado, el cinco de marzo de dos mil veinticinco, estimándose que la voluntad comunitaria fue expresada conforme a sus prácticas tradicionales, sin oposición del Ayuntamiento, por lo que</w:t>
      </w:r>
      <w:r w:rsidRPr="00F11E2B">
        <w:rPr>
          <w:rFonts w:ascii="Arial" w:hAnsi="Arial" w:cs="Arial"/>
          <w:i/>
          <w:iCs/>
          <w:sz w:val="22"/>
          <w:szCs w:val="22"/>
        </w:rPr>
        <w:t>, el Instituto acordó que el procedimiento de consulta quedó sin materia. Pues ya se había cumplido con la finalidad constitucional y convencional de la consulta y había desaparecido el objeto material de esta.</w:t>
      </w:r>
    </w:p>
    <w:p w14:paraId="16B94C42" w14:textId="77777777" w:rsidR="00E11D56" w:rsidRDefault="00000000">
      <w:pPr>
        <w:spacing w:before="240" w:after="240" w:line="360" w:lineRule="auto"/>
        <w:ind w:left="567" w:right="618"/>
        <w:jc w:val="both"/>
        <w:rPr>
          <w:rFonts w:ascii="Arial" w:hAnsi="Arial" w:cs="Arial"/>
          <w:i/>
          <w:iCs/>
          <w:sz w:val="22"/>
          <w:szCs w:val="22"/>
        </w:rPr>
      </w:pPr>
      <w:r>
        <w:rPr>
          <w:rFonts w:ascii="Arial" w:hAnsi="Arial" w:cs="Arial"/>
          <w:i/>
          <w:iCs/>
          <w:sz w:val="22"/>
          <w:szCs w:val="22"/>
        </w:rPr>
        <w:lastRenderedPageBreak/>
        <w:t xml:space="preserve">En ese sentido, se declaró </w:t>
      </w:r>
      <w:r>
        <w:rPr>
          <w:rFonts w:ascii="Arial" w:hAnsi="Arial" w:cs="Arial"/>
          <w:b/>
          <w:bCs/>
          <w:i/>
          <w:iCs/>
          <w:sz w:val="22"/>
          <w:szCs w:val="22"/>
        </w:rPr>
        <w:t>inexistente la omisión</w:t>
      </w:r>
      <w:r>
        <w:rPr>
          <w:rFonts w:ascii="Arial" w:hAnsi="Arial" w:cs="Arial"/>
          <w:i/>
          <w:iCs/>
          <w:sz w:val="22"/>
          <w:szCs w:val="22"/>
        </w:rPr>
        <w:t xml:space="preserve"> atribuida al Instituto Electoral de Michoacán”. </w:t>
      </w:r>
    </w:p>
    <w:bookmarkEnd w:id="34"/>
    <w:p w14:paraId="5DAF2F8E" w14:textId="77777777" w:rsidR="00E11D56" w:rsidRDefault="00000000">
      <w:pPr>
        <w:tabs>
          <w:tab w:val="right" w:pos="7655"/>
        </w:tabs>
        <w:spacing w:before="280" w:after="280" w:line="360" w:lineRule="auto"/>
        <w:jc w:val="both"/>
        <w:rPr>
          <w:rFonts w:ascii="Arial" w:eastAsia="Arial" w:hAnsi="Arial" w:cs="Arial"/>
          <w:bCs/>
          <w:sz w:val="24"/>
          <w:szCs w:val="24"/>
        </w:rPr>
      </w:pPr>
      <w:r>
        <w:rPr>
          <w:rFonts w:ascii="Arial" w:eastAsia="Arial" w:hAnsi="Arial" w:cs="Arial"/>
          <w:bCs/>
          <w:sz w:val="24"/>
          <w:szCs w:val="24"/>
        </w:rPr>
        <w:t>Por lo expuesto y fundado, se emiten los siguientes:</w:t>
      </w:r>
    </w:p>
    <w:p w14:paraId="24C0418A" w14:textId="77777777" w:rsidR="00E11D56" w:rsidRDefault="00000000">
      <w:pPr>
        <w:pStyle w:val="Ttulo2"/>
        <w:jc w:val="center"/>
        <w:rPr>
          <w:rFonts w:ascii="Arial" w:hAnsi="Arial" w:cs="Arial"/>
          <w:b/>
          <w:bCs/>
          <w:color w:val="auto"/>
          <w:sz w:val="24"/>
          <w:szCs w:val="24"/>
        </w:rPr>
      </w:pPr>
      <w:bookmarkStart w:id="35" w:name="_Toc234501849"/>
      <w:r>
        <w:rPr>
          <w:rFonts w:ascii="Arial" w:hAnsi="Arial" w:cs="Arial"/>
          <w:b/>
          <w:bCs/>
          <w:color w:val="auto"/>
          <w:sz w:val="24"/>
          <w:szCs w:val="24"/>
        </w:rPr>
        <w:t>X. RESOLUTIVOS</w:t>
      </w:r>
      <w:bookmarkEnd w:id="35"/>
    </w:p>
    <w:p w14:paraId="7E9F14A2" w14:textId="77777777" w:rsidR="00E11D56" w:rsidRDefault="00000000">
      <w:pPr>
        <w:tabs>
          <w:tab w:val="right" w:leader="hyphen" w:pos="7655"/>
        </w:tabs>
        <w:spacing w:before="100" w:beforeAutospacing="1" w:after="100" w:afterAutospacing="1" w:line="360" w:lineRule="auto"/>
        <w:jc w:val="both"/>
        <w:rPr>
          <w:rFonts w:ascii="Arial" w:hAnsi="Arial" w:cs="Arial"/>
          <w:b/>
          <w:sz w:val="24"/>
          <w:szCs w:val="24"/>
          <w:lang w:val="es-ES_tradnl"/>
        </w:rPr>
      </w:pPr>
      <w:r>
        <w:rPr>
          <w:rFonts w:ascii="Arial" w:eastAsia="Arial" w:hAnsi="Arial" w:cs="Arial"/>
          <w:b/>
          <w:bCs/>
          <w:sz w:val="24"/>
          <w:szCs w:val="24"/>
          <w:lang w:val="es-ES"/>
        </w:rPr>
        <w:t xml:space="preserve">PRIMERO. </w:t>
      </w:r>
      <w:r>
        <w:rPr>
          <w:rFonts w:ascii="Arial" w:hAnsi="Arial" w:cs="Arial"/>
          <w:sz w:val="24"/>
          <w:szCs w:val="24"/>
          <w:lang w:val="es-ES_tradnl"/>
        </w:rPr>
        <w:t xml:space="preserve">Se tiene por </w:t>
      </w:r>
      <w:r>
        <w:rPr>
          <w:rFonts w:ascii="Arial" w:hAnsi="Arial" w:cs="Arial"/>
          <w:b/>
          <w:bCs/>
          <w:sz w:val="24"/>
          <w:szCs w:val="24"/>
          <w:lang w:val="es-ES_tradnl"/>
        </w:rPr>
        <w:t xml:space="preserve">no </w:t>
      </w:r>
      <w:r w:rsidRPr="006A730F">
        <w:rPr>
          <w:rFonts w:ascii="Arial" w:hAnsi="Arial" w:cs="Arial"/>
          <w:b/>
          <w:bCs/>
          <w:sz w:val="24"/>
          <w:szCs w:val="24"/>
          <w:lang w:val="es-ES_tradnl"/>
        </w:rPr>
        <w:t>presentado</w:t>
      </w:r>
      <w:r w:rsidRPr="006A730F">
        <w:rPr>
          <w:rFonts w:ascii="Arial" w:hAnsi="Arial" w:cs="Arial"/>
          <w:b/>
          <w:sz w:val="24"/>
          <w:szCs w:val="24"/>
          <w:lang w:val="es-ES_tradnl"/>
        </w:rPr>
        <w:t xml:space="preserve"> </w:t>
      </w:r>
      <w:r w:rsidRPr="006A730F">
        <w:rPr>
          <w:rFonts w:ascii="Arial" w:hAnsi="Arial" w:cs="Arial"/>
          <w:bCs/>
          <w:sz w:val="24"/>
          <w:szCs w:val="24"/>
          <w:lang w:val="es-ES_tradnl"/>
        </w:rPr>
        <w:t>el medio de impugnación</w:t>
      </w:r>
      <w:r>
        <w:rPr>
          <w:rFonts w:ascii="Arial" w:hAnsi="Arial" w:cs="Arial"/>
          <w:bCs/>
          <w:sz w:val="24"/>
          <w:szCs w:val="24"/>
          <w:lang w:val="es-ES_tradnl"/>
        </w:rPr>
        <w:t xml:space="preserve"> respecto de Armando García Garduño, por carecer de firma autógrafa.</w:t>
      </w:r>
    </w:p>
    <w:p w14:paraId="37E79253" w14:textId="77777777" w:rsidR="00E11D56" w:rsidRDefault="00000000">
      <w:pPr>
        <w:tabs>
          <w:tab w:val="left" w:pos="5730"/>
        </w:tabs>
        <w:spacing w:before="100" w:beforeAutospacing="1" w:after="100" w:afterAutospacing="1" w:line="360" w:lineRule="auto"/>
        <w:jc w:val="both"/>
        <w:rPr>
          <w:rFonts w:ascii="Arial" w:eastAsia="Arial" w:hAnsi="Arial" w:cs="Arial"/>
          <w:sz w:val="24"/>
          <w:szCs w:val="24"/>
          <w:lang w:val="es-ES"/>
        </w:rPr>
      </w:pPr>
      <w:r>
        <w:rPr>
          <w:rFonts w:ascii="Arial" w:hAnsi="Arial" w:cs="Arial"/>
          <w:b/>
          <w:bCs/>
          <w:sz w:val="24"/>
          <w:szCs w:val="24"/>
        </w:rPr>
        <w:t xml:space="preserve">SEGUNDO. </w:t>
      </w:r>
      <w:r>
        <w:rPr>
          <w:rFonts w:ascii="Arial" w:eastAsia="Arial" w:hAnsi="Arial" w:cs="Arial"/>
          <w:sz w:val="24"/>
          <w:szCs w:val="24"/>
          <w:lang w:val="es-ES"/>
        </w:rPr>
        <w:t xml:space="preserve">Se declara </w:t>
      </w:r>
      <w:r>
        <w:rPr>
          <w:rFonts w:ascii="Arial" w:eastAsia="Arial" w:hAnsi="Arial" w:cs="Arial"/>
          <w:b/>
          <w:bCs/>
          <w:sz w:val="24"/>
          <w:szCs w:val="24"/>
          <w:lang w:val="es-ES"/>
        </w:rPr>
        <w:t>inexistente</w:t>
      </w:r>
      <w:r>
        <w:rPr>
          <w:rFonts w:ascii="Arial" w:eastAsia="Arial" w:hAnsi="Arial" w:cs="Arial"/>
          <w:sz w:val="24"/>
          <w:szCs w:val="24"/>
          <w:lang w:val="es-ES"/>
        </w:rPr>
        <w:t xml:space="preserve"> la omisión atribuida al Instituto Electoral de Michoacán.</w:t>
      </w:r>
    </w:p>
    <w:p w14:paraId="49E53D36" w14:textId="77777777" w:rsidR="00E11D56" w:rsidRDefault="00000000">
      <w:pPr>
        <w:spacing w:before="100" w:beforeAutospacing="1" w:after="100" w:afterAutospacing="1" w:line="360" w:lineRule="auto"/>
        <w:jc w:val="both"/>
        <w:rPr>
          <w:rFonts w:ascii="Arial" w:hAnsi="Arial" w:cs="Arial"/>
          <w:sz w:val="24"/>
          <w:szCs w:val="24"/>
        </w:rPr>
      </w:pPr>
      <w:r>
        <w:rPr>
          <w:rFonts w:ascii="Arial" w:hAnsi="Arial" w:cs="Arial"/>
          <w:b/>
          <w:bCs/>
          <w:sz w:val="24"/>
          <w:szCs w:val="24"/>
        </w:rPr>
        <w:t xml:space="preserve">TERCERO. </w:t>
      </w:r>
      <w:r>
        <w:rPr>
          <w:rFonts w:ascii="Arial" w:hAnsi="Arial" w:cs="Arial"/>
          <w:sz w:val="24"/>
          <w:szCs w:val="24"/>
        </w:rPr>
        <w:t xml:space="preserve">Se </w:t>
      </w:r>
      <w:r>
        <w:rPr>
          <w:rFonts w:ascii="Arial" w:hAnsi="Arial" w:cs="Arial"/>
          <w:b/>
          <w:sz w:val="24"/>
          <w:szCs w:val="24"/>
        </w:rPr>
        <w:t>instruye</w:t>
      </w:r>
      <w:r>
        <w:rPr>
          <w:rFonts w:ascii="Arial" w:hAnsi="Arial" w:cs="Arial"/>
          <w:sz w:val="24"/>
          <w:szCs w:val="24"/>
        </w:rPr>
        <w:t xml:space="preserve"> a la Secretaría General de Acuerdos de este Tribunal Electoral para que, de inmediato, certifique el resumen y los puntos resolutivos de esta sentencia y realice las gestiones ordenadas.</w:t>
      </w:r>
    </w:p>
    <w:p w14:paraId="7A6A3042" w14:textId="77777777" w:rsidR="00E11D56" w:rsidRDefault="00000000">
      <w:pPr>
        <w:spacing w:before="100" w:beforeAutospacing="1" w:after="100" w:afterAutospacing="1" w:line="360" w:lineRule="auto"/>
        <w:jc w:val="both"/>
        <w:rPr>
          <w:rFonts w:ascii="Arial" w:hAnsi="Arial" w:cs="Arial"/>
          <w:sz w:val="24"/>
          <w:szCs w:val="24"/>
        </w:rPr>
      </w:pPr>
      <w:r>
        <w:rPr>
          <w:rFonts w:ascii="Arial" w:hAnsi="Arial" w:cs="Arial"/>
          <w:b/>
          <w:sz w:val="24"/>
          <w:szCs w:val="24"/>
        </w:rPr>
        <w:t>CUARTO.</w:t>
      </w:r>
      <w:r>
        <w:rPr>
          <w:rFonts w:ascii="Arial" w:hAnsi="Arial" w:cs="Arial"/>
          <w:sz w:val="24"/>
          <w:szCs w:val="24"/>
        </w:rPr>
        <w:t xml:space="preserve"> Se </w:t>
      </w:r>
      <w:r>
        <w:rPr>
          <w:rFonts w:ascii="Arial" w:hAnsi="Arial" w:cs="Arial"/>
          <w:b/>
          <w:sz w:val="24"/>
          <w:szCs w:val="24"/>
        </w:rPr>
        <w:t xml:space="preserve">vincula </w:t>
      </w:r>
      <w:r>
        <w:rPr>
          <w:rFonts w:ascii="Arial" w:hAnsi="Arial" w:cs="Arial"/>
          <w:sz w:val="24"/>
          <w:szCs w:val="24"/>
        </w:rPr>
        <w:t xml:space="preserve">al Sistema Michoacano de Radio y Televisión y al Ayuntamiento de Zitácuaro, Michoacán, para que, una vez notificado el resumen oficial y los puntos resolutivos, efectúen lo ordenado en la presente sentencia. </w:t>
      </w:r>
    </w:p>
    <w:p w14:paraId="56CA468A" w14:textId="77777777" w:rsidR="00E11D56" w:rsidRDefault="00000000">
      <w:pPr>
        <w:tabs>
          <w:tab w:val="left" w:pos="5730"/>
        </w:tabs>
        <w:spacing w:line="360" w:lineRule="auto"/>
        <w:jc w:val="both"/>
        <w:rPr>
          <w:rFonts w:ascii="Arial" w:hAnsi="Arial" w:cs="Arial"/>
          <w:sz w:val="24"/>
          <w:szCs w:val="24"/>
        </w:rPr>
      </w:pPr>
      <w:r>
        <w:rPr>
          <w:rFonts w:ascii="Arial" w:hAnsi="Arial" w:cs="Arial"/>
          <w:b/>
          <w:bCs/>
          <w:sz w:val="24"/>
          <w:szCs w:val="24"/>
        </w:rPr>
        <w:t>Notifíquese. Personalmente por correo electrónico</w:t>
      </w:r>
      <w:r>
        <w:rPr>
          <w:rFonts w:ascii="Arial" w:hAnsi="Arial" w:cs="Arial"/>
          <w:sz w:val="24"/>
          <w:szCs w:val="24"/>
        </w:rPr>
        <w:t xml:space="preserve">, a los actores; </w:t>
      </w:r>
      <w:r>
        <w:rPr>
          <w:rFonts w:ascii="Arial" w:hAnsi="Arial" w:cs="Arial"/>
          <w:b/>
          <w:sz w:val="24"/>
          <w:szCs w:val="24"/>
        </w:rPr>
        <w:t>por oficio</w:t>
      </w:r>
      <w:r>
        <w:rPr>
          <w:rFonts w:ascii="Arial" w:hAnsi="Arial" w:cs="Arial"/>
          <w:sz w:val="24"/>
          <w:szCs w:val="24"/>
        </w:rPr>
        <w:t xml:space="preserve"> a la autoridad responsable; y, </w:t>
      </w:r>
      <w:r>
        <w:rPr>
          <w:rFonts w:ascii="Arial" w:hAnsi="Arial" w:cs="Arial"/>
          <w:b/>
          <w:sz w:val="24"/>
          <w:szCs w:val="24"/>
        </w:rPr>
        <w:t>por estrados</w:t>
      </w:r>
      <w:r>
        <w:rPr>
          <w:rFonts w:ascii="Arial" w:hAnsi="Arial" w:cs="Arial"/>
          <w:sz w:val="24"/>
          <w:szCs w:val="24"/>
        </w:rPr>
        <w:t xml:space="preserve"> a los demás interesados. Lo anterior, de conformidad con lo dispuesto en los artículos 37, fracciones I, II y III, 38 y 39 de la Ley de Justicia en Materia Electoral y de Participación Ciudadana del Estado de Michoacán de Ocampo, así como 137, 139, 140 y 142 Reglamento Interior del Tribunal Electoral del Estado, </w:t>
      </w:r>
      <w:r>
        <w:rPr>
          <w:rFonts w:ascii="Arial" w:hAnsi="Arial" w:cs="Arial"/>
          <w:bCs/>
          <w:sz w:val="24"/>
          <w:szCs w:val="24"/>
        </w:rPr>
        <w:t>así como los artículos 32 y 35 de los LINEAMIENTOS DEL TRIBUNAL ELECTORAL DEL ESTADO DE MICHOACÁN PARA EL USO DE TECNOLOGÍAS DE LA INFORMACIÓN Y COMUNICACIÓN EN LAS SESIONES, REUNIONES, RECEPCIÓN DE MEDIOS DE IMPUGNACIÓN Y PROCEDIMIENTOS, PROMOCIONES Y NOTIFICACIONES</w:t>
      </w:r>
      <w:r>
        <w:rPr>
          <w:rFonts w:ascii="Arial" w:hAnsi="Arial" w:cs="Arial"/>
          <w:sz w:val="24"/>
          <w:szCs w:val="24"/>
        </w:rPr>
        <w:t>.</w:t>
      </w:r>
    </w:p>
    <w:p w14:paraId="290111FF" w14:textId="77777777" w:rsidR="00E11D56" w:rsidRDefault="00000000">
      <w:pPr>
        <w:tabs>
          <w:tab w:val="left" w:pos="5730"/>
        </w:tabs>
        <w:spacing w:before="100" w:beforeAutospacing="1" w:after="100" w:afterAutospacing="1" w:line="360" w:lineRule="auto"/>
        <w:jc w:val="both"/>
        <w:rPr>
          <w:rFonts w:ascii="Arial" w:hAnsi="Arial" w:cs="Arial"/>
          <w:sz w:val="24"/>
          <w:szCs w:val="24"/>
        </w:rPr>
      </w:pPr>
      <w:r>
        <w:rPr>
          <w:rFonts w:ascii="Arial" w:hAnsi="Arial" w:cs="Arial"/>
          <w:sz w:val="24"/>
          <w:szCs w:val="24"/>
        </w:rPr>
        <w:t>En su oportunidad, archívese este expediente como asunto total y definitivamente concluido.</w:t>
      </w:r>
    </w:p>
    <w:p w14:paraId="39D4357D" w14:textId="2C2F3889" w:rsidR="00E11D56" w:rsidRPr="001C2B43" w:rsidRDefault="001C2B43" w:rsidP="001C2B43">
      <w:pPr>
        <w:spacing w:after="0" w:line="360" w:lineRule="auto"/>
        <w:contextualSpacing/>
        <w:jc w:val="both"/>
        <w:textAlignment w:val="baseline"/>
        <w:rPr>
          <w:rFonts w:ascii="Arial" w:eastAsia="Times New Roman" w:hAnsi="Arial" w:cs="Arial"/>
          <w:b/>
          <w:bCs/>
          <w:sz w:val="24"/>
          <w:szCs w:val="24"/>
          <w:lang w:eastAsia="es-MX"/>
        </w:rPr>
      </w:pPr>
      <w:r w:rsidRPr="00923855">
        <w:rPr>
          <w:rFonts w:ascii="Arial" w:eastAsia="Times New Roman" w:hAnsi="Arial" w:cs="Arial"/>
          <w:sz w:val="24"/>
          <w:szCs w:val="24"/>
          <w:lang w:eastAsia="es-MX"/>
        </w:rPr>
        <w:t xml:space="preserve">Así, en sesión pública </w:t>
      </w:r>
      <w:r>
        <w:rPr>
          <w:rFonts w:ascii="Arial" w:eastAsia="Times New Roman" w:hAnsi="Arial" w:cs="Arial"/>
          <w:sz w:val="24"/>
          <w:szCs w:val="24"/>
          <w:lang w:eastAsia="es-MX"/>
        </w:rPr>
        <w:t>virtual celebrada el día de hoy</w:t>
      </w:r>
      <w:r w:rsidRPr="00923855">
        <w:rPr>
          <w:rFonts w:ascii="Arial" w:eastAsia="Times New Roman" w:hAnsi="Arial" w:cs="Arial"/>
          <w:sz w:val="24"/>
          <w:szCs w:val="24"/>
          <w:lang w:eastAsia="es-MX"/>
        </w:rPr>
        <w:t xml:space="preserve">, a </w:t>
      </w:r>
      <w:r>
        <w:rPr>
          <w:rFonts w:ascii="Arial" w:eastAsia="Times New Roman" w:hAnsi="Arial" w:cs="Arial"/>
          <w:sz w:val="24"/>
          <w:szCs w:val="24"/>
          <w:lang w:eastAsia="es-MX"/>
        </w:rPr>
        <w:t>las quince</w:t>
      </w:r>
      <w:r w:rsidRPr="00923855">
        <w:rPr>
          <w:rFonts w:ascii="Arial" w:eastAsia="Times New Roman" w:hAnsi="Arial" w:cs="Arial"/>
          <w:sz w:val="24"/>
          <w:szCs w:val="24"/>
          <w:lang w:eastAsia="es-MX"/>
        </w:rPr>
        <w:t xml:space="preserve"> horas con </w:t>
      </w:r>
      <w:r>
        <w:rPr>
          <w:rFonts w:ascii="Arial" w:eastAsia="Times New Roman" w:hAnsi="Arial" w:cs="Arial"/>
          <w:sz w:val="24"/>
          <w:szCs w:val="24"/>
          <w:lang w:eastAsia="es-MX"/>
        </w:rPr>
        <w:t>cincuenta y seis</w:t>
      </w:r>
      <w:r w:rsidRPr="00923855">
        <w:rPr>
          <w:rFonts w:ascii="Arial" w:eastAsia="Times New Roman" w:hAnsi="Arial" w:cs="Arial"/>
          <w:sz w:val="24"/>
          <w:szCs w:val="24"/>
          <w:lang w:eastAsia="es-MX"/>
        </w:rPr>
        <w:t xml:space="preserve"> minutos, por </w:t>
      </w:r>
      <w:r>
        <w:rPr>
          <w:rFonts w:ascii="Arial" w:eastAsia="Times New Roman" w:hAnsi="Arial" w:cs="Arial"/>
          <w:sz w:val="24"/>
          <w:szCs w:val="24"/>
          <w:lang w:eastAsia="es-MX"/>
        </w:rPr>
        <w:t xml:space="preserve">unanimidad </w:t>
      </w:r>
      <w:r w:rsidRPr="00923855">
        <w:rPr>
          <w:rFonts w:ascii="Arial" w:eastAsia="Times New Roman" w:hAnsi="Arial" w:cs="Arial"/>
          <w:sz w:val="24"/>
          <w:szCs w:val="24"/>
          <w:lang w:eastAsia="es-MX"/>
        </w:rPr>
        <w:t xml:space="preserve">de votos, lo resolvieron y </w:t>
      </w:r>
      <w:r>
        <w:rPr>
          <w:rFonts w:ascii="Arial" w:eastAsia="Times New Roman" w:hAnsi="Arial" w:cs="Arial"/>
          <w:sz w:val="24"/>
          <w:szCs w:val="24"/>
          <w:lang w:eastAsia="es-MX"/>
        </w:rPr>
        <w:t>firman las Magistraturas</w:t>
      </w:r>
      <w:r w:rsidRPr="00923855">
        <w:rPr>
          <w:rFonts w:ascii="Arial" w:eastAsia="Times New Roman" w:hAnsi="Arial" w:cs="Arial"/>
          <w:sz w:val="24"/>
          <w:szCs w:val="24"/>
          <w:lang w:eastAsia="es-MX"/>
        </w:rPr>
        <w:t xml:space="preserve"> </w:t>
      </w:r>
      <w:r>
        <w:rPr>
          <w:rFonts w:ascii="Arial" w:eastAsia="Times New Roman" w:hAnsi="Arial" w:cs="Arial"/>
          <w:sz w:val="24"/>
          <w:szCs w:val="24"/>
          <w:lang w:eastAsia="es-MX"/>
        </w:rPr>
        <w:t>I</w:t>
      </w:r>
      <w:r w:rsidRPr="00923855">
        <w:rPr>
          <w:rFonts w:ascii="Arial" w:eastAsia="Times New Roman" w:hAnsi="Arial" w:cs="Arial"/>
          <w:sz w:val="24"/>
          <w:szCs w:val="24"/>
          <w:lang w:eastAsia="es-MX"/>
        </w:rPr>
        <w:t xml:space="preserve">ntegrantes del Pleno del Tribunal Electoral del Estado, </w:t>
      </w:r>
      <w:r>
        <w:rPr>
          <w:rFonts w:ascii="Arial" w:eastAsia="Times New Roman" w:hAnsi="Arial" w:cs="Arial"/>
          <w:sz w:val="24"/>
          <w:szCs w:val="24"/>
          <w:lang w:eastAsia="es-MX"/>
        </w:rPr>
        <w:t xml:space="preserve">la </w:t>
      </w:r>
      <w:r w:rsidRPr="00923855">
        <w:rPr>
          <w:rFonts w:ascii="Arial" w:eastAsia="Times New Roman" w:hAnsi="Arial" w:cs="Arial"/>
          <w:sz w:val="24"/>
          <w:szCs w:val="24"/>
          <w:lang w:eastAsia="es-MX"/>
        </w:rPr>
        <w:t xml:space="preserve">Magistrada Presidenta </w:t>
      </w:r>
      <w:proofErr w:type="spellStart"/>
      <w:r w:rsidRPr="00923855">
        <w:rPr>
          <w:rFonts w:ascii="Arial" w:eastAsia="Times New Roman" w:hAnsi="Arial" w:cs="Arial"/>
          <w:sz w:val="24"/>
          <w:szCs w:val="24"/>
          <w:lang w:eastAsia="es-MX"/>
        </w:rPr>
        <w:t>Amelí</w:t>
      </w:r>
      <w:proofErr w:type="spellEnd"/>
      <w:r w:rsidRPr="00923855">
        <w:rPr>
          <w:rFonts w:ascii="Arial" w:eastAsia="Times New Roman" w:hAnsi="Arial" w:cs="Arial"/>
          <w:sz w:val="24"/>
          <w:szCs w:val="24"/>
          <w:lang w:eastAsia="es-MX"/>
        </w:rPr>
        <w:t xml:space="preserve"> Gissel Navarro Lepe</w:t>
      </w:r>
      <w:r>
        <w:rPr>
          <w:rFonts w:ascii="Arial" w:eastAsia="Times New Roman" w:hAnsi="Arial" w:cs="Arial"/>
          <w:sz w:val="24"/>
          <w:szCs w:val="24"/>
          <w:lang w:eastAsia="es-MX"/>
        </w:rPr>
        <w:t xml:space="preserve">, las </w:t>
      </w:r>
      <w:r w:rsidRPr="00923855">
        <w:rPr>
          <w:rFonts w:ascii="Arial" w:eastAsia="Times New Roman" w:hAnsi="Arial" w:cs="Arial"/>
          <w:sz w:val="24"/>
          <w:szCs w:val="24"/>
          <w:lang w:eastAsia="es-MX"/>
        </w:rPr>
        <w:t xml:space="preserve">Magistradas </w:t>
      </w:r>
      <w:proofErr w:type="spellStart"/>
      <w:r w:rsidRPr="00923855">
        <w:rPr>
          <w:rFonts w:ascii="Arial" w:eastAsia="Times New Roman" w:hAnsi="Arial" w:cs="Arial"/>
          <w:sz w:val="24"/>
          <w:szCs w:val="24"/>
          <w:lang w:eastAsia="es-MX"/>
        </w:rPr>
        <w:t>Yurisha</w:t>
      </w:r>
      <w:proofErr w:type="spellEnd"/>
      <w:r w:rsidRPr="00923855">
        <w:rPr>
          <w:rFonts w:ascii="Arial" w:eastAsia="Times New Roman" w:hAnsi="Arial" w:cs="Arial"/>
          <w:sz w:val="24"/>
          <w:szCs w:val="24"/>
          <w:lang w:eastAsia="es-MX"/>
        </w:rPr>
        <w:t xml:space="preserve"> Andrade Morales, Alma Rosa Bahena Villalobos</w:t>
      </w:r>
      <w:r>
        <w:rPr>
          <w:rFonts w:ascii="Arial" w:eastAsia="Times New Roman" w:hAnsi="Arial" w:cs="Arial"/>
          <w:sz w:val="24"/>
          <w:szCs w:val="24"/>
          <w:lang w:eastAsia="es-MX"/>
        </w:rPr>
        <w:t xml:space="preserve"> –</w:t>
      </w:r>
      <w:r w:rsidRPr="00923855">
        <w:rPr>
          <w:rFonts w:ascii="Arial" w:eastAsia="Times New Roman" w:hAnsi="Arial" w:cs="Arial"/>
          <w:i/>
          <w:iCs/>
          <w:sz w:val="24"/>
          <w:szCs w:val="24"/>
          <w:lang w:eastAsia="es-MX"/>
        </w:rPr>
        <w:t>quien fue ponente</w:t>
      </w:r>
      <w:r>
        <w:rPr>
          <w:rFonts w:ascii="Arial" w:eastAsia="Times New Roman" w:hAnsi="Arial" w:cs="Arial"/>
          <w:sz w:val="24"/>
          <w:szCs w:val="24"/>
          <w:lang w:eastAsia="es-MX"/>
        </w:rPr>
        <w:t xml:space="preserve">–, así como </w:t>
      </w:r>
      <w:r>
        <w:rPr>
          <w:rFonts w:ascii="Arial" w:eastAsia="Times New Roman" w:hAnsi="Arial" w:cs="Arial"/>
          <w:sz w:val="24"/>
          <w:szCs w:val="24"/>
          <w:lang w:eastAsia="es-MX"/>
        </w:rPr>
        <w:lastRenderedPageBreak/>
        <w:t>los</w:t>
      </w:r>
      <w:r w:rsidRPr="00923855">
        <w:rPr>
          <w:rFonts w:ascii="Arial" w:eastAsia="Times New Roman" w:hAnsi="Arial" w:cs="Arial"/>
          <w:sz w:val="24"/>
          <w:szCs w:val="24"/>
          <w:lang w:eastAsia="es-MX"/>
        </w:rPr>
        <w:t xml:space="preserve"> Magistrados Adrián Hernández Pinedo y Eric López Villaseñor</w:t>
      </w:r>
      <w:r>
        <w:rPr>
          <w:rFonts w:ascii="Arial" w:eastAsia="Times New Roman" w:hAnsi="Arial" w:cs="Arial"/>
          <w:sz w:val="24"/>
          <w:szCs w:val="24"/>
          <w:lang w:eastAsia="es-MX"/>
        </w:rPr>
        <w:t xml:space="preserve">, </w:t>
      </w:r>
      <w:r w:rsidRPr="00923855">
        <w:rPr>
          <w:rFonts w:ascii="Arial" w:eastAsia="Times New Roman" w:hAnsi="Arial" w:cs="Arial"/>
          <w:sz w:val="24"/>
          <w:szCs w:val="24"/>
          <w:lang w:eastAsia="es-MX"/>
        </w:rPr>
        <w:t xml:space="preserve">ante el </w:t>
      </w:r>
      <w:r>
        <w:rPr>
          <w:rFonts w:ascii="Arial" w:eastAsia="Times New Roman" w:hAnsi="Arial" w:cs="Arial"/>
          <w:sz w:val="24"/>
          <w:szCs w:val="24"/>
          <w:lang w:eastAsia="es-MX"/>
        </w:rPr>
        <w:t>Secretario</w:t>
      </w:r>
      <w:r w:rsidRPr="00923855">
        <w:rPr>
          <w:rFonts w:ascii="Arial" w:eastAsia="Times New Roman" w:hAnsi="Arial" w:cs="Arial"/>
          <w:sz w:val="24"/>
          <w:szCs w:val="24"/>
          <w:lang w:eastAsia="es-MX"/>
        </w:rPr>
        <w:t xml:space="preserve"> General de Acuerdos, </w:t>
      </w:r>
      <w:r>
        <w:rPr>
          <w:rFonts w:ascii="Arial" w:eastAsia="Times New Roman" w:hAnsi="Arial" w:cs="Arial"/>
          <w:sz w:val="24"/>
          <w:szCs w:val="24"/>
          <w:lang w:eastAsia="es-MX"/>
        </w:rPr>
        <w:t>Víctor Hugo Arroyo Sandoval,</w:t>
      </w:r>
      <w:r w:rsidRPr="00923855">
        <w:rPr>
          <w:rFonts w:ascii="Arial" w:eastAsia="Times New Roman" w:hAnsi="Arial" w:cs="Arial"/>
          <w:sz w:val="24"/>
          <w:szCs w:val="24"/>
          <w:lang w:eastAsia="es-MX"/>
        </w:rPr>
        <w:t xml:space="preserve"> quien autoriza y </w:t>
      </w:r>
      <w:r w:rsidRPr="00577EBD">
        <w:rPr>
          <w:rFonts w:ascii="Arial" w:eastAsia="Times New Roman" w:hAnsi="Arial" w:cs="Arial"/>
          <w:b/>
          <w:bCs/>
          <w:sz w:val="24"/>
          <w:szCs w:val="24"/>
          <w:lang w:eastAsia="es-MX"/>
        </w:rPr>
        <w:t>da fe.</w:t>
      </w:r>
    </w:p>
    <w:tbl>
      <w:tblPr>
        <w:tblW w:w="8364" w:type="dxa"/>
        <w:tblLayout w:type="fixed"/>
        <w:tblLook w:val="0400" w:firstRow="0" w:lastRow="0" w:firstColumn="0" w:lastColumn="0" w:noHBand="0" w:noVBand="1"/>
      </w:tblPr>
      <w:tblGrid>
        <w:gridCol w:w="3960"/>
        <w:gridCol w:w="4404"/>
      </w:tblGrid>
      <w:tr w:rsidR="001C2B43" w:rsidRPr="00436091" w14:paraId="0318BF4A" w14:textId="77777777" w:rsidTr="00153241">
        <w:trPr>
          <w:trHeight w:val="2053"/>
        </w:trPr>
        <w:tc>
          <w:tcPr>
            <w:tcW w:w="8364" w:type="dxa"/>
            <w:gridSpan w:val="2"/>
          </w:tcPr>
          <w:p w14:paraId="57D23B42" w14:textId="77777777" w:rsidR="001C2B43" w:rsidRDefault="001C2B43" w:rsidP="00153241">
            <w:pPr>
              <w:pStyle w:val="Normal0"/>
              <w:spacing w:after="0" w:line="240" w:lineRule="auto"/>
              <w:jc w:val="center"/>
              <w:rPr>
                <w:rFonts w:ascii="Arial" w:eastAsia="Arial" w:hAnsi="Arial" w:cs="Arial"/>
                <w:b/>
                <w:sz w:val="24"/>
                <w:szCs w:val="24"/>
                <w:lang w:val="pt-PT"/>
              </w:rPr>
            </w:pPr>
          </w:p>
          <w:p w14:paraId="373831C3" w14:textId="77777777" w:rsidR="001C2B43" w:rsidRDefault="001C2B43" w:rsidP="00153241">
            <w:pPr>
              <w:pStyle w:val="Normal0"/>
              <w:spacing w:after="0" w:line="240" w:lineRule="auto"/>
              <w:jc w:val="center"/>
              <w:rPr>
                <w:rFonts w:ascii="Arial" w:eastAsia="Arial" w:hAnsi="Arial" w:cs="Arial"/>
                <w:b/>
                <w:sz w:val="24"/>
                <w:szCs w:val="24"/>
                <w:lang w:val="pt-PT"/>
              </w:rPr>
            </w:pPr>
            <w:r w:rsidRPr="00131F73">
              <w:rPr>
                <w:rFonts w:ascii="Arial" w:eastAsia="Arial" w:hAnsi="Arial" w:cs="Arial"/>
                <w:b/>
                <w:sz w:val="24"/>
                <w:szCs w:val="24"/>
                <w:lang w:val="pt-PT"/>
              </w:rPr>
              <w:t>MAGISTRADA PRESIDENTA</w:t>
            </w:r>
          </w:p>
          <w:p w14:paraId="01D9D711" w14:textId="77777777" w:rsidR="001C2B43" w:rsidRDefault="001C2B43" w:rsidP="00153241">
            <w:pPr>
              <w:pStyle w:val="Normal0"/>
              <w:spacing w:after="0" w:line="240" w:lineRule="auto"/>
              <w:jc w:val="center"/>
              <w:rPr>
                <w:rFonts w:ascii="Arial" w:eastAsia="Arial" w:hAnsi="Arial" w:cs="Arial"/>
                <w:b/>
                <w:sz w:val="24"/>
                <w:szCs w:val="24"/>
                <w:lang w:val="pt-PT"/>
              </w:rPr>
            </w:pPr>
          </w:p>
          <w:p w14:paraId="1D1C56C2" w14:textId="77777777" w:rsidR="001C2B43" w:rsidRDefault="001C2B43" w:rsidP="00153241">
            <w:pPr>
              <w:pStyle w:val="Normal0"/>
              <w:spacing w:after="0" w:line="240" w:lineRule="auto"/>
              <w:jc w:val="center"/>
              <w:rPr>
                <w:rFonts w:ascii="Arial" w:eastAsia="Arial" w:hAnsi="Arial" w:cs="Arial"/>
                <w:b/>
                <w:sz w:val="24"/>
                <w:szCs w:val="24"/>
                <w:lang w:val="pt-PT"/>
              </w:rPr>
            </w:pPr>
          </w:p>
          <w:p w14:paraId="014C7DCA" w14:textId="77777777" w:rsidR="0008628A" w:rsidRDefault="0008628A" w:rsidP="00153241">
            <w:pPr>
              <w:pStyle w:val="Normal0"/>
              <w:spacing w:after="0" w:line="240" w:lineRule="auto"/>
              <w:jc w:val="center"/>
              <w:rPr>
                <w:rFonts w:ascii="Arial" w:eastAsia="Arial" w:hAnsi="Arial" w:cs="Arial"/>
                <w:b/>
                <w:sz w:val="24"/>
                <w:szCs w:val="24"/>
                <w:lang w:val="pt-PT"/>
              </w:rPr>
            </w:pPr>
          </w:p>
          <w:p w14:paraId="63391111" w14:textId="77777777" w:rsidR="001C2B43" w:rsidRPr="00131F73" w:rsidRDefault="001C2B43" w:rsidP="00153241">
            <w:pPr>
              <w:pStyle w:val="Normal0"/>
              <w:spacing w:after="0" w:line="240" w:lineRule="auto"/>
              <w:jc w:val="center"/>
              <w:rPr>
                <w:rFonts w:ascii="Arial" w:eastAsia="Arial" w:hAnsi="Arial" w:cs="Arial"/>
                <w:b/>
                <w:sz w:val="24"/>
                <w:szCs w:val="24"/>
                <w:lang w:val="pt-PT"/>
              </w:rPr>
            </w:pPr>
          </w:p>
          <w:p w14:paraId="1F5099B0" w14:textId="77777777" w:rsidR="001C2B43" w:rsidRDefault="001C2B43" w:rsidP="00153241">
            <w:pPr>
              <w:pStyle w:val="Normal0"/>
              <w:spacing w:after="0" w:line="240" w:lineRule="auto"/>
              <w:jc w:val="center"/>
              <w:rPr>
                <w:rFonts w:ascii="Arial" w:eastAsia="Arial" w:hAnsi="Arial" w:cs="Arial"/>
                <w:b/>
                <w:sz w:val="24"/>
                <w:szCs w:val="24"/>
                <w:lang w:val="pt-PT"/>
              </w:rPr>
            </w:pPr>
            <w:r w:rsidRPr="00131F73">
              <w:rPr>
                <w:rFonts w:ascii="Arial" w:eastAsia="Arial" w:hAnsi="Arial" w:cs="Arial"/>
                <w:b/>
                <w:sz w:val="24"/>
                <w:szCs w:val="24"/>
                <w:lang w:val="pt-PT"/>
              </w:rPr>
              <w:t>AMELÍ GISSEL NAVARRO LEPE</w:t>
            </w:r>
          </w:p>
          <w:p w14:paraId="7224A69D" w14:textId="77777777" w:rsidR="001C2B43" w:rsidRPr="00131F73" w:rsidRDefault="001C2B43" w:rsidP="00153241">
            <w:pPr>
              <w:pStyle w:val="Normal0"/>
              <w:spacing w:after="0" w:line="240" w:lineRule="auto"/>
              <w:jc w:val="center"/>
              <w:rPr>
                <w:rFonts w:ascii="Arial" w:eastAsia="Arial" w:hAnsi="Arial" w:cs="Arial"/>
                <w:b/>
                <w:sz w:val="24"/>
                <w:szCs w:val="24"/>
                <w:lang w:val="pt-PT"/>
              </w:rPr>
            </w:pPr>
          </w:p>
        </w:tc>
      </w:tr>
      <w:tr w:rsidR="001C2B43" w:rsidRPr="00131F73" w14:paraId="28BC63AE" w14:textId="77777777" w:rsidTr="00153241">
        <w:trPr>
          <w:trHeight w:val="1968"/>
        </w:trPr>
        <w:tc>
          <w:tcPr>
            <w:tcW w:w="3960" w:type="dxa"/>
          </w:tcPr>
          <w:p w14:paraId="676F1CDF" w14:textId="77777777" w:rsidR="001C2B43" w:rsidRDefault="001C2B43" w:rsidP="00153241">
            <w:pPr>
              <w:pStyle w:val="Normal0"/>
              <w:spacing w:after="0" w:line="240" w:lineRule="auto"/>
              <w:jc w:val="center"/>
              <w:rPr>
                <w:rFonts w:ascii="Arial" w:eastAsia="Arial" w:hAnsi="Arial" w:cs="Arial"/>
                <w:b/>
                <w:sz w:val="24"/>
                <w:szCs w:val="24"/>
              </w:rPr>
            </w:pPr>
          </w:p>
          <w:p w14:paraId="2CB3908D" w14:textId="77777777" w:rsidR="001C2B43" w:rsidRDefault="001C2B43" w:rsidP="00153241">
            <w:pPr>
              <w:pStyle w:val="Normal0"/>
              <w:spacing w:after="0" w:line="240" w:lineRule="auto"/>
              <w:jc w:val="center"/>
              <w:rPr>
                <w:rFonts w:ascii="Arial" w:eastAsia="Arial" w:hAnsi="Arial" w:cs="Arial"/>
                <w:b/>
                <w:sz w:val="24"/>
                <w:szCs w:val="24"/>
              </w:rPr>
            </w:pPr>
            <w:r w:rsidRPr="00131F73">
              <w:rPr>
                <w:rFonts w:ascii="Arial" w:eastAsia="Arial" w:hAnsi="Arial" w:cs="Arial"/>
                <w:b/>
                <w:sz w:val="24"/>
                <w:szCs w:val="24"/>
              </w:rPr>
              <w:t>MAGISTRADA</w:t>
            </w:r>
          </w:p>
          <w:p w14:paraId="7FBD2D29" w14:textId="77777777" w:rsidR="001C2B43" w:rsidRDefault="001C2B43" w:rsidP="00153241">
            <w:pPr>
              <w:pStyle w:val="Normal0"/>
              <w:spacing w:after="0" w:line="240" w:lineRule="auto"/>
              <w:jc w:val="center"/>
              <w:rPr>
                <w:rFonts w:ascii="Arial" w:eastAsia="Arial" w:hAnsi="Arial" w:cs="Arial"/>
                <w:b/>
                <w:sz w:val="24"/>
                <w:szCs w:val="24"/>
              </w:rPr>
            </w:pPr>
          </w:p>
          <w:p w14:paraId="177A8A17" w14:textId="77777777" w:rsidR="001C2B43" w:rsidRDefault="001C2B43" w:rsidP="00153241">
            <w:pPr>
              <w:pStyle w:val="Normal0"/>
              <w:spacing w:after="0" w:line="240" w:lineRule="auto"/>
              <w:jc w:val="center"/>
              <w:rPr>
                <w:rFonts w:ascii="Arial" w:eastAsia="Arial" w:hAnsi="Arial" w:cs="Arial"/>
                <w:b/>
                <w:sz w:val="24"/>
                <w:szCs w:val="24"/>
              </w:rPr>
            </w:pPr>
          </w:p>
          <w:p w14:paraId="18AC60B9" w14:textId="77777777" w:rsidR="0008628A" w:rsidRDefault="0008628A" w:rsidP="00153241">
            <w:pPr>
              <w:pStyle w:val="Normal0"/>
              <w:spacing w:after="0" w:line="240" w:lineRule="auto"/>
              <w:jc w:val="center"/>
              <w:rPr>
                <w:rFonts w:ascii="Arial" w:eastAsia="Arial" w:hAnsi="Arial" w:cs="Arial"/>
                <w:b/>
                <w:sz w:val="24"/>
                <w:szCs w:val="24"/>
              </w:rPr>
            </w:pPr>
          </w:p>
          <w:p w14:paraId="53104223" w14:textId="77777777" w:rsidR="001C2B43" w:rsidRDefault="001C2B43" w:rsidP="00153241">
            <w:pPr>
              <w:pStyle w:val="Normal0"/>
              <w:spacing w:after="0" w:line="240" w:lineRule="auto"/>
              <w:jc w:val="center"/>
              <w:rPr>
                <w:rFonts w:ascii="Arial" w:eastAsia="Arial" w:hAnsi="Arial" w:cs="Arial"/>
                <w:b/>
                <w:sz w:val="24"/>
                <w:szCs w:val="24"/>
              </w:rPr>
            </w:pPr>
          </w:p>
          <w:p w14:paraId="31C611E1" w14:textId="77777777" w:rsidR="001C2B43" w:rsidRDefault="001C2B43" w:rsidP="00153241">
            <w:pPr>
              <w:pStyle w:val="Normal0"/>
              <w:spacing w:after="0" w:line="240" w:lineRule="auto"/>
              <w:jc w:val="center"/>
              <w:rPr>
                <w:rFonts w:ascii="Arial" w:eastAsia="Arial" w:hAnsi="Arial" w:cs="Arial"/>
                <w:b/>
                <w:sz w:val="24"/>
                <w:szCs w:val="24"/>
              </w:rPr>
            </w:pPr>
            <w:r w:rsidRPr="00131F73">
              <w:rPr>
                <w:rFonts w:ascii="Arial" w:eastAsia="Arial" w:hAnsi="Arial" w:cs="Arial"/>
                <w:b/>
                <w:sz w:val="24"/>
                <w:szCs w:val="24"/>
              </w:rPr>
              <w:t>YURISHA ANDRADE MORALES</w:t>
            </w:r>
          </w:p>
          <w:p w14:paraId="16A8C46D" w14:textId="77777777" w:rsidR="001C2B43" w:rsidRPr="00131F73" w:rsidRDefault="001C2B43" w:rsidP="00153241">
            <w:pPr>
              <w:pStyle w:val="Normal0"/>
              <w:spacing w:after="0" w:line="240" w:lineRule="auto"/>
              <w:jc w:val="center"/>
              <w:rPr>
                <w:rFonts w:ascii="Arial" w:eastAsia="Arial" w:hAnsi="Arial" w:cs="Arial"/>
                <w:b/>
                <w:sz w:val="24"/>
                <w:szCs w:val="24"/>
              </w:rPr>
            </w:pPr>
          </w:p>
        </w:tc>
        <w:tc>
          <w:tcPr>
            <w:tcW w:w="4404" w:type="dxa"/>
          </w:tcPr>
          <w:p w14:paraId="63843B59" w14:textId="77777777" w:rsidR="001C2B43" w:rsidRDefault="001C2B43" w:rsidP="00153241">
            <w:pPr>
              <w:pStyle w:val="Normal0"/>
              <w:spacing w:after="0" w:line="240" w:lineRule="auto"/>
              <w:jc w:val="center"/>
              <w:rPr>
                <w:rFonts w:ascii="Arial" w:eastAsia="Arial" w:hAnsi="Arial" w:cs="Arial"/>
                <w:b/>
                <w:sz w:val="24"/>
                <w:szCs w:val="24"/>
              </w:rPr>
            </w:pPr>
          </w:p>
          <w:p w14:paraId="62E5B68C" w14:textId="77777777" w:rsidR="001C2B43" w:rsidRPr="00131F73" w:rsidRDefault="001C2B43" w:rsidP="00153241">
            <w:pPr>
              <w:pStyle w:val="Normal0"/>
              <w:spacing w:after="0" w:line="240" w:lineRule="auto"/>
              <w:jc w:val="center"/>
              <w:rPr>
                <w:rFonts w:ascii="Arial" w:eastAsia="Arial" w:hAnsi="Arial" w:cs="Arial"/>
                <w:b/>
                <w:sz w:val="24"/>
                <w:szCs w:val="24"/>
              </w:rPr>
            </w:pPr>
            <w:r w:rsidRPr="00131F73">
              <w:rPr>
                <w:rFonts w:ascii="Arial" w:eastAsia="Arial" w:hAnsi="Arial" w:cs="Arial"/>
                <w:b/>
                <w:sz w:val="24"/>
                <w:szCs w:val="24"/>
              </w:rPr>
              <w:t>MAGISTRADA</w:t>
            </w:r>
          </w:p>
          <w:p w14:paraId="2199044F" w14:textId="77777777" w:rsidR="001C2B43" w:rsidRDefault="001C2B43" w:rsidP="00153241">
            <w:pPr>
              <w:pStyle w:val="Normal0"/>
              <w:spacing w:after="0" w:line="240" w:lineRule="auto"/>
              <w:jc w:val="center"/>
              <w:rPr>
                <w:rFonts w:ascii="Arial" w:eastAsia="Arial" w:hAnsi="Arial" w:cs="Arial"/>
                <w:b/>
                <w:sz w:val="24"/>
                <w:szCs w:val="24"/>
              </w:rPr>
            </w:pPr>
          </w:p>
          <w:p w14:paraId="06471050" w14:textId="77777777" w:rsidR="001C2B43" w:rsidRDefault="001C2B43" w:rsidP="00153241">
            <w:pPr>
              <w:pStyle w:val="Normal0"/>
              <w:spacing w:after="0" w:line="240" w:lineRule="auto"/>
              <w:jc w:val="center"/>
              <w:rPr>
                <w:rFonts w:ascii="Arial" w:eastAsia="Arial" w:hAnsi="Arial" w:cs="Arial"/>
                <w:b/>
                <w:sz w:val="24"/>
                <w:szCs w:val="24"/>
              </w:rPr>
            </w:pPr>
          </w:p>
          <w:p w14:paraId="3B046806" w14:textId="77777777" w:rsidR="0008628A" w:rsidRDefault="0008628A" w:rsidP="00153241">
            <w:pPr>
              <w:pStyle w:val="Normal0"/>
              <w:spacing w:after="0" w:line="240" w:lineRule="auto"/>
              <w:jc w:val="center"/>
              <w:rPr>
                <w:rFonts w:ascii="Arial" w:eastAsia="Arial" w:hAnsi="Arial" w:cs="Arial"/>
                <w:b/>
                <w:sz w:val="24"/>
                <w:szCs w:val="24"/>
              </w:rPr>
            </w:pPr>
          </w:p>
          <w:p w14:paraId="6F4976B8" w14:textId="77777777" w:rsidR="001C2B43" w:rsidRPr="00131F73" w:rsidRDefault="001C2B43" w:rsidP="00153241">
            <w:pPr>
              <w:pStyle w:val="Normal0"/>
              <w:spacing w:after="0" w:line="240" w:lineRule="auto"/>
              <w:jc w:val="center"/>
              <w:rPr>
                <w:rFonts w:ascii="Arial" w:eastAsia="Arial" w:hAnsi="Arial" w:cs="Arial"/>
                <w:b/>
                <w:sz w:val="24"/>
                <w:szCs w:val="24"/>
              </w:rPr>
            </w:pPr>
          </w:p>
          <w:p w14:paraId="705C70BE" w14:textId="77777777" w:rsidR="001C2B43" w:rsidRDefault="001C2B43" w:rsidP="00153241">
            <w:pPr>
              <w:pStyle w:val="Normal0"/>
              <w:spacing w:after="0" w:line="240" w:lineRule="auto"/>
              <w:jc w:val="center"/>
              <w:rPr>
                <w:rFonts w:ascii="Arial" w:eastAsia="Arial" w:hAnsi="Arial" w:cs="Arial"/>
                <w:b/>
                <w:sz w:val="24"/>
                <w:szCs w:val="24"/>
              </w:rPr>
            </w:pPr>
            <w:r w:rsidRPr="00131F73">
              <w:rPr>
                <w:rFonts w:ascii="Arial" w:eastAsia="Arial" w:hAnsi="Arial" w:cs="Arial"/>
                <w:b/>
                <w:sz w:val="24"/>
                <w:szCs w:val="24"/>
              </w:rPr>
              <w:t>ALMA ROSA BAHENA VILLALOBOS</w:t>
            </w:r>
          </w:p>
          <w:p w14:paraId="255E2BA0" w14:textId="77777777" w:rsidR="001C2B43" w:rsidRPr="00131F73" w:rsidRDefault="001C2B43" w:rsidP="00153241">
            <w:pPr>
              <w:pStyle w:val="Normal0"/>
              <w:spacing w:after="0" w:line="240" w:lineRule="auto"/>
              <w:jc w:val="center"/>
              <w:rPr>
                <w:rFonts w:ascii="Arial" w:eastAsia="Arial" w:hAnsi="Arial" w:cs="Arial"/>
                <w:b/>
                <w:sz w:val="24"/>
                <w:szCs w:val="24"/>
              </w:rPr>
            </w:pPr>
          </w:p>
        </w:tc>
      </w:tr>
      <w:tr w:rsidR="001C2B43" w:rsidRPr="00131F73" w14:paraId="7EA6358A" w14:textId="77777777" w:rsidTr="00153241">
        <w:trPr>
          <w:trHeight w:val="2124"/>
        </w:trPr>
        <w:tc>
          <w:tcPr>
            <w:tcW w:w="3960" w:type="dxa"/>
          </w:tcPr>
          <w:p w14:paraId="5E48D9C9" w14:textId="77777777" w:rsidR="001C2B43" w:rsidRDefault="001C2B43" w:rsidP="0015324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2BD7CA1D" w14:textId="77777777" w:rsidR="001C2B43" w:rsidRPr="00131F73" w:rsidRDefault="001C2B43" w:rsidP="0015324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131F73">
              <w:rPr>
                <w:rFonts w:ascii="Arial" w:eastAsia="Arial" w:hAnsi="Arial" w:cs="Arial"/>
                <w:b/>
                <w:color w:val="000000"/>
                <w:sz w:val="24"/>
                <w:szCs w:val="24"/>
              </w:rPr>
              <w:t>MAGISTRADO</w:t>
            </w:r>
          </w:p>
          <w:p w14:paraId="10718910" w14:textId="77777777" w:rsidR="001C2B43" w:rsidRDefault="001C2B43" w:rsidP="0015324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26AD91CE" w14:textId="77777777" w:rsidR="0008628A" w:rsidRPr="00131F73" w:rsidRDefault="0008628A" w:rsidP="0015324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6EA3EC13" w14:textId="77777777" w:rsidR="001C2B43" w:rsidRDefault="001C2B43" w:rsidP="0015324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21A476C3" w14:textId="77777777" w:rsidR="001C2B43" w:rsidRPr="00131F73" w:rsidRDefault="001C2B43" w:rsidP="0015324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3D6CD302" w14:textId="77777777" w:rsidR="001C2B43" w:rsidRDefault="001C2B43" w:rsidP="00153241">
            <w:pPr>
              <w:pStyle w:val="Normal0"/>
              <w:spacing w:after="280" w:line="240" w:lineRule="auto"/>
              <w:jc w:val="center"/>
              <w:rPr>
                <w:rFonts w:ascii="Arial" w:eastAsia="Arial" w:hAnsi="Arial" w:cs="Arial"/>
                <w:b/>
                <w:sz w:val="24"/>
                <w:szCs w:val="24"/>
              </w:rPr>
            </w:pPr>
            <w:r w:rsidRPr="00131F73">
              <w:rPr>
                <w:rFonts w:ascii="Arial" w:eastAsia="Arial" w:hAnsi="Arial" w:cs="Arial"/>
                <w:b/>
                <w:sz w:val="24"/>
                <w:szCs w:val="24"/>
              </w:rPr>
              <w:t>ADRIÁN HERNÁNDEZ PINEDO</w:t>
            </w:r>
          </w:p>
          <w:p w14:paraId="12E7C819" w14:textId="77777777" w:rsidR="001C2B43" w:rsidRPr="00131F73" w:rsidRDefault="001C2B43" w:rsidP="00153241">
            <w:pPr>
              <w:pStyle w:val="Normal0"/>
              <w:spacing w:after="280" w:line="240" w:lineRule="auto"/>
              <w:jc w:val="center"/>
              <w:rPr>
                <w:rFonts w:ascii="Arial" w:eastAsia="Arial" w:hAnsi="Arial" w:cs="Arial"/>
                <w:b/>
                <w:sz w:val="24"/>
                <w:szCs w:val="24"/>
              </w:rPr>
            </w:pPr>
          </w:p>
        </w:tc>
        <w:tc>
          <w:tcPr>
            <w:tcW w:w="4404" w:type="dxa"/>
          </w:tcPr>
          <w:p w14:paraId="60F42EC9" w14:textId="77777777" w:rsidR="001C2B43" w:rsidRDefault="001C2B43" w:rsidP="0015324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12B3CEB5" w14:textId="77777777" w:rsidR="001C2B43" w:rsidRDefault="001C2B43" w:rsidP="0015324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131F73">
              <w:rPr>
                <w:rFonts w:ascii="Arial" w:eastAsia="Arial" w:hAnsi="Arial" w:cs="Arial"/>
                <w:b/>
                <w:color w:val="000000"/>
                <w:sz w:val="24"/>
                <w:szCs w:val="24"/>
              </w:rPr>
              <w:t>MAGISTRADO</w:t>
            </w:r>
          </w:p>
          <w:p w14:paraId="170DA8A2" w14:textId="77777777" w:rsidR="001C2B43" w:rsidRDefault="001C2B43" w:rsidP="0015324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020B0F25" w14:textId="77777777" w:rsidR="001C2B43" w:rsidRDefault="001C2B43" w:rsidP="0015324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23FAE594" w14:textId="77777777" w:rsidR="0008628A" w:rsidRDefault="0008628A" w:rsidP="0015324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7D50AC12" w14:textId="77777777" w:rsidR="001C2B43" w:rsidRPr="00131F73" w:rsidRDefault="001C2B43" w:rsidP="0015324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1AE62023" w14:textId="77777777" w:rsidR="001C2B43" w:rsidRDefault="001C2B43" w:rsidP="00153241">
            <w:pPr>
              <w:pStyle w:val="Normal0"/>
              <w:spacing w:after="280" w:line="240" w:lineRule="auto"/>
              <w:jc w:val="center"/>
              <w:rPr>
                <w:rFonts w:ascii="Arial" w:eastAsia="Arial" w:hAnsi="Arial" w:cs="Arial"/>
                <w:b/>
                <w:sz w:val="24"/>
                <w:szCs w:val="24"/>
              </w:rPr>
            </w:pPr>
            <w:r w:rsidRPr="00131F73">
              <w:rPr>
                <w:rFonts w:ascii="Arial" w:eastAsia="Arial" w:hAnsi="Arial" w:cs="Arial"/>
                <w:b/>
                <w:sz w:val="24"/>
                <w:szCs w:val="24"/>
              </w:rPr>
              <w:t>ERIC LÓPEZ VILLASEÑOR</w:t>
            </w:r>
          </w:p>
          <w:p w14:paraId="096B90FF" w14:textId="77777777" w:rsidR="001C2B43" w:rsidRPr="00131F73" w:rsidRDefault="001C2B43" w:rsidP="00153241">
            <w:pPr>
              <w:pStyle w:val="Normal0"/>
              <w:spacing w:after="280" w:line="240" w:lineRule="auto"/>
              <w:jc w:val="center"/>
              <w:rPr>
                <w:rFonts w:ascii="Arial" w:eastAsia="Arial" w:hAnsi="Arial" w:cs="Arial"/>
                <w:b/>
                <w:sz w:val="24"/>
                <w:szCs w:val="24"/>
              </w:rPr>
            </w:pPr>
          </w:p>
        </w:tc>
      </w:tr>
      <w:tr w:rsidR="001C2B43" w:rsidRPr="00131F73" w14:paraId="22ABF362" w14:textId="77777777" w:rsidTr="00153241">
        <w:trPr>
          <w:trHeight w:val="324"/>
        </w:trPr>
        <w:tc>
          <w:tcPr>
            <w:tcW w:w="8364" w:type="dxa"/>
            <w:gridSpan w:val="2"/>
          </w:tcPr>
          <w:p w14:paraId="251B5B64" w14:textId="77777777" w:rsidR="001C2B43" w:rsidRDefault="001C2B43" w:rsidP="00153241">
            <w:pPr>
              <w:pStyle w:val="Normal0"/>
              <w:spacing w:after="0" w:line="240" w:lineRule="auto"/>
              <w:jc w:val="center"/>
              <w:rPr>
                <w:rFonts w:ascii="Arial" w:eastAsia="Arial" w:hAnsi="Arial" w:cs="Arial"/>
                <w:b/>
                <w:sz w:val="24"/>
                <w:szCs w:val="24"/>
              </w:rPr>
            </w:pPr>
            <w:r w:rsidRPr="00131F73">
              <w:rPr>
                <w:rFonts w:ascii="Arial" w:eastAsia="Arial" w:hAnsi="Arial" w:cs="Arial"/>
                <w:b/>
                <w:sz w:val="24"/>
                <w:szCs w:val="24"/>
              </w:rPr>
              <w:t>SECRETARIO GENERAL DE ACUERDO</w:t>
            </w:r>
            <w:r>
              <w:rPr>
                <w:rFonts w:ascii="Arial" w:eastAsia="Arial" w:hAnsi="Arial" w:cs="Arial"/>
                <w:b/>
                <w:sz w:val="24"/>
                <w:szCs w:val="24"/>
              </w:rPr>
              <w:t>S</w:t>
            </w:r>
          </w:p>
          <w:p w14:paraId="258DC9AC" w14:textId="77777777" w:rsidR="001C2B43" w:rsidRDefault="001C2B43" w:rsidP="00153241">
            <w:pPr>
              <w:pStyle w:val="Normal0"/>
              <w:spacing w:after="0" w:line="240" w:lineRule="auto"/>
              <w:jc w:val="center"/>
              <w:rPr>
                <w:rFonts w:ascii="Arial" w:eastAsia="Arial" w:hAnsi="Arial" w:cs="Arial"/>
                <w:b/>
                <w:sz w:val="24"/>
                <w:szCs w:val="24"/>
              </w:rPr>
            </w:pPr>
          </w:p>
          <w:p w14:paraId="4B7E83C1" w14:textId="77777777" w:rsidR="001C2B43" w:rsidRDefault="001C2B43" w:rsidP="00153241">
            <w:pPr>
              <w:pStyle w:val="Normal0"/>
              <w:spacing w:after="0" w:line="240" w:lineRule="auto"/>
              <w:jc w:val="center"/>
              <w:rPr>
                <w:rFonts w:ascii="Arial" w:eastAsia="Arial" w:hAnsi="Arial" w:cs="Arial"/>
                <w:b/>
                <w:sz w:val="24"/>
                <w:szCs w:val="24"/>
              </w:rPr>
            </w:pPr>
          </w:p>
          <w:p w14:paraId="4F916CC3" w14:textId="77777777" w:rsidR="001C2B43" w:rsidRPr="00131F73" w:rsidRDefault="001C2B43" w:rsidP="00153241">
            <w:pPr>
              <w:pStyle w:val="Normal0"/>
              <w:spacing w:after="0" w:line="240" w:lineRule="auto"/>
              <w:jc w:val="center"/>
              <w:rPr>
                <w:rFonts w:ascii="Arial" w:eastAsia="Arial" w:hAnsi="Arial" w:cs="Arial"/>
                <w:b/>
                <w:sz w:val="24"/>
                <w:szCs w:val="24"/>
              </w:rPr>
            </w:pPr>
          </w:p>
          <w:p w14:paraId="19065307" w14:textId="77777777" w:rsidR="001C2B43" w:rsidRPr="00131F73" w:rsidRDefault="001C2B43" w:rsidP="00153241">
            <w:pPr>
              <w:pStyle w:val="Normal0"/>
              <w:spacing w:before="280" w:line="240" w:lineRule="auto"/>
              <w:jc w:val="center"/>
              <w:rPr>
                <w:rFonts w:ascii="Arial" w:eastAsia="Arial" w:hAnsi="Arial" w:cs="Arial"/>
                <w:b/>
                <w:sz w:val="24"/>
                <w:szCs w:val="24"/>
              </w:rPr>
            </w:pPr>
            <w:r>
              <w:rPr>
                <w:rFonts w:ascii="Arial" w:eastAsia="Arial" w:hAnsi="Arial" w:cs="Arial"/>
                <w:b/>
                <w:sz w:val="24"/>
                <w:szCs w:val="24"/>
              </w:rPr>
              <w:t xml:space="preserve">VÍCTOR HUGO ARROYO SANDOVAL </w:t>
            </w:r>
          </w:p>
        </w:tc>
      </w:tr>
    </w:tbl>
    <w:p w14:paraId="7F556B38" w14:textId="77777777" w:rsidR="0008628A" w:rsidRDefault="0008628A" w:rsidP="001C2B43">
      <w:pPr>
        <w:spacing w:after="0" w:line="240" w:lineRule="auto"/>
        <w:ind w:right="190"/>
        <w:contextualSpacing/>
        <w:jc w:val="both"/>
        <w:rPr>
          <w:rFonts w:ascii="Arial Narrow" w:eastAsia="Arial Narrow" w:hAnsi="Arial Narrow" w:cs="Arial"/>
          <w:sz w:val="20"/>
          <w:szCs w:val="20"/>
        </w:rPr>
      </w:pPr>
    </w:p>
    <w:p w14:paraId="4CE36423" w14:textId="6B463468" w:rsidR="001C2B43" w:rsidRPr="00DC3911" w:rsidRDefault="001C2B43" w:rsidP="001C2B43">
      <w:pPr>
        <w:spacing w:after="0" w:line="240" w:lineRule="auto"/>
        <w:ind w:right="190"/>
        <w:contextualSpacing/>
        <w:jc w:val="both"/>
        <w:rPr>
          <w:rFonts w:ascii="Arial Narrow" w:eastAsia="Arial Narrow" w:hAnsi="Arial Narrow" w:cs="Arial"/>
          <w:sz w:val="20"/>
          <w:szCs w:val="20"/>
        </w:rPr>
      </w:pPr>
      <w:r w:rsidRPr="004772BC">
        <w:rPr>
          <w:rFonts w:ascii="Arial Narrow" w:eastAsia="Arial Narrow" w:hAnsi="Arial Narrow" w:cs="Arial"/>
          <w:sz w:val="20"/>
          <w:szCs w:val="20"/>
        </w:rPr>
        <w:t xml:space="preserve">El suscrito </w:t>
      </w:r>
      <w:r>
        <w:rPr>
          <w:rFonts w:ascii="Arial Narrow" w:eastAsia="Arial Narrow" w:hAnsi="Arial Narrow" w:cs="Arial"/>
          <w:sz w:val="20"/>
          <w:szCs w:val="20"/>
        </w:rPr>
        <w:t>Víctor Hugo Arroyo Sandoval, Secretario</w:t>
      </w:r>
      <w:r w:rsidRPr="004772BC">
        <w:rPr>
          <w:rFonts w:ascii="Arial Narrow" w:eastAsia="Arial Narrow" w:hAnsi="Arial Narrow" w:cs="Arial"/>
          <w:sz w:val="20"/>
          <w:szCs w:val="20"/>
        </w:rPr>
        <w:t xml:space="preserve"> General de Acuerdos del Tribunal Electoral del Estado, con fundamento en los artículos 69, fracción VII, del Código Electoral del Estado y 66, fracciones I y II, del Reglamento Interior del Tribunal Electoral del Estado, hago constar que las firmas</w:t>
      </w:r>
      <w:r>
        <w:rPr>
          <w:rFonts w:ascii="Arial Narrow" w:eastAsia="Arial Narrow" w:hAnsi="Arial Narrow" w:cs="Arial"/>
          <w:sz w:val="20"/>
          <w:szCs w:val="20"/>
        </w:rPr>
        <w:t xml:space="preserve"> electrónicas </w:t>
      </w:r>
      <w:r w:rsidRPr="004772BC">
        <w:rPr>
          <w:rFonts w:ascii="Arial Narrow" w:eastAsia="Arial Narrow" w:hAnsi="Arial Narrow" w:cs="Arial"/>
          <w:sz w:val="20"/>
          <w:szCs w:val="20"/>
        </w:rPr>
        <w:t>que obran en el presente documento corresponden a la sentencia emitida por el Pleno del Tribunal Electoral del Estado, en sesión pública</w:t>
      </w:r>
      <w:r>
        <w:rPr>
          <w:rFonts w:ascii="Arial Narrow" w:eastAsia="Arial Narrow" w:hAnsi="Arial Narrow" w:cs="Arial"/>
          <w:sz w:val="20"/>
          <w:szCs w:val="20"/>
        </w:rPr>
        <w:t xml:space="preserve"> virtual</w:t>
      </w:r>
      <w:r w:rsidRPr="004772BC">
        <w:rPr>
          <w:rFonts w:ascii="Arial Narrow" w:eastAsia="Arial Narrow" w:hAnsi="Arial Narrow" w:cs="Arial"/>
          <w:sz w:val="20"/>
          <w:szCs w:val="20"/>
        </w:rPr>
        <w:t xml:space="preserve"> celebrada el </w:t>
      </w:r>
      <w:r>
        <w:rPr>
          <w:rFonts w:ascii="Arial Narrow" w:eastAsia="Arial Narrow" w:hAnsi="Arial Narrow" w:cs="Arial"/>
          <w:sz w:val="20"/>
          <w:szCs w:val="20"/>
        </w:rPr>
        <w:t>nueve</w:t>
      </w:r>
      <w:r w:rsidRPr="004772BC">
        <w:rPr>
          <w:rFonts w:ascii="Arial Narrow" w:eastAsia="Arial Narrow" w:hAnsi="Arial Narrow" w:cs="Arial"/>
          <w:sz w:val="20"/>
          <w:szCs w:val="20"/>
        </w:rPr>
        <w:t xml:space="preserve"> de julio de  dos mil veintiséis, dentro del </w:t>
      </w:r>
      <w:r>
        <w:rPr>
          <w:rFonts w:ascii="Arial Narrow" w:eastAsia="Arial Narrow" w:hAnsi="Arial Narrow" w:cs="Arial"/>
          <w:sz w:val="20"/>
          <w:szCs w:val="20"/>
        </w:rPr>
        <w:t>juicio para la protección de los derechos político-electorales del ciudadano</w:t>
      </w:r>
      <w:r w:rsidRPr="004772BC">
        <w:rPr>
          <w:rFonts w:ascii="Arial Narrow" w:eastAsia="Arial Narrow" w:hAnsi="Arial Narrow" w:cs="Arial"/>
          <w:sz w:val="20"/>
          <w:szCs w:val="20"/>
        </w:rPr>
        <w:t xml:space="preserve"> identificado con la clave </w:t>
      </w:r>
      <w:r w:rsidRPr="004772BC">
        <w:rPr>
          <w:rFonts w:ascii="Arial Narrow" w:eastAsia="Arial Narrow" w:hAnsi="Arial Narrow" w:cs="Arial"/>
          <w:b/>
          <w:bCs/>
          <w:sz w:val="20"/>
          <w:szCs w:val="20"/>
        </w:rPr>
        <w:t>TEEM-</w:t>
      </w:r>
      <w:r>
        <w:rPr>
          <w:rFonts w:ascii="Arial Narrow" w:eastAsia="Arial Narrow" w:hAnsi="Arial Narrow" w:cs="Arial"/>
          <w:b/>
          <w:bCs/>
          <w:sz w:val="20"/>
          <w:szCs w:val="20"/>
        </w:rPr>
        <w:t>JDC-06</w:t>
      </w:r>
      <w:r w:rsidR="00461BF5">
        <w:rPr>
          <w:rFonts w:ascii="Arial Narrow" w:eastAsia="Arial Narrow" w:hAnsi="Arial Narrow" w:cs="Arial"/>
          <w:b/>
          <w:bCs/>
          <w:sz w:val="20"/>
          <w:szCs w:val="20"/>
        </w:rPr>
        <w:t>0</w:t>
      </w:r>
      <w:r>
        <w:rPr>
          <w:rFonts w:ascii="Arial Narrow" w:eastAsia="Arial Narrow" w:hAnsi="Arial Narrow" w:cs="Arial"/>
          <w:b/>
          <w:bCs/>
          <w:sz w:val="20"/>
          <w:szCs w:val="20"/>
        </w:rPr>
        <w:t>/2026,</w:t>
      </w:r>
      <w:r>
        <w:rPr>
          <w:rFonts w:ascii="Arial Narrow" w:eastAsia="Arial Narrow" w:hAnsi="Arial Narrow" w:cs="Arial"/>
          <w:sz w:val="20"/>
          <w:szCs w:val="20"/>
        </w:rPr>
        <w:t xml:space="preserve"> la cual fue aprobada por unanimidad de votos; documento que</w:t>
      </w:r>
      <w:r w:rsidRPr="004772BC">
        <w:rPr>
          <w:rFonts w:ascii="Arial Narrow" w:eastAsia="Arial Narrow" w:hAnsi="Arial Narrow" w:cs="Arial"/>
          <w:sz w:val="20"/>
          <w:szCs w:val="20"/>
        </w:rPr>
        <w:t xml:space="preserve"> consta de </w:t>
      </w:r>
      <w:r w:rsidR="00461BF5">
        <w:rPr>
          <w:rFonts w:ascii="Arial Narrow" w:eastAsia="Arial Narrow" w:hAnsi="Arial Narrow" w:cs="Arial"/>
          <w:sz w:val="20"/>
          <w:szCs w:val="20"/>
        </w:rPr>
        <w:t>treinta y tres</w:t>
      </w:r>
      <w:r w:rsidRPr="00536FA4">
        <w:rPr>
          <w:rFonts w:ascii="Arial Narrow" w:eastAsia="Arial Narrow" w:hAnsi="Arial Narrow" w:cs="Arial"/>
          <w:i/>
          <w:iCs/>
          <w:sz w:val="20"/>
          <w:szCs w:val="20"/>
        </w:rPr>
        <w:t xml:space="preserve"> </w:t>
      </w:r>
      <w:r w:rsidRPr="004772BC">
        <w:rPr>
          <w:rFonts w:ascii="Arial Narrow" w:eastAsia="Arial Narrow" w:hAnsi="Arial Narrow" w:cs="Arial"/>
          <w:sz w:val="20"/>
          <w:szCs w:val="20"/>
        </w:rPr>
        <w:t>páginas, incluida la presente</w:t>
      </w:r>
      <w:r>
        <w:rPr>
          <w:rFonts w:ascii="Arial Narrow" w:eastAsia="Arial Narrow" w:hAnsi="Arial Narrow" w:cs="Arial"/>
          <w:sz w:val="20"/>
          <w:szCs w:val="20"/>
        </w:rPr>
        <w:t xml:space="preserve">; mismo que se firma de manera electrónica. </w:t>
      </w:r>
      <w:r w:rsidRPr="004772BC">
        <w:rPr>
          <w:rFonts w:ascii="Arial Narrow" w:eastAsia="Arial Narrow" w:hAnsi="Arial Narrow" w:cs="Arial"/>
          <w:b/>
          <w:bCs/>
          <w:sz w:val="20"/>
          <w:szCs w:val="20"/>
        </w:rPr>
        <w:t>Doy fe.</w:t>
      </w:r>
    </w:p>
    <w:p w14:paraId="4A857D90" w14:textId="77777777" w:rsidR="001C2B43" w:rsidRDefault="001C2B43" w:rsidP="001C2B43">
      <w:pPr>
        <w:spacing w:after="0" w:line="240" w:lineRule="auto"/>
        <w:ind w:right="190"/>
        <w:contextualSpacing/>
        <w:jc w:val="both"/>
        <w:rPr>
          <w:rFonts w:ascii="Arial Narrow" w:eastAsia="Arial Narrow" w:hAnsi="Arial Narrow" w:cs="Arial"/>
          <w:sz w:val="20"/>
          <w:szCs w:val="20"/>
        </w:rPr>
      </w:pPr>
    </w:p>
    <w:p w14:paraId="7E2ED7E6" w14:textId="77777777" w:rsidR="001C2B43" w:rsidRPr="004772BC" w:rsidRDefault="001C2B43" w:rsidP="001C2B43">
      <w:pPr>
        <w:spacing w:after="0" w:line="240" w:lineRule="auto"/>
        <w:ind w:right="190"/>
        <w:contextualSpacing/>
        <w:jc w:val="both"/>
        <w:rPr>
          <w:rFonts w:ascii="Arial Narrow" w:eastAsia="Arial Narrow" w:hAnsi="Arial Narrow" w:cs="Arial"/>
          <w:sz w:val="20"/>
          <w:szCs w:val="20"/>
        </w:rPr>
      </w:pPr>
    </w:p>
    <w:p w14:paraId="661D838B" w14:textId="77777777" w:rsidR="001C2B43" w:rsidRPr="004772BC" w:rsidRDefault="001C2B43" w:rsidP="001C2B43">
      <w:pPr>
        <w:spacing w:after="0" w:line="240" w:lineRule="auto"/>
        <w:ind w:right="190"/>
        <w:contextualSpacing/>
        <w:jc w:val="both"/>
        <w:rPr>
          <w:rFonts w:ascii="Arial Narrow" w:eastAsia="Arial Narrow" w:hAnsi="Arial Narrow" w:cs="Arial"/>
          <w:b/>
          <w:bCs/>
          <w:sz w:val="20"/>
          <w:szCs w:val="20"/>
        </w:rPr>
      </w:pPr>
      <w:r w:rsidRPr="004772BC">
        <w:rPr>
          <w:rFonts w:ascii="Arial Narrow" w:eastAsia="Arial Narrow" w:hAnsi="Arial Narrow" w:cs="Arial"/>
          <w:b/>
          <w:bCs/>
          <w:sz w:val="20"/>
          <w:szCs w:val="20"/>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34999439" w14:textId="60197D28" w:rsidR="00E11D56" w:rsidRDefault="00E11D56" w:rsidP="001C2B43">
      <w:pPr>
        <w:spacing w:before="100" w:beforeAutospacing="1" w:after="100" w:afterAutospacing="1" w:line="240" w:lineRule="auto"/>
        <w:ind w:right="-91"/>
        <w:jc w:val="both"/>
        <w:rPr>
          <w:rFonts w:ascii="Arial Narrow" w:eastAsia="Arial Narrow" w:hAnsi="Arial Narrow" w:cs="Arial Narrow"/>
          <w:b/>
          <w:bCs/>
          <w:i/>
          <w:iCs/>
          <w:sz w:val="20"/>
          <w:szCs w:val="20"/>
        </w:rPr>
      </w:pPr>
    </w:p>
    <w:sectPr w:rsidR="00E11D56" w:rsidSect="00F41B6A">
      <w:headerReference w:type="default" r:id="rId15"/>
      <w:footerReference w:type="default" r:id="rId16"/>
      <w:headerReference w:type="first" r:id="rId17"/>
      <w:footerReference w:type="first" r:id="rId18"/>
      <w:pgSz w:w="12240" w:h="18720" w:code="14"/>
      <w:pgMar w:top="1418" w:right="1418" w:bottom="1418" w:left="2268" w:header="141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82673" w14:textId="77777777" w:rsidR="00403CBC" w:rsidRDefault="00403CBC">
      <w:pPr>
        <w:spacing w:after="0" w:line="240" w:lineRule="auto"/>
      </w:pPr>
      <w:r>
        <w:separator/>
      </w:r>
    </w:p>
  </w:endnote>
  <w:endnote w:type="continuationSeparator" w:id="0">
    <w:p w14:paraId="05CE1B60" w14:textId="77777777" w:rsidR="00403CBC" w:rsidRDefault="00403CBC">
      <w:pPr>
        <w:spacing w:after="0" w:line="240" w:lineRule="auto"/>
      </w:pPr>
      <w:r>
        <w:continuationSeparator/>
      </w:r>
    </w:p>
  </w:endnote>
  <w:endnote w:type="continuationNotice" w:id="1">
    <w:p w14:paraId="5939455F" w14:textId="77777777" w:rsidR="00403CBC" w:rsidRDefault="00403C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84109"/>
      <w:docPartObj>
        <w:docPartGallery w:val="Page Numbers (Bottom of Page)"/>
        <w:docPartUnique/>
      </w:docPartObj>
    </w:sdtPr>
    <w:sdtEndPr>
      <w:rPr>
        <w:rFonts w:ascii="Arial Narrow" w:hAnsi="Arial Narrow" w:cs="Arial"/>
        <w:sz w:val="24"/>
        <w:szCs w:val="24"/>
      </w:rPr>
    </w:sdtEndPr>
    <w:sdtContent>
      <w:p w14:paraId="4D11A392" w14:textId="77777777" w:rsidR="00E11D56" w:rsidRDefault="00000000">
        <w:pPr>
          <w:pStyle w:val="Piedepgina"/>
          <w:jc w:val="center"/>
          <w:rPr>
            <w:rFonts w:ascii="Arial Narrow" w:hAnsi="Arial Narrow" w:cs="Arial"/>
            <w:sz w:val="24"/>
            <w:szCs w:val="24"/>
          </w:rPr>
        </w:pPr>
        <w:r>
          <w:rPr>
            <w:rFonts w:ascii="Arial Narrow" w:hAnsi="Arial Narrow" w:cs="Arial"/>
            <w:sz w:val="24"/>
            <w:szCs w:val="24"/>
          </w:rPr>
          <w:fldChar w:fldCharType="begin"/>
        </w:r>
        <w:r>
          <w:rPr>
            <w:rFonts w:ascii="Arial Narrow" w:hAnsi="Arial Narrow" w:cs="Arial"/>
            <w:sz w:val="24"/>
            <w:szCs w:val="24"/>
          </w:rPr>
          <w:instrText>PAGE   \* MERGEFORMAT</w:instrText>
        </w:r>
        <w:r>
          <w:rPr>
            <w:rFonts w:ascii="Arial Narrow" w:hAnsi="Arial Narrow" w:cs="Arial"/>
            <w:sz w:val="24"/>
            <w:szCs w:val="24"/>
          </w:rPr>
          <w:fldChar w:fldCharType="separate"/>
        </w:r>
        <w:r>
          <w:rPr>
            <w:rFonts w:ascii="Arial Narrow" w:hAnsi="Arial Narrow" w:cs="Arial"/>
            <w:sz w:val="24"/>
            <w:szCs w:val="24"/>
          </w:rPr>
          <w:t>2</w:t>
        </w:r>
        <w:r>
          <w:rPr>
            <w:rFonts w:ascii="Arial Narrow" w:hAnsi="Arial Narrow" w:cs="Arial"/>
            <w:sz w:val="24"/>
            <w:szCs w:val="24"/>
          </w:rPr>
          <w:fldChar w:fldCharType="end"/>
        </w:r>
      </w:p>
    </w:sdtContent>
  </w:sdt>
  <w:p w14:paraId="38BD0223" w14:textId="77777777" w:rsidR="00E11D56" w:rsidRDefault="00E11D56">
    <w:pPr>
      <w:pStyle w:val="Piedepgina"/>
      <w:tabs>
        <w:tab w:val="clear" w:pos="8838"/>
      </w:tabs>
      <w:spacing w:after="0" w:line="360" w:lineRule="auto"/>
      <w:rPr>
        <w:rFonts w:ascii="Arial" w:hAnsi="Arial" w:cs="Arial"/>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DDD76" w14:textId="77777777" w:rsidR="00E11D56" w:rsidRDefault="00000000">
    <w:pPr>
      <w:pStyle w:val="Piedepgina"/>
      <w:tabs>
        <w:tab w:val="clear" w:pos="4419"/>
        <w:tab w:val="clear" w:pos="8838"/>
        <w:tab w:val="left" w:pos="1640"/>
      </w:tabs>
    </w:pPr>
    <w:r>
      <w:tab/>
    </w:r>
  </w:p>
  <w:p w14:paraId="0C85D502" w14:textId="77777777" w:rsidR="00E11D56" w:rsidRDefault="00E11D56">
    <w:pPr>
      <w:pStyle w:val="Piedepgina"/>
    </w:pPr>
  </w:p>
  <w:p w14:paraId="054958BD" w14:textId="77777777" w:rsidR="00E11D56" w:rsidRDefault="00E11D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D6259" w14:textId="77777777" w:rsidR="00403CBC" w:rsidRDefault="00403CBC">
      <w:pPr>
        <w:spacing w:after="0" w:line="240" w:lineRule="auto"/>
      </w:pPr>
      <w:r>
        <w:separator/>
      </w:r>
    </w:p>
  </w:footnote>
  <w:footnote w:type="continuationSeparator" w:id="0">
    <w:p w14:paraId="779E0AD2" w14:textId="77777777" w:rsidR="00403CBC" w:rsidRDefault="00403CBC">
      <w:pPr>
        <w:spacing w:after="0" w:line="240" w:lineRule="auto"/>
      </w:pPr>
      <w:r>
        <w:continuationSeparator/>
      </w:r>
    </w:p>
  </w:footnote>
  <w:footnote w:type="continuationNotice" w:id="1">
    <w:p w14:paraId="21DA1922" w14:textId="77777777" w:rsidR="00403CBC" w:rsidRDefault="00403CBC">
      <w:pPr>
        <w:spacing w:after="0" w:line="240" w:lineRule="auto"/>
      </w:pPr>
    </w:p>
  </w:footnote>
  <w:footnote w:id="2">
    <w:p w14:paraId="3A08DE5D" w14:textId="77777777" w:rsidR="00E11D56" w:rsidRDefault="00000000">
      <w:pPr>
        <w:pStyle w:val="Textonotapie"/>
        <w:jc w:val="both"/>
        <w:rPr>
          <w:rFonts w:ascii="Arial Narrow" w:hAnsi="Arial Narrow" w:cs="Arial"/>
        </w:rPr>
      </w:pPr>
      <w:r>
        <w:rPr>
          <w:rStyle w:val="Refdenotaalpie"/>
          <w:rFonts w:ascii="Arial Narrow" w:hAnsi="Arial Narrow" w:cs="Arial"/>
        </w:rPr>
        <w:footnoteRef/>
      </w:r>
      <w:r>
        <w:rPr>
          <w:rFonts w:ascii="Arial Narrow" w:hAnsi="Arial Narrow" w:cs="Arial"/>
        </w:rPr>
        <w:t xml:space="preserve"> En lo sucesivo, todas las fechas corresponden al dos mil veintiséis, salvo señalamiento expreso.</w:t>
      </w:r>
    </w:p>
  </w:footnote>
  <w:footnote w:id="3">
    <w:p w14:paraId="0147570D" w14:textId="77777777" w:rsidR="00E11D56" w:rsidRPr="00C26FDC" w:rsidRDefault="00000000">
      <w:pPr>
        <w:pStyle w:val="Textonotapie"/>
        <w:rPr>
          <w:rFonts w:ascii="Arial Narrow" w:hAnsi="Arial Narrow"/>
          <w:lang w:val="es-ES"/>
        </w:rPr>
      </w:pPr>
      <w:r w:rsidRPr="00C26FDC">
        <w:rPr>
          <w:rStyle w:val="Refdenotaalpie"/>
          <w:rFonts w:ascii="Arial Narrow" w:hAnsi="Arial Narrow"/>
        </w:rPr>
        <w:footnoteRef/>
      </w:r>
      <w:r w:rsidRPr="00C26FDC">
        <w:rPr>
          <w:rFonts w:ascii="Arial Narrow" w:hAnsi="Arial Narrow"/>
        </w:rPr>
        <w:t xml:space="preserve"> </w:t>
      </w:r>
      <w:r w:rsidRPr="00C26FDC">
        <w:rPr>
          <w:rFonts w:ascii="Arial Narrow" w:hAnsi="Arial Narrow"/>
          <w:lang w:val="es-ES"/>
        </w:rPr>
        <w:t xml:space="preserve">Acuerdo IEM-CEAPI-007/2021. </w:t>
      </w:r>
    </w:p>
  </w:footnote>
  <w:footnote w:id="4">
    <w:p w14:paraId="28E34938" w14:textId="77777777" w:rsidR="00E11D56" w:rsidRPr="00C26FDC" w:rsidRDefault="00000000">
      <w:pPr>
        <w:pStyle w:val="Textonotapie"/>
        <w:rPr>
          <w:rFonts w:ascii="Arial Narrow" w:hAnsi="Arial Narrow"/>
          <w:lang w:val="es-ES"/>
        </w:rPr>
      </w:pPr>
      <w:r w:rsidRPr="00C26FDC">
        <w:rPr>
          <w:rStyle w:val="Refdenotaalpie"/>
          <w:rFonts w:ascii="Arial Narrow" w:hAnsi="Arial Narrow"/>
        </w:rPr>
        <w:footnoteRef/>
      </w:r>
      <w:r w:rsidRPr="00C26FDC">
        <w:rPr>
          <w:rFonts w:ascii="Arial Narrow" w:hAnsi="Arial Narrow"/>
        </w:rPr>
        <w:t xml:space="preserve"> </w:t>
      </w:r>
      <w:r w:rsidRPr="00C26FDC">
        <w:rPr>
          <w:rFonts w:ascii="Arial Narrow" w:hAnsi="Arial Narrow"/>
          <w:lang w:val="es-ES"/>
        </w:rPr>
        <w:t>Acuerdo IEM-CEAPI-044/2021.</w:t>
      </w:r>
    </w:p>
  </w:footnote>
  <w:footnote w:id="5">
    <w:p w14:paraId="327CA55D" w14:textId="77777777" w:rsidR="00E11D56" w:rsidRPr="00C26FDC" w:rsidRDefault="00000000">
      <w:pPr>
        <w:pStyle w:val="Textonotapie"/>
        <w:rPr>
          <w:rFonts w:ascii="Arial Narrow" w:hAnsi="Arial Narrow"/>
          <w:lang w:val="es-ES"/>
        </w:rPr>
      </w:pPr>
      <w:r w:rsidRPr="00C26FDC">
        <w:rPr>
          <w:rStyle w:val="Refdenotaalpie"/>
          <w:rFonts w:ascii="Arial Narrow" w:hAnsi="Arial Narrow"/>
        </w:rPr>
        <w:footnoteRef/>
      </w:r>
      <w:r w:rsidRPr="00C26FDC">
        <w:rPr>
          <w:rFonts w:ascii="Arial Narrow" w:hAnsi="Arial Narrow"/>
        </w:rPr>
        <w:t xml:space="preserve"> </w:t>
      </w:r>
      <w:r w:rsidRPr="00C26FDC">
        <w:rPr>
          <w:rFonts w:ascii="Arial Narrow" w:hAnsi="Arial Narrow"/>
          <w:lang w:val="es-ES"/>
        </w:rPr>
        <w:t>Acuerdo IEM-CEAPI-027/2024.</w:t>
      </w:r>
    </w:p>
  </w:footnote>
  <w:footnote w:id="6">
    <w:p w14:paraId="72E0B2B7" w14:textId="77777777" w:rsidR="00E11D56" w:rsidRDefault="00000000">
      <w:pPr>
        <w:pStyle w:val="Textonotapie"/>
        <w:rPr>
          <w:rFonts w:ascii="Arial Narrow" w:hAnsi="Arial Narrow"/>
          <w:lang w:val="es-ES"/>
        </w:rPr>
      </w:pPr>
      <w:r w:rsidRPr="00C26FDC">
        <w:rPr>
          <w:rStyle w:val="Refdenotaalpie"/>
          <w:rFonts w:ascii="Arial Narrow" w:hAnsi="Arial Narrow"/>
        </w:rPr>
        <w:footnoteRef/>
      </w:r>
      <w:r w:rsidRPr="00C26FDC">
        <w:rPr>
          <w:rFonts w:ascii="Arial Narrow" w:hAnsi="Arial Narrow"/>
          <w:lang w:val="es-ES"/>
        </w:rPr>
        <w:t>Fojas 579 a 598 del Tomo II, del expediente digitalizado IEM-CEAPI-CI02C/2021.</w:t>
      </w:r>
    </w:p>
  </w:footnote>
  <w:footnote w:id="7">
    <w:p w14:paraId="31351B71" w14:textId="77777777" w:rsidR="00E11D56" w:rsidRPr="001C2B43" w:rsidRDefault="00000000">
      <w:pPr>
        <w:pStyle w:val="Textonotapie"/>
        <w:jc w:val="both"/>
        <w:rPr>
          <w:rFonts w:ascii="Arial Narrow" w:hAnsi="Arial Narrow"/>
          <w:lang w:val="es-ES"/>
        </w:rPr>
      </w:pPr>
      <w:r w:rsidRPr="001C2B43">
        <w:rPr>
          <w:rStyle w:val="Refdenotaalpie"/>
          <w:rFonts w:ascii="Arial Narrow" w:hAnsi="Arial Narrow"/>
        </w:rPr>
        <w:footnoteRef/>
      </w:r>
      <w:r w:rsidRPr="001C2B43">
        <w:rPr>
          <w:rStyle w:val="Refdenotaalpie"/>
          <w:rFonts w:ascii="Arial Narrow" w:hAnsi="Arial Narrow"/>
        </w:rPr>
        <w:t xml:space="preserve"> </w:t>
      </w:r>
      <w:r w:rsidRPr="001C2B43">
        <w:rPr>
          <w:rFonts w:ascii="Arial Narrow" w:hAnsi="Arial Narrow"/>
          <w:lang w:val="es-ES"/>
        </w:rPr>
        <w:t xml:space="preserve">Fojas visibles a 534 a 556 del Tomo II, </w:t>
      </w:r>
      <w:r w:rsidRPr="001C2B43">
        <w:rPr>
          <w:rFonts w:ascii="Arial Narrow" w:hAnsi="Arial Narrow"/>
        </w:rPr>
        <w:t>del expediente digitalizado IEM-CEAPI-CI02C/2021</w:t>
      </w:r>
    </w:p>
  </w:footnote>
  <w:footnote w:id="8">
    <w:p w14:paraId="5D6A9125" w14:textId="77777777" w:rsidR="00E11D56" w:rsidRPr="001C2B43" w:rsidRDefault="00000000">
      <w:pPr>
        <w:pStyle w:val="Textonotapie"/>
        <w:jc w:val="both"/>
        <w:rPr>
          <w:rFonts w:ascii="Arial Narrow" w:hAnsi="Arial Narrow"/>
          <w:lang w:val="es-ES"/>
        </w:rPr>
      </w:pPr>
      <w:r w:rsidRPr="001C2B43">
        <w:rPr>
          <w:rStyle w:val="Refdenotaalpie"/>
          <w:rFonts w:ascii="Arial Narrow" w:hAnsi="Arial Narrow"/>
        </w:rPr>
        <w:footnoteRef/>
      </w:r>
      <w:r w:rsidRPr="001C2B43">
        <w:rPr>
          <w:rFonts w:ascii="Arial Narrow" w:hAnsi="Arial Narrow"/>
        </w:rPr>
        <w:t xml:space="preserve"> </w:t>
      </w:r>
      <w:r w:rsidRPr="001C2B43">
        <w:rPr>
          <w:rFonts w:ascii="Arial Narrow" w:hAnsi="Arial Narrow"/>
          <w:lang w:val="es-ES"/>
        </w:rPr>
        <w:t xml:space="preserve">Fojas 168 y 170 del </w:t>
      </w:r>
      <w:r w:rsidRPr="001C2B43">
        <w:rPr>
          <w:rFonts w:ascii="Arial Narrow" w:hAnsi="Arial Narrow"/>
        </w:rPr>
        <w:t xml:space="preserve">expediente </w:t>
      </w:r>
      <w:r w:rsidRPr="001C2B43">
        <w:rPr>
          <w:rFonts w:ascii="Arial Narrow" w:hAnsi="Arial Narrow"/>
          <w:lang w:val="es-ES"/>
        </w:rPr>
        <w:t xml:space="preserve">TEEM-JDC-05/2026. </w:t>
      </w:r>
    </w:p>
  </w:footnote>
  <w:footnote w:id="9">
    <w:p w14:paraId="5C4F2323" w14:textId="77777777" w:rsidR="00E11D56" w:rsidRPr="001C2B43" w:rsidRDefault="00000000">
      <w:pPr>
        <w:pStyle w:val="Textonotapie"/>
        <w:jc w:val="both"/>
        <w:rPr>
          <w:rFonts w:ascii="Arial Narrow" w:hAnsi="Arial Narrow"/>
          <w:lang w:val="es-ES"/>
        </w:rPr>
      </w:pPr>
      <w:r w:rsidRPr="001C2B43">
        <w:rPr>
          <w:rStyle w:val="Refdenotaalpie"/>
          <w:rFonts w:ascii="Arial Narrow" w:hAnsi="Arial Narrow"/>
        </w:rPr>
        <w:footnoteRef/>
      </w:r>
      <w:r w:rsidRPr="001C2B43">
        <w:rPr>
          <w:rFonts w:ascii="Arial Narrow" w:hAnsi="Arial Narrow"/>
        </w:rPr>
        <w:t xml:space="preserve"> </w:t>
      </w:r>
      <w:r w:rsidRPr="001C2B43">
        <w:rPr>
          <w:rFonts w:ascii="Arial Narrow" w:hAnsi="Arial Narrow"/>
          <w:lang w:val="es-ES"/>
        </w:rPr>
        <w:t>Foja 3 del Cuaderno de Antecedentes del TEEM-JDC-05/2026.</w:t>
      </w:r>
    </w:p>
  </w:footnote>
  <w:footnote w:id="10">
    <w:p w14:paraId="6303E8BA" w14:textId="446ECF64" w:rsidR="00E11D56" w:rsidRDefault="00000000">
      <w:pPr>
        <w:pStyle w:val="Textonotapie"/>
        <w:jc w:val="both"/>
        <w:rPr>
          <w:rFonts w:ascii="Arial Narrow" w:hAnsi="Arial Narrow"/>
        </w:rPr>
      </w:pPr>
      <w:r w:rsidRPr="001C2B43">
        <w:rPr>
          <w:rStyle w:val="Refdenotaalpie"/>
          <w:rFonts w:ascii="Arial Narrow" w:hAnsi="Arial Narrow"/>
        </w:rPr>
        <w:footnoteRef/>
      </w:r>
      <w:r w:rsidRPr="001C2B43">
        <w:rPr>
          <w:rFonts w:ascii="Arial Narrow" w:hAnsi="Arial Narrow"/>
        </w:rPr>
        <w:t xml:space="preserve"> </w:t>
      </w:r>
      <w:r w:rsidRPr="001C2B43">
        <w:rPr>
          <w:rFonts w:ascii="Arial Narrow" w:hAnsi="Arial Narrow"/>
          <w:lang w:val="es-ES"/>
        </w:rPr>
        <w:t xml:space="preserve">Foja 602 del del Tomo II, </w:t>
      </w:r>
      <w:r w:rsidRPr="001C2B43">
        <w:rPr>
          <w:rFonts w:ascii="Arial Narrow" w:hAnsi="Arial Narrow"/>
        </w:rPr>
        <w:t>del expediente IEM-CEAPI-CI02C/2021</w:t>
      </w:r>
      <w:r w:rsidR="001C2B43">
        <w:rPr>
          <w:rFonts w:ascii="Arial Narrow" w:hAnsi="Arial Narrow"/>
        </w:rPr>
        <w:t>.</w:t>
      </w:r>
    </w:p>
  </w:footnote>
  <w:footnote w:id="11">
    <w:p w14:paraId="280420CE" w14:textId="77777777" w:rsidR="00E11D56" w:rsidRDefault="00000000">
      <w:pPr>
        <w:pStyle w:val="Textonotapie"/>
        <w:jc w:val="both"/>
        <w:rPr>
          <w:rFonts w:ascii="Arial Narrow" w:hAnsi="Arial Narrow"/>
        </w:rPr>
      </w:pPr>
      <w:r>
        <w:rPr>
          <w:rStyle w:val="Refdenotaalpie"/>
          <w:rFonts w:ascii="Arial Narrow" w:hAnsi="Arial Narrow"/>
        </w:rPr>
        <w:footnoteRef/>
      </w:r>
      <w:r>
        <w:rPr>
          <w:rFonts w:ascii="Arial Narrow" w:hAnsi="Arial Narrow"/>
        </w:rPr>
        <w:t xml:space="preserve"> Fojas 38 y 39 del expediente.</w:t>
      </w:r>
    </w:p>
  </w:footnote>
  <w:footnote w:id="12">
    <w:p w14:paraId="416B54A1" w14:textId="77777777" w:rsidR="00E11D56" w:rsidRDefault="00000000">
      <w:pPr>
        <w:pStyle w:val="Textonotapie"/>
        <w:jc w:val="both"/>
        <w:rPr>
          <w:rFonts w:ascii="Arial Narrow" w:hAnsi="Arial Narrow"/>
        </w:rPr>
      </w:pPr>
      <w:r>
        <w:rPr>
          <w:rStyle w:val="Refdenotaalpie"/>
          <w:rFonts w:ascii="Arial Narrow" w:hAnsi="Arial Narrow"/>
        </w:rPr>
        <w:footnoteRef/>
      </w:r>
      <w:r>
        <w:rPr>
          <w:rFonts w:ascii="Arial Narrow" w:hAnsi="Arial Narrow"/>
        </w:rPr>
        <w:t xml:space="preserve"> Fojas 40 y 42 del expediente.</w:t>
      </w:r>
    </w:p>
  </w:footnote>
  <w:footnote w:id="13">
    <w:p w14:paraId="4D9A7D81" w14:textId="77777777" w:rsidR="00E11D56" w:rsidRPr="00F11E2B" w:rsidRDefault="00000000">
      <w:pPr>
        <w:pStyle w:val="Textonotapie"/>
        <w:jc w:val="both"/>
        <w:rPr>
          <w:rFonts w:ascii="Arial Narrow" w:hAnsi="Arial Narrow"/>
        </w:rPr>
      </w:pPr>
      <w:r w:rsidRPr="00F11E2B">
        <w:rPr>
          <w:rStyle w:val="Refdenotaalpie"/>
          <w:rFonts w:ascii="Arial Narrow" w:hAnsi="Arial Narrow"/>
        </w:rPr>
        <w:footnoteRef/>
      </w:r>
      <w:r w:rsidRPr="00F11E2B">
        <w:rPr>
          <w:rFonts w:ascii="Arial Narrow" w:hAnsi="Arial Narrow"/>
        </w:rPr>
        <w:t xml:space="preserve"> Fojas 60 y 61 del expediente.</w:t>
      </w:r>
    </w:p>
  </w:footnote>
  <w:footnote w:id="14">
    <w:p w14:paraId="3ACD8F9C" w14:textId="6928B599" w:rsidR="00E11D56" w:rsidRDefault="00000000">
      <w:pPr>
        <w:pStyle w:val="Textonotapie"/>
        <w:jc w:val="both"/>
        <w:rPr>
          <w:rFonts w:ascii="Arial Narrow" w:hAnsi="Arial Narrow"/>
        </w:rPr>
      </w:pPr>
      <w:r w:rsidRPr="00F11E2B">
        <w:rPr>
          <w:rStyle w:val="Refdenotaalpie"/>
          <w:rFonts w:ascii="Arial Narrow" w:hAnsi="Arial Narrow"/>
        </w:rPr>
        <w:footnoteRef/>
      </w:r>
      <w:r w:rsidRPr="00F11E2B">
        <w:rPr>
          <w:rFonts w:ascii="Arial Narrow" w:hAnsi="Arial Narrow"/>
        </w:rPr>
        <w:t xml:space="preserve"> Fojas 68 y</w:t>
      </w:r>
      <w:r w:rsidR="00F11E2B" w:rsidRPr="00F11E2B">
        <w:rPr>
          <w:rFonts w:ascii="Arial Narrow" w:hAnsi="Arial Narrow"/>
        </w:rPr>
        <w:t xml:space="preserve"> 78 </w:t>
      </w:r>
      <w:r w:rsidRPr="00F11E2B">
        <w:rPr>
          <w:rFonts w:ascii="Arial Narrow" w:hAnsi="Arial Narrow"/>
        </w:rPr>
        <w:t>del expediente.</w:t>
      </w:r>
    </w:p>
  </w:footnote>
  <w:footnote w:id="15">
    <w:p w14:paraId="7B0B3407" w14:textId="77777777" w:rsidR="00E11D56" w:rsidRPr="001C2B43" w:rsidRDefault="00000000">
      <w:pPr>
        <w:spacing w:after="0" w:line="240" w:lineRule="auto"/>
        <w:jc w:val="both"/>
        <w:rPr>
          <w:rFonts w:ascii="Arial Narrow" w:hAnsi="Arial Narrow"/>
          <w:sz w:val="20"/>
          <w:szCs w:val="20"/>
        </w:rPr>
      </w:pPr>
      <w:r w:rsidRPr="001C2B43">
        <w:rPr>
          <w:rStyle w:val="Refdenotaalpie"/>
          <w:rFonts w:ascii="Arial Narrow" w:hAnsi="Arial Narrow"/>
          <w:sz w:val="20"/>
          <w:szCs w:val="20"/>
          <w:lang w:val="es-ES_tradnl"/>
        </w:rPr>
        <w:footnoteRef/>
      </w:r>
      <w:r w:rsidRPr="001C2B43">
        <w:rPr>
          <w:rFonts w:ascii="Arial Narrow" w:hAnsi="Arial Narrow"/>
          <w:sz w:val="20"/>
          <w:szCs w:val="20"/>
          <w:lang w:val="es-ES_tradnl"/>
        </w:rPr>
        <w:t xml:space="preserve"> Se cita de manera orientadora la jurisprudencia </w:t>
      </w:r>
      <w:r w:rsidRPr="001C2B43">
        <w:rPr>
          <w:rFonts w:ascii="Arial Narrow" w:hAnsi="Arial Narrow"/>
          <w:sz w:val="20"/>
          <w:szCs w:val="20"/>
        </w:rPr>
        <w:t xml:space="preserve">de rubro: </w:t>
      </w:r>
      <w:r w:rsidRPr="001C2B43">
        <w:rPr>
          <w:rFonts w:ascii="Arial Narrow" w:hAnsi="Arial Narrow"/>
          <w:i/>
          <w:iCs/>
          <w:sz w:val="20"/>
          <w:szCs w:val="20"/>
        </w:rPr>
        <w:t>“IMPROCEDENCIA, CAUSALES DE. EN EL JUICIO DE AMPARO”</w:t>
      </w:r>
      <w:r w:rsidRPr="001C2B43">
        <w:rPr>
          <w:rFonts w:ascii="Arial Narrow" w:hAnsi="Arial Narrow"/>
          <w:sz w:val="20"/>
          <w:szCs w:val="20"/>
        </w:rPr>
        <w:t xml:space="preserve">, </w:t>
      </w:r>
      <w:r w:rsidRPr="001C2B43">
        <w:rPr>
          <w:rFonts w:ascii="Arial Narrow" w:hAnsi="Arial Narrow"/>
          <w:i/>
          <w:sz w:val="20"/>
          <w:szCs w:val="20"/>
        </w:rPr>
        <w:t>Tribunales Colegiados de Circuito</w:t>
      </w:r>
      <w:r w:rsidRPr="001C2B43">
        <w:rPr>
          <w:rFonts w:ascii="Arial Narrow" w:hAnsi="Arial Narrow"/>
          <w:sz w:val="20"/>
          <w:szCs w:val="20"/>
        </w:rPr>
        <w:t xml:space="preserve">, Octava Época, publicada en el Semanario Judicial de la Federación, Tomo VII, mayo de 1991, pág.95, que menciona “Las causales de improcedencia del juicio de amparo, por ser de orden público deben estudiarse previamente, lo aleguen o no las partes, cualquiera que sea la instancia”. </w:t>
      </w:r>
    </w:p>
  </w:footnote>
  <w:footnote w:id="16">
    <w:p w14:paraId="77D7E102" w14:textId="77777777" w:rsidR="00E11D56" w:rsidRDefault="00000000">
      <w:pPr>
        <w:pStyle w:val="Textonotapie"/>
        <w:jc w:val="both"/>
        <w:rPr>
          <w:rFonts w:ascii="Arial Narrow" w:hAnsi="Arial Narrow" w:cs="Arial"/>
        </w:rPr>
      </w:pPr>
      <w:r w:rsidRPr="001C2B43">
        <w:rPr>
          <w:rStyle w:val="Refdenotaalpie"/>
          <w:rFonts w:ascii="Arial Narrow" w:hAnsi="Arial Narrow" w:cs="Arial"/>
        </w:rPr>
        <w:footnoteRef/>
      </w:r>
      <w:r w:rsidRPr="001C2B43">
        <w:rPr>
          <w:rFonts w:ascii="Arial Narrow" w:hAnsi="Arial Narrow" w:cs="Arial"/>
        </w:rPr>
        <w:t xml:space="preserve"> Así como se resolvió entre otros en el </w:t>
      </w:r>
      <w:r w:rsidRPr="001C2B43">
        <w:rPr>
          <w:rFonts w:ascii="Arial Narrow" w:hAnsi="Arial Narrow" w:cs="Arial"/>
          <w:i/>
          <w:iCs/>
        </w:rPr>
        <w:t>juicio de la ciudadanía</w:t>
      </w:r>
      <w:r w:rsidRPr="001C2B43">
        <w:rPr>
          <w:rFonts w:ascii="Arial Narrow" w:hAnsi="Arial Narrow" w:cs="Arial"/>
        </w:rPr>
        <w:t xml:space="preserve"> TEEM-JDC-001/2024.</w:t>
      </w:r>
    </w:p>
  </w:footnote>
  <w:footnote w:id="17">
    <w:p w14:paraId="2FDFFC4B" w14:textId="77777777" w:rsidR="00E11D56" w:rsidRPr="001C2B43" w:rsidRDefault="00000000">
      <w:pPr>
        <w:pStyle w:val="Textonotapie"/>
        <w:jc w:val="both"/>
        <w:rPr>
          <w:rFonts w:ascii="Arial Narrow" w:hAnsi="Arial Narrow" w:cs="Arial"/>
          <w:i/>
          <w:iCs/>
        </w:rPr>
      </w:pPr>
      <w:r w:rsidRPr="001C2B43">
        <w:rPr>
          <w:rStyle w:val="Refdenotaalpie"/>
          <w:rFonts w:ascii="Arial Narrow" w:hAnsi="Arial Narrow" w:cs="Arial"/>
        </w:rPr>
        <w:footnoteRef/>
      </w:r>
      <w:r w:rsidRPr="001C2B43">
        <w:rPr>
          <w:rFonts w:ascii="Arial Narrow" w:hAnsi="Arial Narrow" w:cs="Arial"/>
        </w:rPr>
        <w:t xml:space="preserve"> “</w:t>
      </w:r>
      <w:r w:rsidRPr="001C2B43">
        <w:rPr>
          <w:rFonts w:ascii="Arial Narrow" w:hAnsi="Arial Narrow" w:cs="Arial"/>
          <w:i/>
          <w:iCs/>
        </w:rPr>
        <w:t>Artículo 10. Los medios de impugnación deberán presentarse por escrito ante la autoridad u órgano partidista señalado como responsable del acto, acuerdo o resolución impugnada, y deberá cumplir con los requisitos siguientes:</w:t>
      </w:r>
    </w:p>
    <w:p w14:paraId="3EDE98BF" w14:textId="77777777" w:rsidR="00E11D56" w:rsidRPr="001C2B43" w:rsidRDefault="00000000">
      <w:pPr>
        <w:pStyle w:val="Textonotapie"/>
        <w:jc w:val="both"/>
        <w:rPr>
          <w:rFonts w:ascii="Arial Narrow" w:hAnsi="Arial Narrow" w:cs="Arial"/>
          <w:i/>
          <w:iCs/>
        </w:rPr>
      </w:pPr>
      <w:r w:rsidRPr="001C2B43">
        <w:rPr>
          <w:rFonts w:ascii="Arial Narrow" w:hAnsi="Arial Narrow" w:cs="Arial"/>
          <w:i/>
          <w:iCs/>
        </w:rPr>
        <w:t>…</w:t>
      </w:r>
    </w:p>
    <w:p w14:paraId="7C96A682" w14:textId="77777777" w:rsidR="00E11D56" w:rsidRPr="001C2B43" w:rsidRDefault="00000000">
      <w:pPr>
        <w:pStyle w:val="Textonotapie"/>
        <w:jc w:val="both"/>
        <w:rPr>
          <w:rFonts w:ascii="Arial Narrow" w:hAnsi="Arial Narrow" w:cs="Arial"/>
          <w:i/>
          <w:iCs/>
        </w:rPr>
      </w:pPr>
      <w:r w:rsidRPr="001C2B43">
        <w:rPr>
          <w:rFonts w:ascii="Arial Narrow" w:hAnsi="Arial Narrow" w:cs="Arial"/>
          <w:i/>
          <w:iCs/>
        </w:rPr>
        <w:t>Hacer constar el nombre y firma autógrafa del promovente.</w:t>
      </w:r>
    </w:p>
    <w:p w14:paraId="3A7EC23D" w14:textId="77777777" w:rsidR="00E11D56" w:rsidRPr="001C2B43" w:rsidRDefault="00000000">
      <w:pPr>
        <w:pStyle w:val="Textonotapie"/>
        <w:jc w:val="both"/>
        <w:rPr>
          <w:rFonts w:ascii="Arial" w:hAnsi="Arial" w:cs="Arial"/>
          <w:i/>
          <w:iCs/>
        </w:rPr>
      </w:pPr>
      <w:r w:rsidRPr="001C2B43">
        <w:rPr>
          <w:rFonts w:ascii="Arial Narrow" w:hAnsi="Arial Narrow" w:cs="Arial"/>
          <w:i/>
          <w:iCs/>
        </w:rPr>
        <w:t>…”.</w:t>
      </w:r>
    </w:p>
  </w:footnote>
  <w:footnote w:id="18">
    <w:p w14:paraId="2BEE5F20" w14:textId="77777777" w:rsidR="00E11D56" w:rsidRPr="001C2B43" w:rsidRDefault="00000000">
      <w:pPr>
        <w:pStyle w:val="Textonotapie"/>
        <w:jc w:val="both"/>
        <w:rPr>
          <w:rFonts w:ascii="Arial Narrow" w:hAnsi="Arial Narrow" w:cs="Arial"/>
        </w:rPr>
      </w:pPr>
      <w:r w:rsidRPr="001C2B43">
        <w:rPr>
          <w:rStyle w:val="Refdenotaalpie"/>
          <w:rFonts w:ascii="Arial Narrow" w:hAnsi="Arial Narrow" w:cs="Arial"/>
        </w:rPr>
        <w:footnoteRef/>
      </w:r>
      <w:r w:rsidRPr="001C2B43">
        <w:rPr>
          <w:rFonts w:ascii="Arial Narrow" w:hAnsi="Arial Narrow" w:cs="Arial"/>
        </w:rPr>
        <w:t xml:space="preserve"> En los juicios ciudadanos ST-JDC-5/2021, ST-JDC-1/2021, ST-JDC-130/2020, entre otros.</w:t>
      </w:r>
    </w:p>
  </w:footnote>
  <w:footnote w:id="19">
    <w:p w14:paraId="72C4149B" w14:textId="77777777" w:rsidR="00E11D56" w:rsidRDefault="00000000">
      <w:pPr>
        <w:pStyle w:val="Textonotapie"/>
        <w:jc w:val="both"/>
        <w:rPr>
          <w:rFonts w:ascii="Arial Narrow" w:hAnsi="Arial Narrow" w:cs="Arial"/>
        </w:rPr>
      </w:pPr>
      <w:r w:rsidRPr="001C2B43">
        <w:rPr>
          <w:rStyle w:val="Refdenotaalpie"/>
          <w:rFonts w:ascii="Arial Narrow" w:hAnsi="Arial Narrow" w:cs="Arial"/>
        </w:rPr>
        <w:footnoteRef/>
      </w:r>
      <w:r w:rsidRPr="001C2B43">
        <w:rPr>
          <w:rFonts w:ascii="Arial Narrow" w:hAnsi="Arial Narrow" w:cs="Arial"/>
        </w:rPr>
        <w:t xml:space="preserve"> SUP-REC-90/2020.</w:t>
      </w:r>
    </w:p>
  </w:footnote>
  <w:footnote w:id="20">
    <w:p w14:paraId="6757712C" w14:textId="77777777" w:rsidR="00E11D56" w:rsidRDefault="00000000">
      <w:pPr>
        <w:pStyle w:val="Textonotapie"/>
        <w:jc w:val="both"/>
        <w:rPr>
          <w:rFonts w:ascii="Arial Narrow" w:hAnsi="Arial Narrow" w:cs="Arial"/>
          <w:i/>
          <w:iCs/>
        </w:rPr>
      </w:pPr>
      <w:r>
        <w:rPr>
          <w:rStyle w:val="Refdenotaalpie"/>
          <w:rFonts w:ascii="Arial Narrow" w:hAnsi="Arial Narrow" w:cs="Arial"/>
        </w:rPr>
        <w:footnoteRef/>
      </w:r>
      <w:r>
        <w:rPr>
          <w:rFonts w:ascii="Arial Narrow" w:hAnsi="Arial Narrow" w:cs="Arial"/>
        </w:rPr>
        <w:t xml:space="preserve"> Jurisprudencia 15/2011, emitida por la </w:t>
      </w:r>
      <w:r>
        <w:rPr>
          <w:rFonts w:ascii="Arial Narrow" w:hAnsi="Arial Narrow" w:cs="Arial"/>
          <w:i/>
          <w:iCs/>
        </w:rPr>
        <w:t>Sala Superior</w:t>
      </w:r>
      <w:r>
        <w:rPr>
          <w:rFonts w:ascii="Arial Narrow" w:hAnsi="Arial Narrow" w:cs="Arial"/>
        </w:rPr>
        <w:t xml:space="preserve">, bajo el rubro: </w:t>
      </w:r>
      <w:r>
        <w:rPr>
          <w:rFonts w:ascii="Arial Narrow" w:hAnsi="Arial Narrow" w:cs="Arial"/>
          <w:b/>
          <w:bCs/>
          <w:i/>
          <w:iCs/>
        </w:rPr>
        <w:t>PLAZO PARA PRESENTAR UN MEDIO DE IMPUGNACIÓN, TRATÁNDOSE DE OMISIONES</w:t>
      </w:r>
      <w:r>
        <w:rPr>
          <w:rFonts w:ascii="Arial Narrow" w:hAnsi="Arial Narrow" w:cs="Arial"/>
          <w:b/>
          <w:bCs/>
        </w:rPr>
        <w:t xml:space="preserve"> </w:t>
      </w:r>
      <w:r>
        <w:rPr>
          <w:rFonts w:ascii="Arial Narrow" w:hAnsi="Arial Narrow" w:cs="Arial"/>
        </w:rPr>
        <w:t>y 41/2002, de rubro:</w:t>
      </w:r>
      <w:r>
        <w:rPr>
          <w:rFonts w:ascii="Arial Narrow" w:hAnsi="Arial Narrow" w:cs="Arial"/>
          <w:b/>
          <w:bCs/>
        </w:rPr>
        <w:t xml:space="preserve"> </w:t>
      </w:r>
      <w:r>
        <w:rPr>
          <w:rFonts w:ascii="Arial Narrow" w:hAnsi="Arial Narrow" w:cs="Arial"/>
          <w:b/>
          <w:bCs/>
          <w:i/>
          <w:iCs/>
        </w:rPr>
        <w:t>OMISIONES EN MATERIA ELECTORAL. SON IMPUGNABLES.</w:t>
      </w:r>
    </w:p>
  </w:footnote>
  <w:footnote w:id="21">
    <w:p w14:paraId="209D905C" w14:textId="77777777" w:rsidR="00E11D56" w:rsidRDefault="00000000">
      <w:pPr>
        <w:pStyle w:val="Textonotapie"/>
        <w:jc w:val="both"/>
        <w:rPr>
          <w:rFonts w:ascii="Arial Narrow" w:hAnsi="Arial Narrow" w:cs="Arial"/>
        </w:rPr>
      </w:pPr>
      <w:r>
        <w:rPr>
          <w:rStyle w:val="Refdenotaalpie"/>
          <w:rFonts w:ascii="Arial Narrow" w:hAnsi="Arial Narrow" w:cs="Arial"/>
        </w:rPr>
        <w:footnoteRef/>
      </w:r>
      <w:r>
        <w:rPr>
          <w:rFonts w:ascii="Arial Narrow" w:hAnsi="Arial Narrow" w:cs="Arial"/>
        </w:rPr>
        <w:t xml:space="preserve"> Sirve de apoyo a lo anterior, la jurisprudencia 7/2002 emitida por la </w:t>
      </w:r>
      <w:r>
        <w:rPr>
          <w:rFonts w:ascii="Arial Narrow" w:hAnsi="Arial Narrow" w:cs="Arial"/>
          <w:i/>
          <w:iCs/>
        </w:rPr>
        <w:t>Sala Superior</w:t>
      </w:r>
      <w:r>
        <w:rPr>
          <w:rFonts w:ascii="Arial Narrow" w:hAnsi="Arial Narrow" w:cs="Arial"/>
        </w:rPr>
        <w:t> de rubro: </w:t>
      </w:r>
      <w:r>
        <w:rPr>
          <w:rFonts w:ascii="Arial Narrow" w:hAnsi="Arial Narrow" w:cs="Arial"/>
          <w:b/>
          <w:bCs/>
          <w:i/>
          <w:iCs/>
        </w:rPr>
        <w:t>INTERÉS JURÍDICO DIRECTO PARA PROMOVER MEDIOS DE IMPUGNACIÓN. REQUISITOS PARA SU SURTIMIENTO</w:t>
      </w:r>
      <w:r>
        <w:rPr>
          <w:rFonts w:ascii="Arial Narrow" w:hAnsi="Arial Narrow" w:cs="Arial"/>
        </w:rPr>
        <w:t>.</w:t>
      </w:r>
    </w:p>
  </w:footnote>
  <w:footnote w:id="22">
    <w:p w14:paraId="57B7D810" w14:textId="77777777" w:rsidR="00E11D56" w:rsidRDefault="00000000">
      <w:pPr>
        <w:pStyle w:val="Textonotapie"/>
        <w:jc w:val="both"/>
        <w:rPr>
          <w:rFonts w:ascii="Arial Narrow" w:hAnsi="Arial Narrow" w:cs="Arial"/>
          <w:lang w:val="es-ES"/>
        </w:rPr>
      </w:pPr>
      <w:r>
        <w:rPr>
          <w:rStyle w:val="Refdenotaalpie"/>
          <w:rFonts w:ascii="Arial Narrow" w:hAnsi="Arial Narrow" w:cs="Arial"/>
        </w:rPr>
        <w:footnoteRef/>
      </w:r>
      <w:r>
        <w:rPr>
          <w:rFonts w:ascii="Arial Narrow" w:hAnsi="Arial Narrow" w:cs="Arial"/>
        </w:rPr>
        <w:t xml:space="preserve"> 4/2012, de rubro: </w:t>
      </w:r>
      <w:r>
        <w:rPr>
          <w:rFonts w:ascii="Arial Narrow" w:hAnsi="Arial Narrow" w:cs="Arial"/>
          <w:i/>
          <w:iCs/>
        </w:rPr>
        <w:t>“</w:t>
      </w:r>
      <w:r>
        <w:rPr>
          <w:rFonts w:ascii="Arial Narrow" w:hAnsi="Arial Narrow" w:cs="Arial"/>
          <w:b/>
          <w:bCs/>
          <w:i/>
          <w:iCs/>
        </w:rPr>
        <w:t>COMUNIDADES INDÍGENAS. LA CONCIENCIA DE IDENTIDAD ES SUFICIENTE PARA LEGITIMAR LA PROCEDENCIA DEL JUICIO PARA LA PROTECCIÓN DE LOS DERECHOS POLÍTICO-ELECTORALES DEL CIUDADANO”.</w:t>
      </w:r>
    </w:p>
  </w:footnote>
  <w:footnote w:id="23">
    <w:p w14:paraId="42E8B1F5" w14:textId="77777777" w:rsidR="00E11D56" w:rsidRDefault="00000000">
      <w:pPr>
        <w:pStyle w:val="Textonotapie"/>
        <w:jc w:val="both"/>
        <w:rPr>
          <w:rFonts w:ascii="Arial Narrow" w:hAnsi="Arial Narrow" w:cs="Arial"/>
          <w:lang w:val="es-ES"/>
        </w:rPr>
      </w:pPr>
      <w:r>
        <w:rPr>
          <w:rStyle w:val="Refdenotaalpie"/>
          <w:rFonts w:ascii="Arial Narrow" w:hAnsi="Arial Narrow" w:cs="Arial"/>
        </w:rPr>
        <w:footnoteRef/>
      </w:r>
      <w:r>
        <w:rPr>
          <w:rFonts w:ascii="Arial Narrow" w:hAnsi="Arial Narrow" w:cs="Arial"/>
        </w:rPr>
        <w:t xml:space="preserve"> Jurisprudencia 19/2018, emitida por la </w:t>
      </w:r>
      <w:r>
        <w:rPr>
          <w:rFonts w:ascii="Arial Narrow" w:hAnsi="Arial Narrow" w:cs="Arial"/>
          <w:i/>
          <w:iCs/>
        </w:rPr>
        <w:t>Sala Superior</w:t>
      </w:r>
      <w:r>
        <w:rPr>
          <w:rFonts w:ascii="Arial Narrow" w:hAnsi="Arial Narrow" w:cs="Arial"/>
        </w:rPr>
        <w:t xml:space="preserve">, de rubro: </w:t>
      </w:r>
      <w:r>
        <w:rPr>
          <w:rFonts w:ascii="Arial Narrow" w:hAnsi="Arial Narrow" w:cs="Arial"/>
          <w:i/>
          <w:iCs/>
        </w:rPr>
        <w:t>“</w:t>
      </w:r>
      <w:r>
        <w:rPr>
          <w:rFonts w:ascii="Arial Narrow" w:hAnsi="Arial Narrow" w:cs="Arial"/>
          <w:b/>
          <w:bCs/>
          <w:i/>
          <w:iCs/>
        </w:rPr>
        <w:t>JUZGAR CON PERSPECTIVA INTERCULTURAL. ELEMENTOS MÍNIMOS PARA SU APLICACIÓN EN MATERIA ELECTORAL”.</w:t>
      </w:r>
    </w:p>
  </w:footnote>
  <w:footnote w:id="24">
    <w:p w14:paraId="73FFDD2A" w14:textId="77777777" w:rsidR="00E11D56" w:rsidRPr="001C2B43" w:rsidRDefault="00000000">
      <w:pPr>
        <w:pStyle w:val="Textonotapie"/>
        <w:jc w:val="both"/>
        <w:rPr>
          <w:rFonts w:ascii="Arial Narrow" w:hAnsi="Arial Narrow"/>
          <w:i/>
          <w:iCs/>
          <w:lang w:val="es-ES"/>
        </w:rPr>
      </w:pPr>
      <w:r w:rsidRPr="001C2B43">
        <w:rPr>
          <w:rStyle w:val="Refdenotaalpie"/>
          <w:rFonts w:ascii="Arial Narrow" w:hAnsi="Arial Narrow" w:cs="Arial"/>
        </w:rPr>
        <w:footnoteRef/>
      </w:r>
      <w:r w:rsidRPr="001C2B43">
        <w:rPr>
          <w:rFonts w:ascii="Arial Narrow" w:hAnsi="Arial Narrow" w:cs="Arial"/>
        </w:rPr>
        <w:t xml:space="preserve"> Jurisprudencia 13/2008, emitida por la </w:t>
      </w:r>
      <w:r w:rsidRPr="001C2B43">
        <w:rPr>
          <w:rFonts w:ascii="Arial Narrow" w:hAnsi="Arial Narrow" w:cs="Arial"/>
          <w:i/>
          <w:iCs/>
        </w:rPr>
        <w:t>Sala Superior, </w:t>
      </w:r>
      <w:r w:rsidRPr="001C2B43">
        <w:rPr>
          <w:rFonts w:ascii="Arial Narrow" w:hAnsi="Arial Narrow" w:cs="Arial"/>
        </w:rPr>
        <w:t>de ru</w:t>
      </w:r>
      <w:r w:rsidRPr="001C2B43">
        <w:rPr>
          <w:rFonts w:ascii="Arial Narrow" w:hAnsi="Arial Narrow" w:cs="Arial"/>
          <w:i/>
          <w:iCs/>
        </w:rPr>
        <w:t>bro</w:t>
      </w:r>
      <w:r w:rsidRPr="001C2B43">
        <w:rPr>
          <w:rFonts w:ascii="Arial Narrow" w:hAnsi="Arial Narrow" w:cs="Arial"/>
        </w:rPr>
        <w:t>: “</w:t>
      </w:r>
      <w:r w:rsidRPr="001C2B43">
        <w:rPr>
          <w:rFonts w:ascii="Arial Narrow" w:hAnsi="Arial Narrow" w:cs="Arial"/>
          <w:b/>
          <w:bCs/>
          <w:i/>
          <w:iCs/>
        </w:rPr>
        <w:t>COMUNIDADES INDÍGENAS. SUPLENCIA DE LA QUEJA EN LOS JUICIOS ELECTORALES PROMOVIDOS POR SUS INTEGRANTES”.</w:t>
      </w:r>
    </w:p>
  </w:footnote>
  <w:footnote w:id="25">
    <w:p w14:paraId="39D49A4E" w14:textId="77777777" w:rsidR="00E11D56" w:rsidRPr="001C2B43" w:rsidRDefault="00000000">
      <w:pPr>
        <w:pStyle w:val="Textonotapie"/>
        <w:jc w:val="both"/>
        <w:rPr>
          <w:rFonts w:ascii="Arial Narrow" w:hAnsi="Arial Narrow" w:cs="Arial"/>
          <w:lang w:val="es-ES"/>
        </w:rPr>
      </w:pPr>
      <w:r w:rsidRPr="001C2B43">
        <w:rPr>
          <w:rStyle w:val="Refdenotaalpie"/>
          <w:rFonts w:ascii="Arial Narrow" w:hAnsi="Arial Narrow" w:cs="Arial"/>
        </w:rPr>
        <w:footnoteRef/>
      </w:r>
      <w:r w:rsidRPr="001C2B43">
        <w:rPr>
          <w:rFonts w:ascii="Arial Narrow" w:hAnsi="Arial Narrow" w:cs="Arial"/>
        </w:rPr>
        <w:t xml:space="preserve"> Sentencia de Sala Regional Guadalajara del Tribunal Electoral del Poder Judicial de la Federación, en el expediente SG-JDC-35/2019.</w:t>
      </w:r>
    </w:p>
  </w:footnote>
  <w:footnote w:id="26">
    <w:p w14:paraId="2C307A87" w14:textId="77777777" w:rsidR="00E11D56" w:rsidRDefault="00000000">
      <w:pPr>
        <w:pStyle w:val="Textonotapie"/>
        <w:jc w:val="both"/>
        <w:rPr>
          <w:rFonts w:ascii="Arial Narrow" w:hAnsi="Arial Narrow" w:cs="Arial"/>
          <w:lang w:val="es-ES"/>
        </w:rPr>
      </w:pPr>
      <w:r w:rsidRPr="001C2B43">
        <w:rPr>
          <w:rStyle w:val="Refdenotaalpie"/>
          <w:rFonts w:ascii="Arial Narrow" w:hAnsi="Arial Narrow" w:cs="Arial"/>
        </w:rPr>
        <w:footnoteRef/>
      </w:r>
      <w:r w:rsidRPr="001C2B43">
        <w:rPr>
          <w:rFonts w:ascii="Arial Narrow" w:hAnsi="Arial Narrow" w:cs="Arial"/>
        </w:rPr>
        <w:t xml:space="preserve"> </w:t>
      </w:r>
      <w:hyperlink r:id="rId1" w:history="1">
        <w:r w:rsidR="00E11D56" w:rsidRPr="001C2B43">
          <w:rPr>
            <w:rStyle w:val="Hipervnculo"/>
            <w:rFonts w:ascii="Arial Narrow" w:hAnsi="Arial Narrow" w:cs="Arial"/>
          </w:rPr>
          <w:t>https://www.zitacuaro.gob.mx/articulo_160023</w:t>
        </w:r>
      </w:hyperlink>
      <w:r w:rsidRPr="001C2B43">
        <w:rPr>
          <w:rFonts w:ascii="Arial Narrow" w:hAnsi="Arial Narrow" w:cs="Arial"/>
          <w:b/>
          <w:bCs/>
        </w:rPr>
        <w:t>.</w:t>
      </w:r>
      <w:r>
        <w:rPr>
          <w:rFonts w:ascii="Arial Narrow" w:hAnsi="Arial Narrow" w:cs="Arial"/>
          <w:b/>
          <w:bCs/>
        </w:rPr>
        <w:t xml:space="preserve"> </w:t>
      </w:r>
    </w:p>
  </w:footnote>
  <w:footnote w:id="27">
    <w:p w14:paraId="5AD95EDD" w14:textId="77777777" w:rsidR="00E11D56" w:rsidRPr="001C2B43" w:rsidRDefault="00000000">
      <w:pPr>
        <w:pStyle w:val="Textonotapie"/>
        <w:jc w:val="both"/>
        <w:rPr>
          <w:rFonts w:ascii="Arial Narrow" w:hAnsi="Arial Narrow" w:cs="Arial"/>
        </w:rPr>
      </w:pPr>
      <w:r w:rsidRPr="001C2B43">
        <w:rPr>
          <w:rStyle w:val="Refdenotaalpie"/>
          <w:rFonts w:ascii="Arial Narrow" w:hAnsi="Arial Narrow" w:cs="Arial"/>
        </w:rPr>
        <w:footnoteRef/>
      </w:r>
      <w:r w:rsidRPr="001C2B43">
        <w:rPr>
          <w:rFonts w:ascii="Arial Narrow" w:hAnsi="Arial Narrow" w:cs="Arial"/>
        </w:rPr>
        <w:t xml:space="preserve"> Catálogo del INPI, ubicado en el enlace: </w:t>
      </w:r>
      <w:hyperlink r:id="rId2" w:history="1">
        <w:r w:rsidR="00E11D56" w:rsidRPr="001C2B43">
          <w:rPr>
            <w:rStyle w:val="Hipervnculo"/>
            <w:rFonts w:ascii="Arial Narrow" w:hAnsi="Arial Narrow" w:cs="Arial"/>
          </w:rPr>
          <w:t>https://catalogo.inpi.gob.mx/cedulas/</w:t>
        </w:r>
      </w:hyperlink>
      <w:r w:rsidRPr="001C2B43">
        <w:rPr>
          <w:rFonts w:ascii="Arial Narrow" w:hAnsi="Arial Narrow" w:cs="Arial"/>
        </w:rPr>
        <w:t>.</w:t>
      </w:r>
    </w:p>
  </w:footnote>
  <w:footnote w:id="28">
    <w:p w14:paraId="60192B9C" w14:textId="77777777" w:rsidR="00E11D56" w:rsidRDefault="00000000">
      <w:pPr>
        <w:pStyle w:val="Textonotapie"/>
        <w:jc w:val="both"/>
        <w:rPr>
          <w:rFonts w:ascii="Arial Narrow" w:hAnsi="Arial Narrow"/>
          <w:lang w:val="es-ES"/>
        </w:rPr>
      </w:pPr>
      <w:r w:rsidRPr="001C2B43">
        <w:rPr>
          <w:rStyle w:val="Refdenotaalpie"/>
          <w:rFonts w:ascii="Arial Narrow" w:hAnsi="Arial Narrow" w:cs="Arial"/>
        </w:rPr>
        <w:footnoteRef/>
      </w:r>
      <w:r w:rsidRPr="001C2B43">
        <w:rPr>
          <w:rFonts w:ascii="Arial Narrow" w:hAnsi="Arial Narrow" w:cs="Arial"/>
        </w:rPr>
        <w:t xml:space="preserve"> </w:t>
      </w:r>
      <w:hyperlink r:id="rId3" w:history="1">
        <w:r w:rsidR="00E11D56" w:rsidRPr="001C2B43">
          <w:rPr>
            <w:rStyle w:val="Hipervnculo"/>
            <w:rFonts w:ascii="Arial Narrow" w:hAnsi="Arial Narrow" w:cs="Arial"/>
          </w:rPr>
          <w:t>https://www.zitacuaro.gob.mx/articulo_160023</w:t>
        </w:r>
      </w:hyperlink>
      <w:r w:rsidRPr="001C2B43">
        <w:rPr>
          <w:rFonts w:ascii="Arial Narrow" w:hAnsi="Arial Narrow" w:cs="Arial"/>
        </w:rPr>
        <w:t>.</w:t>
      </w:r>
    </w:p>
  </w:footnote>
  <w:footnote w:id="29">
    <w:p w14:paraId="40AAEC05" w14:textId="77777777" w:rsidR="00E11D56" w:rsidRPr="001C2B43" w:rsidRDefault="00000000">
      <w:pPr>
        <w:pStyle w:val="Textonotapie"/>
        <w:jc w:val="both"/>
        <w:rPr>
          <w:rFonts w:ascii="Arial Narrow" w:hAnsi="Arial Narrow" w:cs="Arial"/>
          <w:lang w:val="es-ES"/>
        </w:rPr>
      </w:pPr>
      <w:r w:rsidRPr="001C2B43">
        <w:rPr>
          <w:rStyle w:val="Refdenotaalpie"/>
          <w:rFonts w:ascii="Arial Narrow" w:hAnsi="Arial Narrow" w:cs="Arial"/>
        </w:rPr>
        <w:footnoteRef/>
      </w:r>
      <w:r w:rsidRPr="001C2B43">
        <w:rPr>
          <w:rFonts w:ascii="Arial Narrow" w:hAnsi="Arial Narrow" w:cs="Arial"/>
        </w:rPr>
        <w:t xml:space="preserve"> Artículo 16, punto 7 del Bando de Gobierno Municipal del Ayuntamiento de Zitácuaro, Michoacán</w:t>
      </w:r>
      <w:r w:rsidRPr="001C2B43">
        <w:rPr>
          <w:rFonts w:ascii="Arial Narrow" w:hAnsi="Arial Narrow" w:cs="Arial"/>
          <w:i/>
          <w:iCs/>
        </w:rPr>
        <w:t>.</w:t>
      </w:r>
    </w:p>
  </w:footnote>
  <w:footnote w:id="30">
    <w:p w14:paraId="782D4851" w14:textId="77777777" w:rsidR="00E11D56" w:rsidRDefault="00000000">
      <w:pPr>
        <w:pStyle w:val="Textonotapie"/>
        <w:jc w:val="both"/>
        <w:rPr>
          <w:rFonts w:ascii="Arial Narrow" w:hAnsi="Arial Narrow" w:cs="Arial"/>
          <w:lang w:val="es-ES"/>
        </w:rPr>
      </w:pPr>
      <w:r w:rsidRPr="001C2B43">
        <w:rPr>
          <w:rStyle w:val="Refdenotaalpie"/>
          <w:rFonts w:ascii="Arial Narrow" w:hAnsi="Arial Narrow" w:cs="Arial"/>
        </w:rPr>
        <w:footnoteRef/>
      </w:r>
      <w:r w:rsidRPr="001C2B43">
        <w:rPr>
          <w:rFonts w:ascii="Arial Narrow" w:hAnsi="Arial Narrow" w:cs="Arial"/>
        </w:rPr>
        <w:t xml:space="preserve"> </w:t>
      </w:r>
      <w:hyperlink r:id="rId4" w:anchor="collapse-Resumen" w:history="1">
        <w:r w:rsidR="00E11D56" w:rsidRPr="001C2B43">
          <w:rPr>
            <w:rStyle w:val="Hipervnculo"/>
            <w:rFonts w:ascii="Arial Narrow" w:hAnsi="Arial Narrow" w:cs="Arial"/>
          </w:rPr>
          <w:t>México en cifras</w:t>
        </w:r>
      </w:hyperlink>
      <w:r w:rsidRPr="001C2B43">
        <w:rPr>
          <w:rFonts w:ascii="Arial Narrow" w:hAnsi="Arial Narrow" w:cs="Arial"/>
        </w:rPr>
        <w:t>.</w:t>
      </w:r>
      <w:r>
        <w:rPr>
          <w:rFonts w:ascii="Arial Narrow" w:hAnsi="Arial Narrow"/>
        </w:rPr>
        <w:t xml:space="preserve"> </w:t>
      </w:r>
    </w:p>
  </w:footnote>
  <w:footnote w:id="31">
    <w:p w14:paraId="7C3C36B8" w14:textId="77777777" w:rsidR="00E11D56" w:rsidRDefault="00000000">
      <w:pPr>
        <w:pStyle w:val="Textonotapie"/>
        <w:jc w:val="both"/>
        <w:rPr>
          <w:rFonts w:ascii="Arial Narrow" w:hAnsi="Arial Narrow" w:cs="Arial"/>
          <w:i/>
          <w:iCs/>
          <w:lang w:val="es-ES"/>
        </w:rPr>
      </w:pPr>
      <w:r>
        <w:rPr>
          <w:rStyle w:val="Refdenotaalpie"/>
          <w:rFonts w:ascii="Arial Narrow" w:hAnsi="Arial Narrow" w:cs="Arial"/>
        </w:rPr>
        <w:footnoteRef/>
      </w:r>
      <w:r>
        <w:rPr>
          <w:rFonts w:ascii="Arial Narrow" w:hAnsi="Arial Narrow" w:cs="Arial"/>
        </w:rPr>
        <w:t xml:space="preserve"> Enlaces que tienen carácter de hechos notorios, en términos de lo dispuesto en el artículo 21, de la </w:t>
      </w:r>
      <w:r>
        <w:rPr>
          <w:rFonts w:ascii="Arial Narrow" w:hAnsi="Arial Narrow" w:cs="Arial"/>
          <w:i/>
          <w:iCs/>
        </w:rPr>
        <w:t>Ley de Justicia Electoral; </w:t>
      </w:r>
      <w:r>
        <w:rPr>
          <w:rFonts w:ascii="Arial Narrow" w:hAnsi="Arial Narrow" w:cs="Arial"/>
        </w:rPr>
        <w:t xml:space="preserve">así como en la Jurisprudencia XX.2o. J/24 de los Tribunales Colegiados de rubro: </w:t>
      </w:r>
      <w:r>
        <w:rPr>
          <w:rFonts w:ascii="Arial Narrow" w:hAnsi="Arial Narrow" w:cs="Arial"/>
          <w:i/>
          <w:iCs/>
        </w:rPr>
        <w:t>“</w:t>
      </w:r>
      <w:r>
        <w:rPr>
          <w:rFonts w:ascii="Arial Narrow" w:hAnsi="Arial Narrow" w:cs="Arial"/>
          <w:b/>
          <w:bCs/>
          <w:i/>
          <w:iCs/>
        </w:rPr>
        <w:t>HECHO NOTORIO. LO CONSTITUYEN LOS DATOS QUE APARECEN EN LAS PÁGINAS ELECTRÓNICAS OFICIALES QUE LOS ÓRGANOS DE GOBIERNO UTILIZAN PARA PONER A DISPOSICIÓN DEL PÚBLICO, ENTRE OTROS SERVICIOS, LA DESCRIPCIÓN DE SUS PLAZAS, EL DIRECTORIO DE SUS EMPLEADOS O EL ESTADO QUE GUARDAN SUS EXPEDIENTES Y, POR ELLO, ES VÁLIDO QUE SE INVOQUEN DE OFICIO PARA RESOLVER UN ASUNTO EN PARTICULAR”; </w:t>
      </w:r>
      <w:r>
        <w:rPr>
          <w:rFonts w:ascii="Arial Narrow" w:hAnsi="Arial Narrow" w:cs="Arial"/>
        </w:rPr>
        <w:t>y</w:t>
      </w:r>
      <w:r>
        <w:rPr>
          <w:rFonts w:ascii="Arial Narrow" w:hAnsi="Arial Narrow" w:cs="Arial"/>
          <w:b/>
          <w:bCs/>
          <w:i/>
          <w:iCs/>
        </w:rPr>
        <w:t> </w:t>
      </w:r>
      <w:r>
        <w:rPr>
          <w:rFonts w:ascii="Arial Narrow" w:hAnsi="Arial Narrow" w:cs="Arial"/>
        </w:rPr>
        <w:t>Tesis I.3o.C.35 K (10a.), de los Tribunales</w:t>
      </w:r>
      <w:r>
        <w:rPr>
          <w:rFonts w:ascii="Arial Narrow" w:hAnsi="Arial Narrow" w:cs="Arial"/>
          <w:b/>
          <w:bCs/>
          <w:i/>
          <w:iCs/>
        </w:rPr>
        <w:t> </w:t>
      </w:r>
      <w:r>
        <w:rPr>
          <w:rFonts w:ascii="Arial Narrow" w:hAnsi="Arial Narrow" w:cs="Arial"/>
        </w:rPr>
        <w:t>Colegiados de Circuito, de rubro</w:t>
      </w:r>
      <w:r>
        <w:rPr>
          <w:rFonts w:ascii="Arial Narrow" w:hAnsi="Arial Narrow" w:cs="Arial"/>
          <w:i/>
          <w:iCs/>
        </w:rPr>
        <w:t>:”</w:t>
      </w:r>
      <w:r>
        <w:rPr>
          <w:rFonts w:ascii="Arial Narrow" w:hAnsi="Arial Narrow" w:cs="Arial"/>
          <w:b/>
          <w:bCs/>
          <w:i/>
          <w:iCs/>
        </w:rPr>
        <w:t> PÁGINAS WEB O ELECTRÓNICAS. SU CONTENIDO ES UN HECHO NOTORIO Y SUSCEPTIBLE DE SER VALORADO EN UNA DECISIÓN JUDICIAL”.</w:t>
      </w:r>
    </w:p>
  </w:footnote>
  <w:footnote w:id="32">
    <w:p w14:paraId="2D0C353E" w14:textId="77777777" w:rsidR="00E11D56" w:rsidRDefault="00000000">
      <w:pPr>
        <w:pStyle w:val="Textonotapie"/>
        <w:rPr>
          <w:rFonts w:ascii="Arial Narrow" w:hAnsi="Arial Narrow" w:cs="Arial"/>
        </w:rPr>
      </w:pPr>
      <w:r>
        <w:rPr>
          <w:rStyle w:val="Refdenotaalpie"/>
          <w:rFonts w:ascii="Arial Narrow" w:hAnsi="Arial Narrow" w:cs="Arial"/>
        </w:rPr>
        <w:footnoteRef/>
      </w:r>
      <w:r>
        <w:rPr>
          <w:rFonts w:ascii="Arial Narrow" w:hAnsi="Arial Narrow" w:cs="Arial"/>
        </w:rPr>
        <w:t xml:space="preserve"> Cuestión que fue reconocida y que obraba en autos del expediente del juicio TEEM-JDC-005/2026.</w:t>
      </w:r>
    </w:p>
  </w:footnote>
  <w:footnote w:id="33">
    <w:p w14:paraId="486363DD" w14:textId="77777777" w:rsidR="00E11D56" w:rsidRDefault="00000000">
      <w:pPr>
        <w:pStyle w:val="Textonotapie"/>
        <w:jc w:val="both"/>
        <w:rPr>
          <w:rFonts w:ascii="Arial Narrow" w:hAnsi="Arial Narrow" w:cs="Arial"/>
          <w:lang w:val="es-ES"/>
        </w:rPr>
      </w:pPr>
      <w:r>
        <w:rPr>
          <w:rStyle w:val="Refdenotaalpie"/>
          <w:rFonts w:ascii="Arial Narrow" w:hAnsi="Arial Narrow" w:cs="Arial"/>
        </w:rPr>
        <w:footnoteRef/>
      </w:r>
      <w:r>
        <w:rPr>
          <w:rFonts w:ascii="Arial Narrow" w:hAnsi="Arial Narrow" w:cs="Arial"/>
        </w:rPr>
        <w:t xml:space="preserve"> Es aplicable la jurisprudencia 19/2018, emitida por la </w:t>
      </w:r>
      <w:r>
        <w:rPr>
          <w:rFonts w:ascii="Arial Narrow" w:hAnsi="Arial Narrow" w:cs="Arial"/>
          <w:i/>
          <w:iCs/>
        </w:rPr>
        <w:t>Sala Superior, </w:t>
      </w:r>
      <w:r>
        <w:rPr>
          <w:rFonts w:ascii="Arial Narrow" w:hAnsi="Arial Narrow" w:cs="Arial"/>
        </w:rPr>
        <w:t>de ru</w:t>
      </w:r>
      <w:r>
        <w:rPr>
          <w:rFonts w:ascii="Arial Narrow" w:hAnsi="Arial Narrow" w:cs="Arial"/>
          <w:i/>
          <w:iCs/>
        </w:rPr>
        <w:t xml:space="preserve">bro: </w:t>
      </w:r>
      <w:r>
        <w:rPr>
          <w:rFonts w:ascii="Arial Narrow" w:hAnsi="Arial Narrow" w:cs="Arial"/>
        </w:rPr>
        <w:t>“</w:t>
      </w:r>
      <w:r>
        <w:rPr>
          <w:rFonts w:ascii="Arial Narrow" w:hAnsi="Arial Narrow" w:cs="Arial"/>
          <w:b/>
          <w:bCs/>
          <w:i/>
          <w:iCs/>
        </w:rPr>
        <w:t>JUZGAR CON PERSPECTIVA INTERCULTURAL. ELEMENTOS MÍNIMOS PARA SU APLICACIÓN EN MATERIA ELECTORAL”.</w:t>
      </w:r>
    </w:p>
  </w:footnote>
  <w:footnote w:id="34">
    <w:p w14:paraId="27FAF50C" w14:textId="77777777" w:rsidR="00E11D56" w:rsidRDefault="00000000">
      <w:pPr>
        <w:pStyle w:val="Textonotapie"/>
        <w:jc w:val="both"/>
        <w:rPr>
          <w:rFonts w:ascii="Arial Narrow" w:hAnsi="Arial Narrow"/>
          <w:i/>
          <w:iCs/>
          <w:lang w:val="es-ES"/>
        </w:rPr>
      </w:pPr>
      <w:r>
        <w:rPr>
          <w:rStyle w:val="Refdenotaalpie"/>
          <w:rFonts w:ascii="Arial Narrow" w:hAnsi="Arial Narrow" w:cs="Arial"/>
        </w:rPr>
        <w:footnoteRef/>
      </w:r>
      <w:r>
        <w:rPr>
          <w:rFonts w:ascii="Arial Narrow" w:hAnsi="Arial Narrow" w:cs="Arial"/>
        </w:rPr>
        <w:t xml:space="preserve"> Jurisprudencia 18/2018, emitida por la </w:t>
      </w:r>
      <w:r>
        <w:rPr>
          <w:rFonts w:ascii="Arial Narrow" w:hAnsi="Arial Narrow" w:cs="Arial"/>
          <w:i/>
          <w:iCs/>
        </w:rPr>
        <w:t>Sala Superior</w:t>
      </w:r>
      <w:r>
        <w:rPr>
          <w:rFonts w:ascii="Arial Narrow" w:hAnsi="Arial Narrow" w:cs="Arial"/>
        </w:rPr>
        <w:t xml:space="preserve">, bajo el rubro: </w:t>
      </w:r>
      <w:r>
        <w:rPr>
          <w:rFonts w:ascii="Arial Narrow" w:hAnsi="Arial Narrow" w:cs="Arial"/>
          <w:i/>
          <w:iCs/>
        </w:rPr>
        <w:t>“</w:t>
      </w:r>
      <w:r>
        <w:rPr>
          <w:rFonts w:ascii="Arial Narrow" w:hAnsi="Arial Narrow" w:cs="Arial"/>
          <w:b/>
          <w:bCs/>
          <w:i/>
          <w:iCs/>
        </w:rPr>
        <w:t>COMUNIDADES INDÍGENAS. DEBER DE IDENTIFICAR EL TIPO DE LA CONTROVERSIA PARA JUZGAR CON PERSPECTIVA INTERCULTURAL, A FIN DE MAXIMIZAR O PONDERAR LOS DERCHOS QUE CORRESPONDAN”</w:t>
      </w:r>
      <w:r>
        <w:rPr>
          <w:rFonts w:ascii="Arial Narrow" w:hAnsi="Arial Narrow" w:cs="Arial"/>
          <w:i/>
          <w:iCs/>
        </w:rPr>
        <w:t>.</w:t>
      </w:r>
    </w:p>
  </w:footnote>
  <w:footnote w:id="35">
    <w:p w14:paraId="61978614" w14:textId="77777777" w:rsidR="00E11D56" w:rsidRPr="001C2B43" w:rsidRDefault="00000000">
      <w:pPr>
        <w:pStyle w:val="Textonotapie"/>
        <w:jc w:val="both"/>
        <w:rPr>
          <w:rFonts w:ascii="Arial Narrow" w:hAnsi="Arial Narrow"/>
          <w:b/>
          <w:bCs/>
          <w:i/>
          <w:iCs/>
          <w:lang w:val="es-ES"/>
        </w:rPr>
      </w:pPr>
      <w:r w:rsidRPr="001C2B43">
        <w:rPr>
          <w:rStyle w:val="Refdenotaalpie"/>
          <w:rFonts w:ascii="Arial Narrow" w:hAnsi="Arial Narrow"/>
        </w:rPr>
        <w:footnoteRef/>
      </w:r>
      <w:r w:rsidRPr="001C2B43">
        <w:rPr>
          <w:rFonts w:ascii="Arial Narrow" w:hAnsi="Arial Narrow"/>
        </w:rPr>
        <w:t xml:space="preserve"> Se mencionan los datos más relevantes que se desprenden de las constancias que integran el presente juicio de la ciudadanía, así como el diverso TEEM-JDC-05/2026, el cual guarda relación con el tema de autogobierno y administración directa de los recursos de la </w:t>
      </w:r>
      <w:r w:rsidRPr="001C2B43">
        <w:rPr>
          <w:rFonts w:ascii="Arial Narrow" w:hAnsi="Arial Narrow"/>
          <w:i/>
          <w:iCs/>
        </w:rPr>
        <w:t>comunidad</w:t>
      </w:r>
      <w:r w:rsidRPr="001C2B43">
        <w:rPr>
          <w:rFonts w:ascii="Arial Narrow" w:hAnsi="Arial Narrow" w:cs="Arial"/>
        </w:rPr>
        <w:t xml:space="preserve">. </w:t>
      </w:r>
      <w:r w:rsidRPr="001C2B43">
        <w:rPr>
          <w:rFonts w:ascii="Arial Narrow" w:hAnsi="Arial Narrow"/>
        </w:rPr>
        <w:t xml:space="preserve">Lo cual se invoca como </w:t>
      </w:r>
      <w:r w:rsidRPr="001C2B43">
        <w:rPr>
          <w:rFonts w:ascii="Arial Narrow" w:hAnsi="Arial Narrow"/>
          <w:b/>
          <w:bCs/>
        </w:rPr>
        <w:t>hecho notorio</w:t>
      </w:r>
      <w:r w:rsidRPr="001C2B43">
        <w:rPr>
          <w:rFonts w:ascii="Arial Narrow" w:hAnsi="Arial Narrow"/>
        </w:rPr>
        <w:t xml:space="preserve"> al tratarse de un juicio diverso seguido ante este </w:t>
      </w:r>
      <w:r w:rsidRPr="001C2B43">
        <w:rPr>
          <w:rFonts w:ascii="Arial Narrow" w:hAnsi="Arial Narrow"/>
          <w:i/>
          <w:iCs/>
        </w:rPr>
        <w:t>Tribunal Electoral</w:t>
      </w:r>
      <w:r w:rsidRPr="001C2B43">
        <w:rPr>
          <w:rFonts w:ascii="Arial Narrow" w:hAnsi="Arial Narrow"/>
        </w:rPr>
        <w:t xml:space="preserve">, y conforme a lo previsto en el artículo 21 de la </w:t>
      </w:r>
      <w:r w:rsidRPr="001C2B43">
        <w:rPr>
          <w:rFonts w:ascii="Arial Narrow" w:hAnsi="Arial Narrow"/>
          <w:i/>
          <w:iCs/>
        </w:rPr>
        <w:t>Ley de Justicia Electoral</w:t>
      </w:r>
      <w:r w:rsidRPr="001C2B43">
        <w:rPr>
          <w:rFonts w:ascii="Arial Narrow" w:hAnsi="Arial Narrow"/>
        </w:rPr>
        <w:t xml:space="preserve"> y la tesis XIX.1o.P.T. J/4 de los Tribunales Colegiados de Circuito de rubro: </w:t>
      </w:r>
      <w:r w:rsidRPr="001C2B43">
        <w:rPr>
          <w:rFonts w:ascii="Arial Narrow" w:hAnsi="Arial Narrow"/>
          <w:b/>
          <w:bCs/>
        </w:rPr>
        <w:t>“</w:t>
      </w:r>
      <w:r w:rsidRPr="001C2B43">
        <w:rPr>
          <w:rFonts w:ascii="Arial Narrow" w:hAnsi="Arial Narrow"/>
          <w:b/>
          <w:bCs/>
          <w:i/>
          <w:iCs/>
        </w:rPr>
        <w:t>HECHOS NOTORIOS. LOS MAGISTRADOS INTEGRANTES DE LOS TRIBUNALES COLEGIADOS DE CIRCUITO PUEDEN INVOCAR CON ESE CARÁCTER LAS EJECUTORIAS QUE EMITIERON Y LOS DIFERENTES DATOS E INFORMACIÓN CONTENIDOS EN DICHAS RESOLUCIONES Y EN LOS ASUNTOS QUE SE SIGAN ANTE LOS PROPIOS ÓRGANOS</w:t>
      </w:r>
      <w:r w:rsidRPr="001C2B43">
        <w:rPr>
          <w:rFonts w:ascii="Arial Narrow" w:hAnsi="Arial Narrow"/>
          <w:b/>
          <w:bCs/>
        </w:rPr>
        <w:t>”.</w:t>
      </w:r>
    </w:p>
  </w:footnote>
  <w:footnote w:id="36">
    <w:p w14:paraId="0CFF9A5D" w14:textId="77777777" w:rsidR="00E11D56" w:rsidRPr="001C2B43" w:rsidRDefault="00000000">
      <w:pPr>
        <w:pStyle w:val="Textonotapie"/>
        <w:rPr>
          <w:rFonts w:ascii="Arial Narrow" w:hAnsi="Arial Narrow"/>
          <w:lang w:val="es-ES"/>
        </w:rPr>
      </w:pPr>
      <w:r w:rsidRPr="001C2B43">
        <w:rPr>
          <w:rStyle w:val="Refdenotaalpie"/>
          <w:rFonts w:ascii="Arial Narrow" w:hAnsi="Arial Narrow"/>
        </w:rPr>
        <w:footnoteRef/>
      </w:r>
      <w:r w:rsidRPr="001C2B43">
        <w:rPr>
          <w:rFonts w:ascii="Arial Narrow" w:hAnsi="Arial Narrow"/>
        </w:rPr>
        <w:t xml:space="preserve"> </w:t>
      </w:r>
      <w:r w:rsidRPr="001C2B43">
        <w:rPr>
          <w:rFonts w:ascii="Arial Narrow" w:hAnsi="Arial Narrow"/>
          <w:lang w:val="es-ES"/>
        </w:rPr>
        <w:t>Fojas 3 del Cuaderno de Antecedentes del TEEM-JDC-05/2026.</w:t>
      </w:r>
    </w:p>
  </w:footnote>
  <w:footnote w:id="37">
    <w:p w14:paraId="44D1A73E" w14:textId="77777777" w:rsidR="00E11D56" w:rsidRDefault="00000000">
      <w:pPr>
        <w:pStyle w:val="Textonotapie"/>
        <w:rPr>
          <w:rFonts w:ascii="Arial Narrow" w:hAnsi="Arial Narrow"/>
          <w:lang w:val="es-ES"/>
        </w:rPr>
      </w:pPr>
      <w:r w:rsidRPr="001C2B43">
        <w:rPr>
          <w:rStyle w:val="Refdenotaalpie"/>
          <w:rFonts w:ascii="Arial Narrow" w:hAnsi="Arial Narrow"/>
        </w:rPr>
        <w:footnoteRef/>
      </w:r>
      <w:r w:rsidRPr="001C2B43">
        <w:rPr>
          <w:rFonts w:ascii="Arial Narrow" w:hAnsi="Arial Narrow"/>
        </w:rPr>
        <w:t xml:space="preserve"> </w:t>
      </w:r>
      <w:r w:rsidRPr="001C2B43">
        <w:rPr>
          <w:rFonts w:ascii="Arial Narrow" w:hAnsi="Arial Narrow"/>
          <w:lang w:val="es-ES"/>
        </w:rPr>
        <w:t xml:space="preserve">Foja 602 del del Tomo II, </w:t>
      </w:r>
      <w:r w:rsidRPr="001C2B43">
        <w:rPr>
          <w:rFonts w:ascii="Arial Narrow" w:hAnsi="Arial Narrow"/>
        </w:rPr>
        <w:t>del expediente IEM-CEAPI-CI02C/2021</w:t>
      </w:r>
    </w:p>
  </w:footnote>
  <w:footnote w:id="38">
    <w:p w14:paraId="3A09DDF9" w14:textId="77777777" w:rsidR="00E11D56" w:rsidRPr="001C2B43" w:rsidRDefault="00000000">
      <w:pPr>
        <w:pStyle w:val="Textonotapie"/>
        <w:jc w:val="both"/>
        <w:rPr>
          <w:rFonts w:ascii="Arial Narrow" w:hAnsi="Arial Narrow" w:cs="Arial"/>
          <w:i/>
          <w:iCs/>
        </w:rPr>
      </w:pPr>
      <w:r w:rsidRPr="001C2B43">
        <w:rPr>
          <w:rStyle w:val="Refdenotaalpie"/>
          <w:rFonts w:ascii="Arial Narrow" w:hAnsi="Arial Narrow" w:cs="Arial"/>
        </w:rPr>
        <w:footnoteRef/>
      </w:r>
      <w:r w:rsidRPr="001C2B43">
        <w:rPr>
          <w:rFonts w:ascii="Arial Narrow" w:hAnsi="Arial Narrow" w:cs="Arial"/>
        </w:rPr>
        <w:t xml:space="preserve"> Acorde con la jurisprudencia 4/99 de la </w:t>
      </w:r>
      <w:r w:rsidRPr="001C2B43">
        <w:rPr>
          <w:rFonts w:ascii="Arial Narrow" w:hAnsi="Arial Narrow" w:cs="Arial"/>
          <w:i/>
          <w:iCs/>
        </w:rPr>
        <w:t>Sala Superior,</w:t>
      </w:r>
      <w:r w:rsidRPr="001C2B43">
        <w:rPr>
          <w:rFonts w:ascii="Arial Narrow" w:hAnsi="Arial Narrow" w:cs="Arial"/>
        </w:rPr>
        <w:t> de rubro: </w:t>
      </w:r>
      <w:r w:rsidRPr="001C2B43">
        <w:rPr>
          <w:rFonts w:ascii="Arial Narrow" w:hAnsi="Arial Narrow" w:cs="Arial"/>
          <w:b/>
          <w:bCs/>
        </w:rPr>
        <w:t>“</w:t>
      </w:r>
      <w:r w:rsidRPr="001C2B43">
        <w:rPr>
          <w:rFonts w:ascii="Arial Narrow" w:hAnsi="Arial Narrow" w:cs="Arial"/>
          <w:b/>
          <w:bCs/>
          <w:i/>
          <w:iCs/>
        </w:rPr>
        <w:t>MEDIOS DE IMPUGNACIÓN EN MATERIA ELECTORAL. EL RESOLUTOR DEBE INTERPRETAR EL OCURSO QUE LOS CONTENGA PARA DETERMINAR LA VERDADERA INTENCIÓN DEL ACTOR”.</w:t>
      </w:r>
    </w:p>
  </w:footnote>
  <w:footnote w:id="39">
    <w:p w14:paraId="27957B3E" w14:textId="77777777" w:rsidR="00E11D56" w:rsidRPr="001C2B43" w:rsidRDefault="00000000">
      <w:pPr>
        <w:pStyle w:val="Textonotapie"/>
        <w:jc w:val="both"/>
        <w:rPr>
          <w:rFonts w:ascii="Arial Narrow" w:hAnsi="Arial Narrow"/>
        </w:rPr>
      </w:pPr>
      <w:r w:rsidRPr="001C2B43">
        <w:rPr>
          <w:rStyle w:val="Refdenotaalpie"/>
          <w:rFonts w:ascii="Arial Narrow" w:hAnsi="Arial Narrow" w:cs="Arial"/>
        </w:rPr>
        <w:footnoteRef/>
      </w:r>
      <w:r w:rsidRPr="001C2B43">
        <w:rPr>
          <w:rFonts w:ascii="Arial Narrow" w:hAnsi="Arial Narrow" w:cs="Arial"/>
        </w:rPr>
        <w:t xml:space="preserve"> De acuerdo con la Jurisprudencia 13/2008 de la </w:t>
      </w:r>
      <w:r w:rsidRPr="001C2B43">
        <w:rPr>
          <w:rFonts w:ascii="Arial Narrow" w:hAnsi="Arial Narrow" w:cs="Arial"/>
          <w:i/>
          <w:iCs/>
        </w:rPr>
        <w:t>Sala Superior</w:t>
      </w:r>
      <w:r w:rsidRPr="001C2B43">
        <w:rPr>
          <w:rFonts w:ascii="Arial Narrow" w:hAnsi="Arial Narrow" w:cs="Arial"/>
        </w:rPr>
        <w:t xml:space="preserve">, de rubro: </w:t>
      </w:r>
      <w:r w:rsidRPr="001C2B43">
        <w:rPr>
          <w:rFonts w:ascii="Arial Narrow" w:hAnsi="Arial Narrow" w:cs="Arial"/>
          <w:i/>
          <w:iCs/>
        </w:rPr>
        <w:t>“</w:t>
      </w:r>
      <w:r w:rsidRPr="001C2B43">
        <w:rPr>
          <w:rFonts w:ascii="Arial Narrow" w:hAnsi="Arial Narrow" w:cs="Arial"/>
          <w:b/>
          <w:bCs/>
          <w:i/>
          <w:iCs/>
        </w:rPr>
        <w:t>COMUNIDADES INDÍGENAS. SUPLENCIA DE LA QUEJA EN LOS JUICIOS ELECTORALES PROMOVIDOS POR SUS INTEGRANTES</w:t>
      </w:r>
      <w:r w:rsidRPr="001C2B43">
        <w:rPr>
          <w:rFonts w:ascii="Arial Narrow" w:hAnsi="Arial Narrow" w:cs="Arial"/>
          <w:i/>
          <w:iCs/>
        </w:rPr>
        <w:t>”.</w:t>
      </w:r>
    </w:p>
  </w:footnote>
  <w:footnote w:id="40">
    <w:p w14:paraId="2CA5AE93" w14:textId="77777777" w:rsidR="00E11D56" w:rsidRDefault="00000000">
      <w:pPr>
        <w:pStyle w:val="Textonotapie"/>
        <w:jc w:val="both"/>
        <w:rPr>
          <w:rFonts w:ascii="Arial Narrow" w:hAnsi="Arial Narrow" w:cs="Arial"/>
        </w:rPr>
      </w:pPr>
      <w:r w:rsidRPr="001C2B43">
        <w:rPr>
          <w:rStyle w:val="Refdenotaalpie"/>
          <w:rFonts w:ascii="Arial Narrow" w:hAnsi="Arial Narrow"/>
        </w:rPr>
        <w:footnoteRef/>
      </w:r>
      <w:r w:rsidRPr="001C2B43">
        <w:rPr>
          <w:rFonts w:ascii="Arial Narrow" w:hAnsi="Arial Narrow"/>
        </w:rPr>
        <w:t xml:space="preserve"> </w:t>
      </w:r>
      <w:r w:rsidRPr="001C2B43">
        <w:rPr>
          <w:rFonts w:ascii="Arial Narrow" w:eastAsia="Arial" w:hAnsi="Arial Narrow" w:cs="Arial"/>
        </w:rPr>
        <w:t xml:space="preserve">Resulta aplicable la jurisprudencia 3/2000, emitida por la </w:t>
      </w:r>
      <w:r w:rsidRPr="001C2B43">
        <w:rPr>
          <w:rFonts w:ascii="Arial Narrow" w:eastAsia="Arial" w:hAnsi="Arial Narrow" w:cs="Arial"/>
          <w:i/>
          <w:iCs/>
        </w:rPr>
        <w:t>Sala Superior</w:t>
      </w:r>
      <w:r w:rsidRPr="001C2B43">
        <w:rPr>
          <w:rFonts w:ascii="Arial Narrow" w:eastAsia="Arial" w:hAnsi="Arial Narrow" w:cs="Arial"/>
        </w:rPr>
        <w:t xml:space="preserve"> de rubro</w:t>
      </w:r>
      <w:r w:rsidRPr="001C2B43">
        <w:rPr>
          <w:rFonts w:ascii="Arial Narrow" w:eastAsia="Arial" w:hAnsi="Arial Narrow" w:cs="Arial"/>
          <w:b/>
          <w:bCs/>
        </w:rPr>
        <w:t>: “</w:t>
      </w:r>
      <w:r w:rsidRPr="001C2B43">
        <w:rPr>
          <w:rFonts w:ascii="Arial Narrow" w:eastAsia="Arial" w:hAnsi="Arial Narrow" w:cs="Arial"/>
          <w:b/>
          <w:bCs/>
          <w:i/>
          <w:iCs/>
        </w:rPr>
        <w:t>AGRAVIOS. PARA TENERLOS POR DEBIDAMENTE CONFIGURADOS ES SUFICIENTE CON EXPRESAR LA CAUSA DE PEDIR”.</w:t>
      </w:r>
      <w:r w:rsidRPr="001C2B43">
        <w:rPr>
          <w:rFonts w:ascii="Arial Narrow" w:eastAsia="Arial" w:hAnsi="Arial Narrow" w:cs="Arial"/>
          <w:i/>
          <w:iCs/>
        </w:rPr>
        <w:t xml:space="preserve">  </w:t>
      </w:r>
      <w:r w:rsidRPr="001C2B43">
        <w:rPr>
          <w:rFonts w:ascii="Arial Narrow" w:hAnsi="Arial Narrow" w:cs="Arial"/>
        </w:rPr>
        <w:t xml:space="preserve">Localizable en el Volumen 1 de la Compilación 1997-2013, del </w:t>
      </w:r>
      <w:r w:rsidRPr="001C2B43">
        <w:rPr>
          <w:rFonts w:ascii="Arial Narrow" w:hAnsi="Arial Narrow" w:cs="Arial"/>
          <w:i/>
          <w:iCs/>
        </w:rPr>
        <w:t>TEPJF</w:t>
      </w:r>
      <w:r w:rsidRPr="001C2B43">
        <w:rPr>
          <w:rFonts w:ascii="Arial Narrow" w:hAnsi="Arial Narrow" w:cs="Arial"/>
        </w:rPr>
        <w:t>, páginas 122 y 123.</w:t>
      </w:r>
      <w:r>
        <w:rPr>
          <w:rFonts w:ascii="Arial Narrow" w:hAnsi="Arial Narrow" w:cs="Arial"/>
        </w:rPr>
        <w:t xml:space="preserve">  </w:t>
      </w:r>
    </w:p>
  </w:footnote>
  <w:footnote w:id="41">
    <w:p w14:paraId="6B2707F4" w14:textId="77777777" w:rsidR="00E11D56" w:rsidRDefault="00000000">
      <w:pPr>
        <w:pStyle w:val="Textonotapie"/>
        <w:jc w:val="both"/>
        <w:rPr>
          <w:rFonts w:ascii="Arial Narrow" w:hAnsi="Arial Narrow"/>
          <w:highlight w:val="cyan"/>
        </w:rPr>
      </w:pPr>
      <w:r>
        <w:rPr>
          <w:rStyle w:val="Refdenotaalpie"/>
          <w:rFonts w:ascii="Arial Narrow" w:hAnsi="Arial Narrow" w:cs="Arial"/>
        </w:rPr>
        <w:footnoteRef/>
      </w:r>
      <w:r>
        <w:rPr>
          <w:rFonts w:ascii="Arial Narrow" w:hAnsi="Arial Narrow" w:cs="Arial"/>
        </w:rPr>
        <w:t xml:space="preserve"> </w:t>
      </w:r>
      <w:r>
        <w:rPr>
          <w:rFonts w:ascii="Arial Narrow" w:hAnsi="Arial Narrow" w:cs="Arial"/>
          <w:color w:val="000000"/>
        </w:rPr>
        <w:t xml:space="preserve">Jurisprudencia 4/2000, emitida por la </w:t>
      </w:r>
      <w:r>
        <w:rPr>
          <w:rFonts w:ascii="Arial Narrow" w:hAnsi="Arial Narrow" w:cs="Arial"/>
          <w:i/>
          <w:iCs/>
          <w:color w:val="000000"/>
        </w:rPr>
        <w:t>Sala Superior</w:t>
      </w:r>
      <w:r>
        <w:rPr>
          <w:rFonts w:ascii="Arial Narrow" w:hAnsi="Arial Narrow" w:cs="Arial"/>
          <w:color w:val="000000"/>
        </w:rPr>
        <w:t xml:space="preserve">, de rubro: </w:t>
      </w:r>
      <w:r>
        <w:rPr>
          <w:rFonts w:ascii="Arial Narrow" w:hAnsi="Arial Narrow" w:cs="Arial"/>
          <w:b/>
          <w:bCs/>
          <w:color w:val="000000"/>
        </w:rPr>
        <w:t>“</w:t>
      </w:r>
      <w:r>
        <w:rPr>
          <w:rFonts w:ascii="Arial Narrow" w:hAnsi="Arial Narrow" w:cs="Arial"/>
          <w:b/>
          <w:bCs/>
          <w:i/>
          <w:iCs/>
          <w:color w:val="000000"/>
        </w:rPr>
        <w:t>AGRAVIOS. SU EXAMEN EN CONJUNTO O SEPARADO, NO CAUSA LESIÓN</w:t>
      </w:r>
      <w:r>
        <w:rPr>
          <w:rFonts w:ascii="Arial Narrow" w:hAnsi="Arial Narrow" w:cs="Arial"/>
          <w:i/>
          <w:iCs/>
          <w:color w:val="000000"/>
        </w:rPr>
        <w:t>”.</w:t>
      </w:r>
    </w:p>
  </w:footnote>
  <w:footnote w:id="42">
    <w:p w14:paraId="53691194" w14:textId="77777777" w:rsidR="00E11D56" w:rsidRPr="001C2B43" w:rsidRDefault="00000000">
      <w:pPr>
        <w:spacing w:after="0" w:line="240" w:lineRule="auto"/>
        <w:jc w:val="both"/>
        <w:rPr>
          <w:rFonts w:ascii="Arial Narrow" w:hAnsi="Arial Narrow"/>
          <w:sz w:val="20"/>
          <w:szCs w:val="20"/>
        </w:rPr>
      </w:pPr>
      <w:r w:rsidRPr="001C2B43">
        <w:rPr>
          <w:rStyle w:val="Refdenotaalpie"/>
          <w:rFonts w:ascii="Arial Narrow" w:hAnsi="Arial Narrow"/>
          <w:sz w:val="20"/>
          <w:szCs w:val="20"/>
        </w:rPr>
        <w:footnoteRef/>
      </w:r>
      <w:r w:rsidRPr="001C2B43">
        <w:rPr>
          <w:rFonts w:ascii="Arial Narrow" w:hAnsi="Arial Narrow"/>
          <w:sz w:val="20"/>
          <w:szCs w:val="20"/>
        </w:rPr>
        <w:t xml:space="preserve"> </w:t>
      </w:r>
      <w:r w:rsidRPr="001C2B43">
        <w:rPr>
          <w:rFonts w:ascii="Arial Narrow" w:hAnsi="Arial Narrow" w:cs="Arial"/>
          <w:sz w:val="20"/>
          <w:szCs w:val="20"/>
        </w:rPr>
        <w:t xml:space="preserve">El </w:t>
      </w:r>
      <w:r w:rsidRPr="001C2B43">
        <w:rPr>
          <w:rFonts w:ascii="Arial Narrow" w:hAnsi="Arial Narrow" w:cs="Arial"/>
          <w:b/>
          <w:bCs/>
          <w:sz w:val="20"/>
          <w:szCs w:val="20"/>
        </w:rPr>
        <w:t>autogobierno</w:t>
      </w:r>
      <w:r w:rsidRPr="001C2B43">
        <w:rPr>
          <w:rFonts w:ascii="Arial Narrow" w:hAnsi="Arial Narrow" w:cs="Arial"/>
          <w:sz w:val="20"/>
          <w:szCs w:val="20"/>
        </w:rPr>
        <w:t xml:space="preserve"> y el </w:t>
      </w:r>
      <w:r w:rsidRPr="001C2B43">
        <w:rPr>
          <w:rFonts w:ascii="Arial Narrow" w:hAnsi="Arial Narrow" w:cs="Arial"/>
          <w:b/>
          <w:bCs/>
          <w:sz w:val="20"/>
          <w:szCs w:val="20"/>
        </w:rPr>
        <w:t>ejercicio del presupuesto directo de las comunidades indígenas</w:t>
      </w:r>
      <w:r w:rsidRPr="001C2B43">
        <w:rPr>
          <w:rFonts w:ascii="Arial Narrow" w:hAnsi="Arial Narrow" w:cs="Arial"/>
          <w:sz w:val="20"/>
          <w:szCs w:val="20"/>
        </w:rPr>
        <w:t xml:space="preserve"> se define como una manifestación de la autonomía indígena, reconocidos como derechos, tanto por resoluciones judiciales, como por ordenamientos jurídicos nacionales, locales e internacionales. Dicho presupuesto constituye la transferencia equitativa y proporcional de las aportaciones y participaciones que administran los ayuntamientos, hacia las comunidades indígenas, a efecto de que ejerzan funciones de gobierno en su propio ámbito territorial. </w:t>
      </w:r>
    </w:p>
  </w:footnote>
  <w:footnote w:id="43">
    <w:p w14:paraId="00D43103" w14:textId="77777777" w:rsidR="00E11D56" w:rsidRPr="001C2B43" w:rsidRDefault="00000000">
      <w:pPr>
        <w:pStyle w:val="Textonotapie"/>
        <w:jc w:val="both"/>
        <w:rPr>
          <w:rFonts w:ascii="Arial Narrow" w:hAnsi="Arial Narrow"/>
        </w:rPr>
      </w:pPr>
      <w:r w:rsidRPr="001C2B43">
        <w:rPr>
          <w:rStyle w:val="Refdenotaalpie"/>
          <w:rFonts w:ascii="Arial Narrow" w:hAnsi="Arial Narrow"/>
        </w:rPr>
        <w:footnoteRef/>
      </w:r>
      <w:r w:rsidRPr="001C2B43">
        <w:rPr>
          <w:rFonts w:ascii="Arial Narrow" w:hAnsi="Arial Narrow"/>
        </w:rPr>
        <w:t xml:space="preserve"> </w:t>
      </w:r>
      <w:r w:rsidRPr="001C2B43">
        <w:rPr>
          <w:rFonts w:ascii="Arial Narrow" w:hAnsi="Arial Narrow" w:cs="Arial"/>
        </w:rPr>
        <w:t>Al resolver el juicio ciudadano TEEM-JDC-218/2025, así como el TEEM-JDC-005/2026.</w:t>
      </w:r>
    </w:p>
  </w:footnote>
  <w:footnote w:id="44">
    <w:p w14:paraId="6768F630" w14:textId="77777777" w:rsidR="00E11D56" w:rsidRPr="001C2B43" w:rsidRDefault="00000000">
      <w:pPr>
        <w:pStyle w:val="Textonotapie"/>
        <w:rPr>
          <w:rFonts w:ascii="Arial Narrow" w:hAnsi="Arial Narrow"/>
        </w:rPr>
      </w:pPr>
      <w:r w:rsidRPr="001C2B43">
        <w:rPr>
          <w:rStyle w:val="Refdenotaalpie"/>
          <w:rFonts w:ascii="Arial Narrow" w:hAnsi="Arial Narrow"/>
        </w:rPr>
        <w:footnoteRef/>
      </w:r>
      <w:r w:rsidRPr="001C2B43">
        <w:rPr>
          <w:rFonts w:ascii="Arial Narrow" w:hAnsi="Arial Narrow"/>
        </w:rPr>
        <w:t xml:space="preserve"> Con fundamento en el artículo 115, fracción IV, de la </w:t>
      </w:r>
      <w:r w:rsidRPr="001C2B43">
        <w:rPr>
          <w:rFonts w:ascii="Arial Narrow" w:hAnsi="Arial Narrow"/>
          <w:i/>
        </w:rPr>
        <w:t>Constitución General.</w:t>
      </w:r>
    </w:p>
  </w:footnote>
  <w:footnote w:id="45">
    <w:p w14:paraId="40B96ED3" w14:textId="77777777" w:rsidR="00E11D56" w:rsidRPr="001C2B43" w:rsidRDefault="00000000">
      <w:pPr>
        <w:pStyle w:val="Textonotapie"/>
        <w:rPr>
          <w:rFonts w:ascii="Arial Narrow" w:hAnsi="Arial Narrow"/>
        </w:rPr>
      </w:pPr>
      <w:r w:rsidRPr="001C2B43">
        <w:rPr>
          <w:rStyle w:val="Refdenotaalpie"/>
          <w:rFonts w:ascii="Arial Narrow" w:hAnsi="Arial Narrow"/>
        </w:rPr>
        <w:footnoteRef/>
      </w:r>
      <w:r w:rsidRPr="001C2B43">
        <w:rPr>
          <w:rFonts w:ascii="Arial Narrow" w:hAnsi="Arial Narrow"/>
        </w:rPr>
        <w:t xml:space="preserve"> SUP-JDC-1865/2015; TEEM-JDC-060/2024 y acumulado Y TEEM-JDC-274/2024, entre otras.</w:t>
      </w:r>
    </w:p>
  </w:footnote>
  <w:footnote w:id="46">
    <w:p w14:paraId="24DD5C5C" w14:textId="77777777" w:rsidR="00E11D56" w:rsidRDefault="00000000">
      <w:pPr>
        <w:pStyle w:val="Textonotapie"/>
      </w:pPr>
      <w:r w:rsidRPr="001C2B43">
        <w:rPr>
          <w:rStyle w:val="Refdenotaalpie"/>
          <w:rFonts w:ascii="Arial Narrow" w:hAnsi="Arial Narrow"/>
        </w:rPr>
        <w:footnoteRef/>
      </w:r>
      <w:r w:rsidRPr="001C2B43">
        <w:rPr>
          <w:rFonts w:ascii="Arial Narrow" w:hAnsi="Arial Narrow"/>
        </w:rPr>
        <w:t xml:space="preserve"> Artículos 116, 117 y 118</w:t>
      </w:r>
    </w:p>
  </w:footnote>
  <w:footnote w:id="47">
    <w:p w14:paraId="5B2D08BE" w14:textId="77777777" w:rsidR="00E11D56" w:rsidRPr="001C2B43" w:rsidRDefault="00000000">
      <w:pPr>
        <w:pStyle w:val="Textonotapie"/>
        <w:jc w:val="both"/>
        <w:rPr>
          <w:rFonts w:ascii="Arial Narrow" w:hAnsi="Arial Narrow"/>
        </w:rPr>
      </w:pPr>
      <w:r w:rsidRPr="001C2B43">
        <w:rPr>
          <w:rStyle w:val="Refdenotaalpie"/>
          <w:rFonts w:ascii="Arial Narrow" w:hAnsi="Arial Narrow"/>
        </w:rPr>
        <w:footnoteRef/>
      </w:r>
      <w:r w:rsidRPr="001C2B43">
        <w:rPr>
          <w:rFonts w:ascii="Arial Narrow" w:hAnsi="Arial Narrow"/>
        </w:rPr>
        <w:t xml:space="preserve"> </w:t>
      </w:r>
      <w:r w:rsidRPr="001C2B43">
        <w:rPr>
          <w:rFonts w:ascii="Arial Narrow" w:hAnsi="Arial Narrow" w:cs="Arial"/>
        </w:rPr>
        <w:t xml:space="preserve">En la jurisprudencia 37/2016, de rubro: </w:t>
      </w:r>
      <w:r w:rsidRPr="001C2B43">
        <w:rPr>
          <w:rFonts w:ascii="Arial Narrow" w:hAnsi="Arial Narrow" w:cs="Arial"/>
          <w:b/>
          <w:bCs/>
          <w:i/>
          <w:iCs/>
        </w:rPr>
        <w:t>"COMUNIDADES INDÍGENAS. EL PRINCIPIO DE MAXIMIZACIÓN DE LA AUTONOMÍA IMPLICA LA SALVAGUARDA Y PROTECCIÓN DEL SISTEMA NORMATIVO INTERNO."</w:t>
      </w:r>
    </w:p>
  </w:footnote>
  <w:footnote w:id="48">
    <w:p w14:paraId="69B53A43" w14:textId="77777777" w:rsidR="00E11D56" w:rsidRPr="001C2B43" w:rsidRDefault="00000000">
      <w:pPr>
        <w:pStyle w:val="Textonotapie"/>
        <w:rPr>
          <w:rFonts w:ascii="Arial Narrow" w:hAnsi="Arial Narrow" w:cs="Arial"/>
        </w:rPr>
      </w:pPr>
      <w:r w:rsidRPr="001C2B43">
        <w:rPr>
          <w:rStyle w:val="Refdenotaalpie"/>
          <w:rFonts w:ascii="Arial Narrow" w:hAnsi="Arial Narrow"/>
        </w:rPr>
        <w:footnoteRef/>
      </w:r>
      <w:r w:rsidRPr="001C2B43">
        <w:rPr>
          <w:rFonts w:ascii="Arial Narrow" w:hAnsi="Arial Narrow"/>
        </w:rPr>
        <w:t xml:space="preserve"> </w:t>
      </w:r>
      <w:r w:rsidRPr="001C2B43">
        <w:rPr>
          <w:rFonts w:ascii="Arial Narrow" w:hAnsi="Arial Narrow" w:cs="Arial"/>
        </w:rPr>
        <w:t>Amparo Directo 6153/2023, Suprema Corte de Justicia de la Nación.</w:t>
      </w:r>
    </w:p>
  </w:footnote>
  <w:footnote w:id="49">
    <w:p w14:paraId="688902FD" w14:textId="77777777" w:rsidR="00E11D56" w:rsidRPr="001C2B43" w:rsidRDefault="00000000">
      <w:pPr>
        <w:pStyle w:val="Textonotapie"/>
        <w:rPr>
          <w:rFonts w:ascii="Arial Narrow" w:hAnsi="Arial Narrow"/>
        </w:rPr>
      </w:pPr>
      <w:r w:rsidRPr="001C2B43">
        <w:rPr>
          <w:rStyle w:val="Refdenotaalpie"/>
          <w:rFonts w:ascii="Arial Narrow" w:hAnsi="Arial Narrow"/>
        </w:rPr>
        <w:footnoteRef/>
      </w:r>
      <w:r w:rsidRPr="001C2B43">
        <w:rPr>
          <w:rFonts w:ascii="Arial Narrow" w:hAnsi="Arial Narrow"/>
        </w:rPr>
        <w:t xml:space="preserve"> Controversia constitucional 70/2009; y, amparo directo en revisión 6156/2023.</w:t>
      </w:r>
    </w:p>
  </w:footnote>
  <w:footnote w:id="50">
    <w:p w14:paraId="6B449E44" w14:textId="77777777" w:rsidR="00E11D56" w:rsidRPr="001C2B43" w:rsidRDefault="00000000">
      <w:pPr>
        <w:pStyle w:val="Textonotapie"/>
        <w:jc w:val="both"/>
        <w:rPr>
          <w:rFonts w:ascii="Arial Narrow" w:hAnsi="Arial Narrow"/>
          <w:b/>
          <w:bCs/>
          <w:i/>
          <w:iCs/>
          <w:lang w:val="es-ES"/>
        </w:rPr>
      </w:pPr>
      <w:r w:rsidRPr="001C2B43">
        <w:rPr>
          <w:rStyle w:val="Refdenotaalpie"/>
          <w:rFonts w:ascii="Arial Narrow" w:hAnsi="Arial Narrow"/>
        </w:rPr>
        <w:footnoteRef/>
      </w:r>
      <w:r w:rsidRPr="001C2B43">
        <w:rPr>
          <w:rFonts w:ascii="Arial Narrow" w:hAnsi="Arial Narrow"/>
        </w:rPr>
        <w:t xml:space="preserve"> Lo cual se invoca como </w:t>
      </w:r>
      <w:r w:rsidRPr="001C2B43">
        <w:rPr>
          <w:rFonts w:ascii="Arial Narrow" w:hAnsi="Arial Narrow"/>
          <w:b/>
          <w:bCs/>
        </w:rPr>
        <w:t>hecho notorio</w:t>
      </w:r>
      <w:r w:rsidRPr="001C2B43">
        <w:rPr>
          <w:rFonts w:ascii="Arial Narrow" w:hAnsi="Arial Narrow"/>
        </w:rPr>
        <w:t xml:space="preserve"> al tratarse de un juicio diverso seguido ante este </w:t>
      </w:r>
      <w:r w:rsidRPr="001C2B43">
        <w:rPr>
          <w:rFonts w:ascii="Arial Narrow" w:hAnsi="Arial Narrow"/>
          <w:i/>
          <w:iCs/>
        </w:rPr>
        <w:t>Tribunal Electoral</w:t>
      </w:r>
      <w:r w:rsidRPr="001C2B43">
        <w:rPr>
          <w:rFonts w:ascii="Arial Narrow" w:hAnsi="Arial Narrow"/>
        </w:rPr>
        <w:t xml:space="preserve">, y conforme a lo previsto en el artículo 21 de la </w:t>
      </w:r>
      <w:r w:rsidRPr="001C2B43">
        <w:rPr>
          <w:rFonts w:ascii="Arial Narrow" w:hAnsi="Arial Narrow"/>
          <w:i/>
          <w:iCs/>
        </w:rPr>
        <w:t>Ley de Justicia Electoral</w:t>
      </w:r>
      <w:r w:rsidRPr="001C2B43">
        <w:rPr>
          <w:rFonts w:ascii="Arial Narrow" w:hAnsi="Arial Narrow"/>
        </w:rPr>
        <w:t xml:space="preserve"> y la tesis XIX.1o.P.T. J/4 de los Tribunales Colegiados de Circuito de rubro: </w:t>
      </w:r>
      <w:r w:rsidRPr="001C2B43">
        <w:rPr>
          <w:rFonts w:ascii="Arial Narrow" w:hAnsi="Arial Narrow"/>
          <w:b/>
          <w:bCs/>
        </w:rPr>
        <w:t>“</w:t>
      </w:r>
      <w:r w:rsidRPr="001C2B43">
        <w:rPr>
          <w:rFonts w:ascii="Arial Narrow" w:hAnsi="Arial Narrow"/>
          <w:b/>
          <w:bCs/>
          <w:i/>
          <w:iCs/>
        </w:rPr>
        <w:t>HECHOS NOTORIOS. LOS MAGISTRADOS INTEGRANTES DE LOS TRIBUNALES COLEGIADOS DE CIRCUITO PUEDEN INVOCAR CON ESE CARÁCTER LAS EJECUTORIAS QUE EMITIERON Y LOS DIFERENTES DATOS E INFORMACIÓN CONTENIDOS EN DICHAS RESOLUCIONES Y EN LOS ASUNTOS QUE SE SIGAN ANTE LOS PROPIOS ÓRGANOS</w:t>
      </w:r>
      <w:r w:rsidRPr="001C2B43">
        <w:rPr>
          <w:rFonts w:ascii="Arial Narrow" w:hAnsi="Arial Narrow"/>
          <w:b/>
          <w:bCs/>
        </w:rPr>
        <w:t>”.</w:t>
      </w:r>
    </w:p>
    <w:p w14:paraId="4278884B" w14:textId="77777777" w:rsidR="00E11D56" w:rsidRDefault="00E11D56">
      <w:pPr>
        <w:pStyle w:val="Textonotapie"/>
        <w:rPr>
          <w:lang w:val="es-ES"/>
        </w:rPr>
      </w:pPr>
    </w:p>
  </w:footnote>
  <w:footnote w:id="51">
    <w:p w14:paraId="25118D2C" w14:textId="77777777" w:rsidR="00E11D56" w:rsidRPr="001C2B43" w:rsidRDefault="00000000">
      <w:pPr>
        <w:pStyle w:val="Textonotapie"/>
        <w:rPr>
          <w:rFonts w:ascii="Arial Narrow" w:hAnsi="Arial Narrow"/>
        </w:rPr>
      </w:pPr>
      <w:r w:rsidRPr="001C2B43">
        <w:rPr>
          <w:rStyle w:val="Refdenotaalpie"/>
          <w:rFonts w:ascii="Arial Narrow" w:hAnsi="Arial Narrow"/>
        </w:rPr>
        <w:footnoteRef/>
      </w:r>
      <w:r w:rsidRPr="001C2B43">
        <w:rPr>
          <w:rFonts w:ascii="Arial Narrow" w:hAnsi="Arial Narrow"/>
        </w:rPr>
        <w:t xml:space="preserve"> Así como los del diverso TEEM-JDC-005/2026.</w:t>
      </w:r>
    </w:p>
  </w:footnote>
  <w:footnote w:id="52">
    <w:p w14:paraId="2D61A85A" w14:textId="77777777" w:rsidR="00E11D56" w:rsidRPr="001C2B43" w:rsidRDefault="00000000">
      <w:pPr>
        <w:pStyle w:val="Textonotapie"/>
        <w:rPr>
          <w:rFonts w:ascii="Arial Narrow" w:hAnsi="Arial Narrow"/>
        </w:rPr>
      </w:pPr>
      <w:r w:rsidRPr="001C2B43">
        <w:rPr>
          <w:rStyle w:val="Refdenotaalpie"/>
          <w:rFonts w:ascii="Arial Narrow" w:hAnsi="Arial Narrow"/>
        </w:rPr>
        <w:footnoteRef/>
      </w:r>
      <w:r w:rsidRPr="001C2B43">
        <w:rPr>
          <w:rFonts w:ascii="Arial Narrow" w:hAnsi="Arial Narrow"/>
        </w:rPr>
        <w:t xml:space="preserve"> Tal y como se determinó en el diverso juicio de la ciudanía TEEM-JDC-005/2026.</w:t>
      </w:r>
    </w:p>
  </w:footnote>
  <w:footnote w:id="53">
    <w:p w14:paraId="16845698" w14:textId="77777777" w:rsidR="00E11D56" w:rsidRDefault="00000000">
      <w:pPr>
        <w:pStyle w:val="Textonotapie"/>
        <w:jc w:val="both"/>
        <w:rPr>
          <w:lang w:val="es-ES"/>
        </w:rPr>
      </w:pPr>
      <w:r w:rsidRPr="001C2B43">
        <w:rPr>
          <w:rStyle w:val="Refdenotaalpie"/>
          <w:rFonts w:ascii="Arial Narrow" w:hAnsi="Arial Narrow"/>
        </w:rPr>
        <w:footnoteRef/>
      </w:r>
      <w:r w:rsidRPr="001C2B43">
        <w:rPr>
          <w:rFonts w:ascii="Arial Narrow" w:hAnsi="Arial Narrow"/>
        </w:rPr>
        <w:t xml:space="preserve"> Lo cual se invoca como </w:t>
      </w:r>
      <w:r w:rsidRPr="001C2B43">
        <w:rPr>
          <w:rFonts w:ascii="Arial Narrow" w:hAnsi="Arial Narrow"/>
          <w:b/>
          <w:bCs/>
        </w:rPr>
        <w:t>hecho notorio</w:t>
      </w:r>
      <w:r w:rsidRPr="001C2B43">
        <w:rPr>
          <w:rFonts w:ascii="Arial Narrow" w:hAnsi="Arial Narrow"/>
        </w:rPr>
        <w:t xml:space="preserve"> al tratarse de un juicio diverso seguido ante este </w:t>
      </w:r>
      <w:r w:rsidRPr="001C2B43">
        <w:rPr>
          <w:rFonts w:ascii="Arial Narrow" w:hAnsi="Arial Narrow"/>
          <w:i/>
          <w:iCs/>
        </w:rPr>
        <w:t>Tribunal Electoral</w:t>
      </w:r>
      <w:r w:rsidRPr="001C2B43">
        <w:rPr>
          <w:rFonts w:ascii="Arial Narrow" w:hAnsi="Arial Narrow"/>
        </w:rPr>
        <w:t xml:space="preserve">, y conforme a lo previsto en el artículo 21 de la </w:t>
      </w:r>
      <w:r w:rsidRPr="001C2B43">
        <w:rPr>
          <w:rFonts w:ascii="Arial Narrow" w:hAnsi="Arial Narrow"/>
          <w:i/>
          <w:iCs/>
        </w:rPr>
        <w:t>Ley de Justicia Electoral</w:t>
      </w:r>
      <w:r w:rsidRPr="001C2B43">
        <w:rPr>
          <w:rFonts w:ascii="Arial Narrow" w:hAnsi="Arial Narrow"/>
        </w:rPr>
        <w:t xml:space="preserve"> y la tesis XIX.1o.P.T. J/4 de los Tribunales Colegiados de Circuito de rubro: </w:t>
      </w:r>
      <w:r w:rsidRPr="001C2B43">
        <w:rPr>
          <w:rFonts w:ascii="Arial Narrow" w:hAnsi="Arial Narrow"/>
          <w:b/>
          <w:bCs/>
        </w:rPr>
        <w:t>“</w:t>
      </w:r>
      <w:r w:rsidRPr="001C2B43">
        <w:rPr>
          <w:rFonts w:ascii="Arial Narrow" w:hAnsi="Arial Narrow"/>
          <w:b/>
          <w:bCs/>
          <w:i/>
          <w:iCs/>
        </w:rPr>
        <w:t>HECHOS NOTORIOS. LOS MAGISTRADOS INTEGRANTES DE LOS TRIBUNALES COLEGIADOS DE CIRCUITO PUEDEN INVOCAR CON ESE CARÁCTER LAS EJECUTORIAS QUE EMITIERON Y LOS DIFERENTES DATOS E INFORMACIÓN CONTENIDOS EN DICHAS RESOLUCIONES Y EN LOS ASUNTOS QUE SE SIGAN ANTE LOS PROPIOS ÓRGANOS</w:t>
      </w:r>
      <w:r w:rsidRPr="001C2B43">
        <w:rPr>
          <w:rFonts w:ascii="Arial Narrow" w:hAnsi="Arial Narrow"/>
          <w:b/>
          <w:bCs/>
        </w:rPr>
        <w:t>”.</w:t>
      </w:r>
    </w:p>
  </w:footnote>
  <w:footnote w:id="54">
    <w:p w14:paraId="6DFACD26" w14:textId="77777777" w:rsidR="00E11D56" w:rsidRPr="001C2B43" w:rsidRDefault="00000000">
      <w:pPr>
        <w:pStyle w:val="Textonotapie"/>
        <w:jc w:val="both"/>
        <w:rPr>
          <w:rFonts w:ascii="Arial Narrow" w:hAnsi="Arial Narrow"/>
        </w:rPr>
      </w:pPr>
      <w:r w:rsidRPr="001C2B43">
        <w:rPr>
          <w:rStyle w:val="Refdenotaalpie"/>
          <w:rFonts w:ascii="Arial Narrow" w:hAnsi="Arial Narrow"/>
        </w:rPr>
        <w:footnoteRef/>
      </w:r>
      <w:r w:rsidRPr="001C2B43">
        <w:rPr>
          <w:rFonts w:ascii="Arial Narrow" w:hAnsi="Arial Narrow"/>
        </w:rPr>
        <w:t xml:space="preserve"> Al resolver el juicio de la ciudanía TEEM-JDC-005/2026, por no haber sido impugnado de forma oportuna.</w:t>
      </w:r>
    </w:p>
  </w:footnote>
  <w:footnote w:id="55">
    <w:p w14:paraId="499D1308" w14:textId="77777777" w:rsidR="00E11D56" w:rsidRPr="001C2B43" w:rsidRDefault="00000000">
      <w:pPr>
        <w:pStyle w:val="Textonotapie"/>
        <w:jc w:val="both"/>
        <w:rPr>
          <w:rFonts w:ascii="Arial Narrow" w:hAnsi="Arial Narrow"/>
          <w:i/>
          <w:iCs/>
        </w:rPr>
      </w:pPr>
      <w:r w:rsidRPr="001C2B43">
        <w:rPr>
          <w:rStyle w:val="Refdenotaalpie"/>
          <w:rFonts w:ascii="Arial Narrow" w:hAnsi="Arial Narrow"/>
        </w:rPr>
        <w:footnoteRef/>
      </w:r>
      <w:r w:rsidRPr="001C2B43">
        <w:rPr>
          <w:rFonts w:ascii="Arial Narrow" w:hAnsi="Arial Narrow"/>
        </w:rPr>
        <w:t xml:space="preserve"> De conformidad con el Catálogo Nacional de Pueblos y Comunidades Indígenas y Afromexicanas, disponible en: </w:t>
      </w:r>
      <w:hyperlink r:id="rId5" w:history="1">
        <w:r w:rsidR="00E11D56" w:rsidRPr="001C2B43">
          <w:rPr>
            <w:rStyle w:val="Hipervnculo"/>
            <w:rFonts w:ascii="Arial Narrow" w:eastAsia="Calibri" w:hAnsi="Arial Narrow"/>
          </w:rPr>
          <w:t>https://catalogo.inpi.gob.mx/cedulas/</w:t>
        </w:r>
      </w:hyperlink>
      <w:r w:rsidRPr="001C2B43">
        <w:rPr>
          <w:rFonts w:ascii="Arial Narrow" w:hAnsi="Arial Narrow"/>
          <w:i/>
          <w:iCs/>
        </w:rPr>
        <w:t>.</w:t>
      </w:r>
    </w:p>
  </w:footnote>
  <w:footnote w:id="56">
    <w:p w14:paraId="29EFE6DC" w14:textId="77777777" w:rsidR="00E11D56" w:rsidRDefault="00000000">
      <w:pPr>
        <w:pStyle w:val="Textonotapie"/>
        <w:jc w:val="both"/>
        <w:rPr>
          <w:rFonts w:ascii="Arial Narrow" w:hAnsi="Arial Narrow"/>
        </w:rPr>
      </w:pPr>
      <w:r w:rsidRPr="001C2B43">
        <w:rPr>
          <w:rStyle w:val="Refdenotaalpie"/>
          <w:rFonts w:ascii="Arial Narrow" w:hAnsi="Arial Narrow"/>
        </w:rPr>
        <w:footnoteRef/>
      </w:r>
      <w:r w:rsidRPr="001C2B43">
        <w:rPr>
          <w:rFonts w:ascii="Arial Narrow" w:hAnsi="Arial Narrow"/>
        </w:rPr>
        <w:t xml:space="preserve"> Conforme lo dispuesto en el apartado tercero, fracción X, del Manual de Organización del </w:t>
      </w:r>
      <w:r w:rsidRPr="001C2B43">
        <w:rPr>
          <w:rFonts w:ascii="Arial Narrow" w:hAnsi="Arial Narrow"/>
          <w:i/>
        </w:rPr>
        <w:t>Sistema Michoacano de Radio y Televisión</w:t>
      </w:r>
      <w:r w:rsidRPr="001C2B43">
        <w:rPr>
          <w:rFonts w:ascii="Arial Narrow" w:hAnsi="Arial Narrow"/>
        </w:rPr>
        <w:t>, dado el carácter que tiene como organismo público descentralizado del Gobierno del Estado, en el que se prevé, dentro de sus atribuciones, difundir una programación que fortalezca una identidad cultural y social de los michoacanos.</w:t>
      </w:r>
      <w:r>
        <w:rPr>
          <w:rFonts w:ascii="Arial Narrow" w:hAnsi="Arial Narrow"/>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327C4" w14:textId="77777777" w:rsidR="00E11D56" w:rsidRDefault="00000000">
    <w:pPr>
      <w:pStyle w:val="Encabezado"/>
      <w:tabs>
        <w:tab w:val="left" w:pos="964"/>
      </w:tabs>
      <w:spacing w:after="0" w:line="360" w:lineRule="auto"/>
      <w:jc w:val="right"/>
      <w:rPr>
        <w:rFonts w:ascii="Arial Narrow" w:hAnsi="Arial Narrow" w:cs="Arial"/>
        <w:b/>
        <w:bCs/>
        <w:sz w:val="20"/>
        <w:szCs w:val="20"/>
      </w:rPr>
    </w:pPr>
    <w:r>
      <w:rPr>
        <w:b/>
        <w:bCs/>
        <w:noProof/>
      </w:rPr>
      <w:drawing>
        <wp:anchor distT="0" distB="0" distL="114300" distR="114300" simplePos="0" relativeHeight="251658241" behindDoc="1" locked="0" layoutInCell="1" allowOverlap="1" wp14:anchorId="5DB95AB4" wp14:editId="2AD98575">
          <wp:simplePos x="0" y="0"/>
          <wp:positionH relativeFrom="column">
            <wp:posOffset>-138342</wp:posOffset>
          </wp:positionH>
          <wp:positionV relativeFrom="paragraph">
            <wp:posOffset>-605155</wp:posOffset>
          </wp:positionV>
          <wp:extent cx="1901024" cy="720000"/>
          <wp:effectExtent l="0" t="0" r="4445" b="4445"/>
          <wp:wrapNone/>
          <wp:docPr id="523467843"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467843" name="Imagen 1" descr="Text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1024"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cs="Arial"/>
        <w:b/>
        <w:bCs/>
        <w:color w:val="ADADAD" w:themeColor="background2" w:themeShade="BF"/>
        <w:sz w:val="20"/>
        <w:szCs w:val="20"/>
      </w:rPr>
      <w:t xml:space="preserve">    </w:t>
    </w:r>
    <w:r>
      <w:rPr>
        <w:rFonts w:ascii="Arial Narrow" w:hAnsi="Arial Narrow" w:cs="Arial"/>
        <w:b/>
        <w:bCs/>
        <w:sz w:val="20"/>
        <w:szCs w:val="20"/>
      </w:rPr>
      <w:t>TEEM-JDC-060/2026</w:t>
    </w:r>
  </w:p>
  <w:p w14:paraId="498961F2" w14:textId="77777777" w:rsidR="00E11D56" w:rsidRDefault="00E11D56">
    <w:pPr>
      <w:pStyle w:val="Encabezado"/>
      <w:tabs>
        <w:tab w:val="left" w:pos="964"/>
      </w:tabs>
      <w:spacing w:after="0" w:line="360" w:lineRule="auto"/>
      <w:jc w:val="right"/>
      <w:rPr>
        <w:rFonts w:ascii="Arial Narrow" w:hAnsi="Arial Narrow" w:cs="Arial"/>
        <w:b/>
        <w:bCs/>
        <w:color w:val="ADADAD" w:themeColor="background2" w:themeShade="B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055CF" w14:textId="77777777" w:rsidR="00E11D56" w:rsidRDefault="00000000">
    <w:pPr>
      <w:pStyle w:val="Encabezado"/>
    </w:pPr>
    <w:r>
      <w:rPr>
        <w:noProof/>
      </w:rPr>
      <w:drawing>
        <wp:anchor distT="0" distB="0" distL="114300" distR="114300" simplePos="0" relativeHeight="251658240" behindDoc="1" locked="0" layoutInCell="1" allowOverlap="1" wp14:anchorId="75E199B7" wp14:editId="6AD2F4DE">
          <wp:simplePos x="0" y="0"/>
          <wp:positionH relativeFrom="column">
            <wp:posOffset>-116205</wp:posOffset>
          </wp:positionH>
          <wp:positionV relativeFrom="paragraph">
            <wp:posOffset>-575962</wp:posOffset>
          </wp:positionV>
          <wp:extent cx="2209800" cy="836947"/>
          <wp:effectExtent l="0" t="0" r="0" b="1270"/>
          <wp:wrapNone/>
          <wp:docPr id="3059224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5691" cy="83917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2F7"/>
    <w:multiLevelType w:val="multilevel"/>
    <w:tmpl w:val="90A8FFF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3824573"/>
    <w:multiLevelType w:val="hybridMultilevel"/>
    <w:tmpl w:val="86DE8952"/>
    <w:lvl w:ilvl="0" w:tplc="080A0011">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3CB44D2"/>
    <w:multiLevelType w:val="multilevel"/>
    <w:tmpl w:val="0B3C4C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bCs/>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0C5F08"/>
    <w:multiLevelType w:val="multilevel"/>
    <w:tmpl w:val="F7541CB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55F3B6A"/>
    <w:multiLevelType w:val="hybridMultilevel"/>
    <w:tmpl w:val="198EA52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88D3329"/>
    <w:multiLevelType w:val="hybridMultilevel"/>
    <w:tmpl w:val="ED72D4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A6E40A8"/>
    <w:multiLevelType w:val="multilevel"/>
    <w:tmpl w:val="6DBA170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E6B4481"/>
    <w:multiLevelType w:val="multilevel"/>
    <w:tmpl w:val="9C04E4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F7A74C8"/>
    <w:multiLevelType w:val="multilevel"/>
    <w:tmpl w:val="D05A94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FBB251E"/>
    <w:multiLevelType w:val="hybridMultilevel"/>
    <w:tmpl w:val="28D6F484"/>
    <w:lvl w:ilvl="0" w:tplc="080A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D9121C"/>
    <w:multiLevelType w:val="hybridMultilevel"/>
    <w:tmpl w:val="81C63016"/>
    <w:lvl w:ilvl="0" w:tplc="6018DFD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6694D67"/>
    <w:multiLevelType w:val="multilevel"/>
    <w:tmpl w:val="7D383F7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A512734"/>
    <w:multiLevelType w:val="multilevel"/>
    <w:tmpl w:val="8410FC6C"/>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B74331C"/>
    <w:multiLevelType w:val="multilevel"/>
    <w:tmpl w:val="E8A0EBA4"/>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C1A1754"/>
    <w:multiLevelType w:val="multilevel"/>
    <w:tmpl w:val="6C92B2F4"/>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3770EB4"/>
    <w:multiLevelType w:val="hybridMultilevel"/>
    <w:tmpl w:val="874E50B4"/>
    <w:lvl w:ilvl="0" w:tplc="AA3E835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3AC7E4B"/>
    <w:multiLevelType w:val="multilevel"/>
    <w:tmpl w:val="6D60696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770107"/>
    <w:multiLevelType w:val="hybridMultilevel"/>
    <w:tmpl w:val="721287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49D172E"/>
    <w:multiLevelType w:val="hybridMultilevel"/>
    <w:tmpl w:val="54AA81F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7515455"/>
    <w:multiLevelType w:val="hybridMultilevel"/>
    <w:tmpl w:val="C512DBA4"/>
    <w:lvl w:ilvl="0" w:tplc="075C9C2C">
      <w:start w:val="2"/>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B8B7B19"/>
    <w:multiLevelType w:val="multilevel"/>
    <w:tmpl w:val="6638EF5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25A49D4"/>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3815B42"/>
    <w:multiLevelType w:val="multilevel"/>
    <w:tmpl w:val="0B3C4C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bCs/>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6BB4926"/>
    <w:multiLevelType w:val="multilevel"/>
    <w:tmpl w:val="E29864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636A75"/>
    <w:multiLevelType w:val="multilevel"/>
    <w:tmpl w:val="AF14457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8B920A6"/>
    <w:multiLevelType w:val="hybridMultilevel"/>
    <w:tmpl w:val="54AA81F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A13075D"/>
    <w:multiLevelType w:val="hybridMultilevel"/>
    <w:tmpl w:val="E020D39C"/>
    <w:lvl w:ilvl="0" w:tplc="82F6BE76">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E332D7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F937283"/>
    <w:multiLevelType w:val="multilevel"/>
    <w:tmpl w:val="9E7ED2C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2AB1E9F"/>
    <w:multiLevelType w:val="multilevel"/>
    <w:tmpl w:val="F0464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2453A2"/>
    <w:multiLevelType w:val="hybridMultilevel"/>
    <w:tmpl w:val="DEC825AC"/>
    <w:lvl w:ilvl="0" w:tplc="819CA5FA">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60971FB"/>
    <w:multiLevelType w:val="hybridMultilevel"/>
    <w:tmpl w:val="DF741ACA"/>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78B3C4B"/>
    <w:multiLevelType w:val="multilevel"/>
    <w:tmpl w:val="0B3C4C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bCs/>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8B738D9"/>
    <w:multiLevelType w:val="multilevel"/>
    <w:tmpl w:val="27AC66F2"/>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4" w15:restartNumberingAfterBreak="0">
    <w:nsid w:val="58DF3D57"/>
    <w:multiLevelType w:val="multilevel"/>
    <w:tmpl w:val="DDAEDC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5F35514F"/>
    <w:multiLevelType w:val="hybridMultilevel"/>
    <w:tmpl w:val="0E902CC8"/>
    <w:lvl w:ilvl="0" w:tplc="791481D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D52F7E"/>
    <w:multiLevelType w:val="hybridMultilevel"/>
    <w:tmpl w:val="67C674B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7951174"/>
    <w:multiLevelType w:val="multilevel"/>
    <w:tmpl w:val="50A8AA2C"/>
    <w:lvl w:ilvl="0">
      <w:start w:val="1"/>
      <w:numFmt w:val="decimal"/>
      <w:lvlText w:val="%1."/>
      <w:lvlJc w:val="left"/>
      <w:pPr>
        <w:ind w:left="786" w:hanging="360"/>
      </w:pPr>
      <w:rPr>
        <w:rFonts w:ascii="Arial" w:eastAsia="Arial" w:hAnsi="Arial" w:cs="Arial"/>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8" w15:restartNumberingAfterBreak="0">
    <w:nsid w:val="67CB2D37"/>
    <w:multiLevelType w:val="multilevel"/>
    <w:tmpl w:val="C7F6AB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8F264FB"/>
    <w:multiLevelType w:val="multilevel"/>
    <w:tmpl w:val="81E83E20"/>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6AFE50F3"/>
    <w:multiLevelType w:val="hybridMultilevel"/>
    <w:tmpl w:val="A3F228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B281F94"/>
    <w:multiLevelType w:val="multilevel"/>
    <w:tmpl w:val="310E6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D822F3"/>
    <w:multiLevelType w:val="multilevel"/>
    <w:tmpl w:val="0BF4F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75D6AA4"/>
    <w:multiLevelType w:val="multilevel"/>
    <w:tmpl w:val="BF1ACF02"/>
    <w:lvl w:ilvl="0">
      <w:start w:val="1"/>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7A66C09"/>
    <w:multiLevelType w:val="multilevel"/>
    <w:tmpl w:val="DAFED6F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783B47F6"/>
    <w:multiLevelType w:val="multilevel"/>
    <w:tmpl w:val="7F489236"/>
    <w:lvl w:ilvl="0">
      <w:start w:val="1"/>
      <w:numFmt w:val="upperRoman"/>
      <w:lvlText w:val="%1."/>
      <w:lvlJc w:val="left"/>
      <w:pPr>
        <w:ind w:left="1800" w:hanging="720"/>
      </w:pPr>
      <w:rPr>
        <w:rFonts w:hint="default"/>
        <w:color w:val="auto"/>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6" w15:restartNumberingAfterBreak="0">
    <w:nsid w:val="790919D6"/>
    <w:multiLevelType w:val="multilevel"/>
    <w:tmpl w:val="C60EB0B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7F5A7824"/>
    <w:multiLevelType w:val="multilevel"/>
    <w:tmpl w:val="9258AE6E"/>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F8C01CA"/>
    <w:multiLevelType w:val="hybridMultilevel"/>
    <w:tmpl w:val="10B2D71A"/>
    <w:lvl w:ilvl="0" w:tplc="BE16D4E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27474368">
    <w:abstractNumId w:val="27"/>
  </w:num>
  <w:num w:numId="2" w16cid:durableId="1896427010">
    <w:abstractNumId w:val="21"/>
  </w:num>
  <w:num w:numId="3" w16cid:durableId="467282492">
    <w:abstractNumId w:val="38"/>
  </w:num>
  <w:num w:numId="4" w16cid:durableId="1991710925">
    <w:abstractNumId w:val="18"/>
  </w:num>
  <w:num w:numId="5" w16cid:durableId="401104544">
    <w:abstractNumId w:val="31"/>
  </w:num>
  <w:num w:numId="6" w16cid:durableId="1685983324">
    <w:abstractNumId w:val="5"/>
  </w:num>
  <w:num w:numId="7" w16cid:durableId="84693931">
    <w:abstractNumId w:val="15"/>
  </w:num>
  <w:num w:numId="8" w16cid:durableId="1736469524">
    <w:abstractNumId w:val="9"/>
  </w:num>
  <w:num w:numId="9" w16cid:durableId="2013217425">
    <w:abstractNumId w:val="30"/>
  </w:num>
  <w:num w:numId="10" w16cid:durableId="19556257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2895216">
    <w:abstractNumId w:val="29"/>
  </w:num>
  <w:num w:numId="12" w16cid:durableId="135493047">
    <w:abstractNumId w:val="23"/>
  </w:num>
  <w:num w:numId="13" w16cid:durableId="1999535288">
    <w:abstractNumId w:val="34"/>
  </w:num>
  <w:num w:numId="14" w16cid:durableId="1002662526">
    <w:abstractNumId w:val="8"/>
  </w:num>
  <w:num w:numId="15" w16cid:durableId="1976449667">
    <w:abstractNumId w:val="3"/>
  </w:num>
  <w:num w:numId="16" w16cid:durableId="261694286">
    <w:abstractNumId w:val="11"/>
  </w:num>
  <w:num w:numId="17" w16cid:durableId="1935044911">
    <w:abstractNumId w:val="20"/>
  </w:num>
  <w:num w:numId="18" w16cid:durableId="1737170736">
    <w:abstractNumId w:val="44"/>
  </w:num>
  <w:num w:numId="19" w16cid:durableId="768620063">
    <w:abstractNumId w:val="0"/>
  </w:num>
  <w:num w:numId="20" w16cid:durableId="457531203">
    <w:abstractNumId w:val="46"/>
  </w:num>
  <w:num w:numId="21" w16cid:durableId="849950317">
    <w:abstractNumId w:val="28"/>
  </w:num>
  <w:num w:numId="22" w16cid:durableId="975793253">
    <w:abstractNumId w:val="13"/>
  </w:num>
  <w:num w:numId="23" w16cid:durableId="1595701464">
    <w:abstractNumId w:val="14"/>
  </w:num>
  <w:num w:numId="24" w16cid:durableId="1808550443">
    <w:abstractNumId w:val="39"/>
  </w:num>
  <w:num w:numId="25" w16cid:durableId="640887826">
    <w:abstractNumId w:val="40"/>
  </w:num>
  <w:num w:numId="26" w16cid:durableId="1511017980">
    <w:abstractNumId w:val="25"/>
  </w:num>
  <w:num w:numId="27" w16cid:durableId="827094640">
    <w:abstractNumId w:val="42"/>
  </w:num>
  <w:num w:numId="28" w16cid:durableId="1385180443">
    <w:abstractNumId w:val="22"/>
  </w:num>
  <w:num w:numId="29" w16cid:durableId="1466266866">
    <w:abstractNumId w:val="16"/>
  </w:num>
  <w:num w:numId="30" w16cid:durableId="1101148483">
    <w:abstractNumId w:val="1"/>
  </w:num>
  <w:num w:numId="31" w16cid:durableId="912009912">
    <w:abstractNumId w:val="7"/>
  </w:num>
  <w:num w:numId="32" w16cid:durableId="504905775">
    <w:abstractNumId w:val="6"/>
  </w:num>
  <w:num w:numId="33" w16cid:durableId="1268387770">
    <w:abstractNumId w:val="17"/>
  </w:num>
  <w:num w:numId="34" w16cid:durableId="1226722728">
    <w:abstractNumId w:val="4"/>
  </w:num>
  <w:num w:numId="35" w16cid:durableId="174879194">
    <w:abstractNumId w:val="36"/>
  </w:num>
  <w:num w:numId="36" w16cid:durableId="622158229">
    <w:abstractNumId w:val="26"/>
  </w:num>
  <w:num w:numId="37" w16cid:durableId="85156549">
    <w:abstractNumId w:val="10"/>
  </w:num>
  <w:num w:numId="38" w16cid:durableId="1911383121">
    <w:abstractNumId w:val="45"/>
  </w:num>
  <w:num w:numId="39" w16cid:durableId="811409516">
    <w:abstractNumId w:val="43"/>
  </w:num>
  <w:num w:numId="40" w16cid:durableId="686103370">
    <w:abstractNumId w:val="24"/>
  </w:num>
  <w:num w:numId="41" w16cid:durableId="1422407983">
    <w:abstractNumId w:val="19"/>
  </w:num>
  <w:num w:numId="42" w16cid:durableId="117723375">
    <w:abstractNumId w:val="32"/>
  </w:num>
  <w:num w:numId="43" w16cid:durableId="356741041">
    <w:abstractNumId w:val="47"/>
  </w:num>
  <w:num w:numId="44" w16cid:durableId="2079555224">
    <w:abstractNumId w:val="12"/>
  </w:num>
  <w:num w:numId="45" w16cid:durableId="1039356025">
    <w:abstractNumId w:val="41"/>
  </w:num>
  <w:num w:numId="46" w16cid:durableId="265432177">
    <w:abstractNumId w:val="48"/>
  </w:num>
  <w:num w:numId="47" w16cid:durableId="1147548847">
    <w:abstractNumId w:val="33"/>
  </w:num>
  <w:num w:numId="48" w16cid:durableId="2053496">
    <w:abstractNumId w:val="2"/>
  </w:num>
  <w:num w:numId="49" w16cid:durableId="198530897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D56"/>
    <w:rsid w:val="000767C7"/>
    <w:rsid w:val="0008628A"/>
    <w:rsid w:val="001C2B43"/>
    <w:rsid w:val="002344CC"/>
    <w:rsid w:val="003A25ED"/>
    <w:rsid w:val="00403CBC"/>
    <w:rsid w:val="00461BF5"/>
    <w:rsid w:val="005A15E7"/>
    <w:rsid w:val="005B1F6B"/>
    <w:rsid w:val="006A730F"/>
    <w:rsid w:val="007C33B4"/>
    <w:rsid w:val="007E5405"/>
    <w:rsid w:val="008033B4"/>
    <w:rsid w:val="009A3C97"/>
    <w:rsid w:val="00AB37F2"/>
    <w:rsid w:val="00C26FDC"/>
    <w:rsid w:val="00D07D09"/>
    <w:rsid w:val="00DD1F59"/>
    <w:rsid w:val="00E11D56"/>
    <w:rsid w:val="00ED7EEB"/>
    <w:rsid w:val="00F11E2B"/>
    <w:rsid w:val="00F41B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BCF82"/>
  <w15:chartTrackingRefBased/>
  <w15:docId w15:val="{F8A2C571-BF3C-4D40-AF18-2C81A7B3A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88" w:lineRule="auto"/>
    </w:pPr>
    <w:rPr>
      <w:rFonts w:eastAsiaTheme="minorEastAsia"/>
      <w:kern w:val="0"/>
      <w:sz w:val="21"/>
      <w:szCs w:val="21"/>
      <w14:ligatures w14:val="none"/>
    </w:rPr>
  </w:style>
  <w:style w:type="paragraph" w:styleId="Ttulo1">
    <w:name w:val="heading 1"/>
    <w:basedOn w:val="Normal"/>
    <w:next w:val="Normal"/>
    <w:link w:val="Ttulo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Pr>
      <w:rFonts w:eastAsiaTheme="majorEastAsia" w:cstheme="majorBidi"/>
      <w:color w:val="272727" w:themeColor="text1" w:themeTint="D8"/>
    </w:rPr>
  </w:style>
  <w:style w:type="paragraph" w:styleId="Ttulo">
    <w:name w:val="Title"/>
    <w:basedOn w:val="Normal"/>
    <w:next w:val="Normal"/>
    <w:link w:val="TtuloC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customStyle="1" w:styleId="CitaCar">
    <w:name w:val="Cita Car"/>
    <w:basedOn w:val="Fuentedeprrafopredeter"/>
    <w:link w:val="Cita"/>
    <w:uiPriority w:val="29"/>
    <w:rPr>
      <w:i/>
      <w:iCs/>
      <w:color w:val="404040" w:themeColor="text1" w:themeTint="BF"/>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pPr>
      <w:ind w:left="720"/>
      <w:contextualSpacing/>
    </w:pPr>
  </w:style>
  <w:style w:type="character" w:styleId="nfasisintenso">
    <w:name w:val="Intense Emphasis"/>
    <w:basedOn w:val="Fuentedeprrafopredeter"/>
    <w:uiPriority w:val="21"/>
    <w:qFormat/>
    <w:rPr>
      <w:i/>
      <w:iCs/>
      <w:color w:val="0F4761" w:themeColor="accent1" w:themeShade="BF"/>
    </w:rPr>
  </w:style>
  <w:style w:type="paragraph" w:styleId="Citadestacada">
    <w:name w:val="Intense Quote"/>
    <w:basedOn w:val="Normal"/>
    <w:next w:val="Normal"/>
    <w:link w:val="Citadestacada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Pr>
      <w:i/>
      <w:iCs/>
      <w:color w:val="0F4761" w:themeColor="accent1" w:themeShade="BF"/>
    </w:rPr>
  </w:style>
  <w:style w:type="character" w:styleId="Referenciaintensa">
    <w:name w:val="Intense Reference"/>
    <w:basedOn w:val="Fuentedeprrafopredeter"/>
    <w:uiPriority w:val="32"/>
    <w:qFormat/>
    <w:rPr>
      <w:b/>
      <w:bCs/>
      <w:smallCaps/>
      <w:color w:val="0F4761" w:themeColor="accent1" w:themeShade="BF"/>
      <w:spacing w:val="5"/>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Pr>
      <w:rFonts w:eastAsiaTheme="minorEastAsia"/>
      <w:kern w:val="0"/>
      <w:sz w:val="20"/>
      <w:szCs w:val="20"/>
      <w14:ligatures w14:val="none"/>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basedOn w:val="Fuentedeprrafopredeter"/>
    <w:link w:val="4GChar"/>
    <w:uiPriority w:val="99"/>
    <w:unhideWhenUsed/>
    <w:qFormat/>
    <w:rPr>
      <w:vertAlign w:val="superscript"/>
    </w:rPr>
  </w:style>
  <w:style w:type="paragraph" w:styleId="Encabezado">
    <w:name w:val="header"/>
    <w:basedOn w:val="Normal"/>
    <w:link w:val="EncabezadoCar"/>
    <w:uiPriority w:val="99"/>
    <w:unhideWhenUsed/>
    <w:pPr>
      <w:tabs>
        <w:tab w:val="center" w:pos="4419"/>
        <w:tab w:val="right" w:pos="8838"/>
      </w:tabs>
    </w:pPr>
  </w:style>
  <w:style w:type="character" w:customStyle="1" w:styleId="EncabezadoCar">
    <w:name w:val="Encabezado Car"/>
    <w:basedOn w:val="Fuentedeprrafopredeter"/>
    <w:link w:val="Encabezado"/>
    <w:uiPriority w:val="99"/>
    <w:rPr>
      <w:rFonts w:eastAsiaTheme="minorEastAsia"/>
      <w:kern w:val="0"/>
      <w:sz w:val="21"/>
      <w:szCs w:val="21"/>
      <w14:ligatures w14:val="none"/>
    </w:rPr>
  </w:style>
  <w:style w:type="paragraph" w:styleId="Piedepgina">
    <w:name w:val="footer"/>
    <w:basedOn w:val="Normal"/>
    <w:link w:val="PiedepginaCar"/>
    <w:uiPriority w:val="99"/>
    <w:unhideWhenUsed/>
    <w:pPr>
      <w:tabs>
        <w:tab w:val="center" w:pos="4419"/>
        <w:tab w:val="right" w:pos="8838"/>
      </w:tabs>
    </w:pPr>
  </w:style>
  <w:style w:type="character" w:customStyle="1" w:styleId="PiedepginaCar">
    <w:name w:val="Pie de página Car"/>
    <w:basedOn w:val="Fuentedeprrafopredeter"/>
    <w:link w:val="Piedepgina"/>
    <w:uiPriority w:val="99"/>
    <w:rPr>
      <w:rFonts w:eastAsiaTheme="minorEastAsia"/>
      <w:kern w:val="0"/>
      <w:sz w:val="21"/>
      <w:szCs w:val="21"/>
      <w14:ligatures w14:val="none"/>
    </w:rPr>
  </w:style>
  <w:style w:type="table" w:styleId="Tablaconcuadrcula">
    <w:name w:val="Table Grid"/>
    <w:basedOn w:val="Tablanormal"/>
    <w:uiPriority w:val="39"/>
    <w:pPr>
      <w:spacing w:after="0" w:line="240" w:lineRule="auto"/>
    </w:pPr>
    <w:rPr>
      <w:rFonts w:eastAsiaTheme="minorEastAsia"/>
      <w:kern w:val="0"/>
      <w:lang w:val="es-ES_tradnl"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pPr>
      <w:spacing w:after="0" w:line="240" w:lineRule="auto"/>
      <w:jc w:val="both"/>
    </w:pPr>
    <w:rPr>
      <w:rFonts w:eastAsiaTheme="minorHAnsi"/>
      <w:kern w:val="2"/>
      <w:sz w:val="24"/>
      <w:szCs w:val="24"/>
      <w:vertAlign w:val="superscript"/>
      <w14:ligatures w14:val="standardContextual"/>
    </w:rPr>
  </w:style>
  <w:style w:type="paragraph" w:styleId="TtuloTDC">
    <w:name w:val="TOC Heading"/>
    <w:basedOn w:val="Ttulo1"/>
    <w:next w:val="Normal"/>
    <w:uiPriority w:val="39"/>
    <w:unhideWhenUsed/>
    <w:qFormat/>
    <w:pPr>
      <w:spacing w:after="40" w:line="240" w:lineRule="auto"/>
      <w:outlineLvl w:val="9"/>
    </w:pPr>
    <w:rPr>
      <w:color w:val="3A7C22" w:themeColor="accent6" w:themeShade="BF"/>
    </w:rPr>
  </w:style>
  <w:style w:type="paragraph" w:styleId="Sangradetextonormal">
    <w:name w:val="Body Text Indent"/>
    <w:basedOn w:val="Normal"/>
    <w:link w:val="SangradetextonormalCar"/>
    <w:uiPriority w:val="99"/>
    <w:unhideWhenUsed/>
    <w:pPr>
      <w:spacing w:after="120" w:line="259" w:lineRule="auto"/>
      <w:ind w:left="283"/>
    </w:pPr>
    <w:rPr>
      <w:rFonts w:eastAsiaTheme="minorHAnsi"/>
      <w:sz w:val="22"/>
      <w:szCs w:val="22"/>
    </w:rPr>
  </w:style>
  <w:style w:type="character" w:customStyle="1" w:styleId="SangradetextonormalCar">
    <w:name w:val="Sangría de texto normal Car"/>
    <w:basedOn w:val="Fuentedeprrafopredeter"/>
    <w:link w:val="Sangradetextonormal"/>
    <w:uiPriority w:val="99"/>
    <w:rPr>
      <w:kern w:val="0"/>
      <w:sz w:val="22"/>
      <w:szCs w:val="22"/>
      <w14:ligatures w14:val="none"/>
    </w:rPr>
  </w:style>
  <w:style w:type="character" w:styleId="Hipervnculo">
    <w:name w:val="Hyperlink"/>
    <w:basedOn w:val="Fuentedeprrafopredeter"/>
    <w:uiPriority w:val="99"/>
    <w:unhideWhenUsed/>
    <w:rPr>
      <w:color w:val="467886" w:themeColor="hyperlink"/>
      <w:u w:val="single"/>
    </w:rPr>
  </w:style>
  <w:style w:type="paragraph" w:customStyle="1" w:styleId="Default">
    <w:name w:val="Default"/>
    <w:qFormat/>
    <w:pPr>
      <w:autoSpaceDE w:val="0"/>
      <w:autoSpaceDN w:val="0"/>
      <w:adjustRightInd w:val="0"/>
      <w:spacing w:after="0" w:line="240" w:lineRule="auto"/>
    </w:pPr>
    <w:rPr>
      <w:rFonts w:ascii="Arial" w:hAnsi="Arial" w:cs="Arial"/>
      <w:color w:val="000000"/>
      <w:kern w:val="0"/>
      <w14:ligatures w14:val="none"/>
    </w:rPr>
  </w:style>
  <w:style w:type="paragraph" w:styleId="TDC2">
    <w:name w:val="toc 2"/>
    <w:basedOn w:val="Normal"/>
    <w:next w:val="Normal"/>
    <w:autoRedefine/>
    <w:uiPriority w:val="39"/>
    <w:unhideWhenUsed/>
    <w:pPr>
      <w:tabs>
        <w:tab w:val="right" w:leader="dot" w:pos="8546"/>
      </w:tabs>
      <w:spacing w:after="100"/>
    </w:pPr>
  </w:style>
  <w:style w:type="character" w:styleId="Mencinsinresolver">
    <w:name w:val="Unresolved Mention"/>
    <w:basedOn w:val="Fuentedeprrafopredeter"/>
    <w:uiPriority w:val="99"/>
    <w:semiHidden/>
    <w:unhideWhenUsed/>
    <w:rPr>
      <w:color w:val="605E5C"/>
      <w:shd w:val="clear" w:color="auto" w:fill="E1DFDD"/>
    </w:r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Pr>
      <w:rFonts w:eastAsiaTheme="minorEastAsia"/>
      <w:kern w:val="0"/>
      <w:sz w:val="21"/>
      <w:szCs w:val="21"/>
      <w14:ligatures w14:val="none"/>
    </w:rPr>
  </w:style>
  <w:style w:type="character" w:styleId="Hipervnculovisitado">
    <w:name w:val="FollowedHyperlink"/>
    <w:basedOn w:val="Fuentedeprrafopredeter"/>
    <w:uiPriority w:val="99"/>
    <w:semiHidden/>
    <w:unhideWhenUsed/>
    <w:rPr>
      <w:color w:val="96607D" w:themeColor="followedHyperlink"/>
      <w:u w:val="single"/>
    </w:rPr>
  </w:style>
  <w:style w:type="paragraph" w:customStyle="1" w:styleId="Estilo">
    <w:name w:val="Estilo"/>
    <w:basedOn w:val="Sinespaciado"/>
    <w:link w:val="EstiloCar"/>
    <w:qFormat/>
    <w:pPr>
      <w:jc w:val="both"/>
    </w:pPr>
    <w:rPr>
      <w:rFonts w:ascii="Arial" w:eastAsiaTheme="minorHAnsi" w:hAnsi="Arial"/>
      <w:sz w:val="24"/>
      <w:szCs w:val="22"/>
    </w:rPr>
  </w:style>
  <w:style w:type="character" w:customStyle="1" w:styleId="EstiloCar">
    <w:name w:val="Estilo Car"/>
    <w:basedOn w:val="Fuentedeprrafopredeter"/>
    <w:link w:val="Estilo"/>
    <w:rPr>
      <w:rFonts w:ascii="Arial" w:hAnsi="Arial"/>
      <w:kern w:val="0"/>
      <w:szCs w:val="22"/>
      <w14:ligatures w14:val="none"/>
    </w:rPr>
  </w:style>
  <w:style w:type="paragraph" w:styleId="Sinespaciado">
    <w:name w:val="No Spacing"/>
    <w:aliases w:val="RESOLUTIVOS"/>
    <w:link w:val="SinespaciadoCar"/>
    <w:uiPriority w:val="1"/>
    <w:qFormat/>
    <w:pPr>
      <w:spacing w:after="0" w:line="240" w:lineRule="auto"/>
    </w:pPr>
    <w:rPr>
      <w:rFonts w:eastAsiaTheme="minorEastAsia"/>
      <w:kern w:val="0"/>
      <w:sz w:val="21"/>
      <w:szCs w:val="21"/>
      <w14:ligatures w14:val="none"/>
    </w:rPr>
  </w:style>
  <w:style w:type="paragraph" w:styleId="TDC1">
    <w:name w:val="toc 1"/>
    <w:basedOn w:val="Normal"/>
    <w:next w:val="Normal"/>
    <w:autoRedefine/>
    <w:uiPriority w:val="39"/>
    <w:unhideWhenUsed/>
    <w:pPr>
      <w:spacing w:after="100"/>
    </w:pPr>
  </w:style>
  <w:style w:type="paragraph" w:styleId="TDC3">
    <w:name w:val="toc 3"/>
    <w:basedOn w:val="Normal"/>
    <w:next w:val="Normal"/>
    <w:autoRedefine/>
    <w:uiPriority w:val="39"/>
    <w:unhideWhenUsed/>
    <w:pPr>
      <w:spacing w:after="100"/>
      <w:ind w:left="420"/>
    </w:pPr>
  </w:style>
  <w:style w:type="paragraph" w:customStyle="1" w:styleId="Normal0">
    <w:name w:val="Normal0"/>
    <w:qFormat/>
    <w:pPr>
      <w:spacing w:line="259" w:lineRule="auto"/>
    </w:pPr>
    <w:rPr>
      <w:rFonts w:ascii="Calibri" w:eastAsia="Calibri" w:hAnsi="Calibri" w:cs="Calibri"/>
      <w:kern w:val="0"/>
      <w:sz w:val="22"/>
      <w:szCs w:val="22"/>
      <w:lang w:val="es" w:eastAsia="ja-JP"/>
      <w14:ligatures w14:val="none"/>
    </w:rPr>
  </w:style>
  <w:style w:type="paragraph" w:styleId="Revisin">
    <w:name w:val="Revision"/>
    <w:hidden/>
    <w:uiPriority w:val="99"/>
    <w:semiHidden/>
    <w:pPr>
      <w:spacing w:after="0" w:line="240" w:lineRule="auto"/>
    </w:pPr>
    <w:rPr>
      <w:rFonts w:eastAsiaTheme="minorEastAsia"/>
      <w:kern w:val="0"/>
      <w:sz w:val="21"/>
      <w:szCs w:val="21"/>
      <w14:ligatures w14:val="none"/>
    </w:rPr>
  </w:style>
  <w:style w:type="paragraph" w:styleId="NormalWeb">
    <w:name w:val="Normal (Web)"/>
    <w:aliases w:val="Normal (Web) Car1,Normal (Web) Car Car,Normal (Web) Car1 Car Car,Normal (Web) Car Car Car Car,Normal (Web) Car Car Car Car Car Car,Normal (Web) Car Car Car Car Car Car Car Car Car Car, Car Car Car, Car Car Car Car Car,Car Car,Car Car Ca"/>
    <w:basedOn w:val="Normal"/>
    <w:link w:val="NormalWebCar"/>
    <w:uiPriority w:val="99"/>
    <w:unhideWhenUsed/>
    <w:qFormat/>
    <w:rPr>
      <w:rFonts w:ascii="Times New Roman" w:hAnsi="Times New Roman" w:cs="Times New Roman"/>
      <w:sz w:val="24"/>
      <w:szCs w:val="24"/>
    </w:rPr>
  </w:style>
  <w:style w:type="character" w:customStyle="1" w:styleId="SinespaciadoCar">
    <w:name w:val="Sin espaciado Car"/>
    <w:aliases w:val="RESOLUTIVOS Car"/>
    <w:basedOn w:val="Fuentedeprrafopredeter"/>
    <w:link w:val="Sinespaciado"/>
    <w:uiPriority w:val="1"/>
    <w:qFormat/>
    <w:rPr>
      <w:rFonts w:eastAsiaTheme="minorEastAsia"/>
      <w:kern w:val="0"/>
      <w:sz w:val="21"/>
      <w:szCs w:val="21"/>
      <w14:ligatures w14:val="none"/>
    </w:rPr>
  </w:style>
  <w:style w:type="character" w:customStyle="1" w:styleId="NormalWebCar">
    <w:name w:val="Normal (Web) Car"/>
    <w:aliases w:val="Normal (Web) Car1 Car,Normal (Web) Car Car Car,Normal (Web) Car1 Car Car Car,Normal (Web) Car Car Car Car Car,Normal (Web) Car Car Car Car Car Car Car,Normal (Web) Car Car Car Car Car Car Car Car Car Car Car, Car Car Car Car,Car Car Car"/>
    <w:basedOn w:val="Fuentedeprrafopredeter"/>
    <w:link w:val="NormalWeb"/>
    <w:uiPriority w:val="99"/>
    <w:rPr>
      <w:rFonts w:ascii="Times New Roman" w:eastAsiaTheme="minorEastAsia" w:hAnsi="Times New Roman" w:cs="Times New Roman"/>
      <w:kern w:val="0"/>
      <w14:ligatures w14:val="none"/>
    </w:rPr>
  </w:style>
  <w:style w:type="character" w:customStyle="1" w:styleId="apple-converted-space">
    <w:name w:val="apple-converted-space"/>
    <w:basedOn w:val="Fuentedeprrafopredeter"/>
  </w:style>
  <w:style w:type="character" w:styleId="Fuerte">
    <w:name w:val="Strong"/>
    <w:basedOn w:val="Fuentedeprrafopredeter"/>
    <w:uiPriority w:val="22"/>
    <w:qFormat/>
    <w:rPr>
      <w:b/>
      <w:bCs/>
    </w:rPr>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eastAsiaTheme="minorEastAsia" w:hAnsi="Segoe UI" w:cs="Segoe UI"/>
      <w:kern w:val="0"/>
      <w:sz w:val="18"/>
      <w:szCs w:val="18"/>
      <w14:ligatures w14:val="none"/>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rFonts w:eastAsiaTheme="minorEastAsia"/>
      <w:kern w:val="0"/>
      <w:sz w:val="20"/>
      <w:szCs w:val="20"/>
      <w14:ligatures w14:val="none"/>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AsuntodelcomentarioCar">
    <w:name w:val="Asunto del comentario Car"/>
    <w:basedOn w:val="TextocomentarioCar"/>
    <w:link w:val="Asuntodelcomentario"/>
    <w:uiPriority w:val="99"/>
    <w:semiHidden/>
    <w:rPr>
      <w:rFonts w:eastAsiaTheme="minorEastAsia"/>
      <w:b/>
      <w:bCs/>
      <w:kern w:val="0"/>
      <w:sz w:val="20"/>
      <w:szCs w:val="20"/>
      <w14:ligatures w14:val="none"/>
    </w:rPr>
  </w:style>
  <w:style w:type="character" w:styleId="nfasis">
    <w:name w:val="Emphasis"/>
    <w:basedOn w:val="Fuentedeprrafopredeter"/>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114">
      <w:bodyDiv w:val="1"/>
      <w:marLeft w:val="0"/>
      <w:marRight w:val="0"/>
      <w:marTop w:val="0"/>
      <w:marBottom w:val="0"/>
      <w:divBdr>
        <w:top w:val="none" w:sz="0" w:space="0" w:color="auto"/>
        <w:left w:val="none" w:sz="0" w:space="0" w:color="auto"/>
        <w:bottom w:val="none" w:sz="0" w:space="0" w:color="auto"/>
        <w:right w:val="none" w:sz="0" w:space="0" w:color="auto"/>
      </w:divBdr>
    </w:div>
    <w:div w:id="173498346">
      <w:bodyDiv w:val="1"/>
      <w:marLeft w:val="0"/>
      <w:marRight w:val="0"/>
      <w:marTop w:val="0"/>
      <w:marBottom w:val="0"/>
      <w:divBdr>
        <w:top w:val="none" w:sz="0" w:space="0" w:color="auto"/>
        <w:left w:val="none" w:sz="0" w:space="0" w:color="auto"/>
        <w:bottom w:val="none" w:sz="0" w:space="0" w:color="auto"/>
        <w:right w:val="none" w:sz="0" w:space="0" w:color="auto"/>
      </w:divBdr>
    </w:div>
    <w:div w:id="229854123">
      <w:bodyDiv w:val="1"/>
      <w:marLeft w:val="0"/>
      <w:marRight w:val="0"/>
      <w:marTop w:val="0"/>
      <w:marBottom w:val="0"/>
      <w:divBdr>
        <w:top w:val="none" w:sz="0" w:space="0" w:color="auto"/>
        <w:left w:val="none" w:sz="0" w:space="0" w:color="auto"/>
        <w:bottom w:val="none" w:sz="0" w:space="0" w:color="auto"/>
        <w:right w:val="none" w:sz="0" w:space="0" w:color="auto"/>
      </w:divBdr>
    </w:div>
    <w:div w:id="237787669">
      <w:bodyDiv w:val="1"/>
      <w:marLeft w:val="0"/>
      <w:marRight w:val="0"/>
      <w:marTop w:val="0"/>
      <w:marBottom w:val="0"/>
      <w:divBdr>
        <w:top w:val="none" w:sz="0" w:space="0" w:color="auto"/>
        <w:left w:val="none" w:sz="0" w:space="0" w:color="auto"/>
        <w:bottom w:val="none" w:sz="0" w:space="0" w:color="auto"/>
        <w:right w:val="none" w:sz="0" w:space="0" w:color="auto"/>
      </w:divBdr>
      <w:divsChild>
        <w:div w:id="230891906">
          <w:marLeft w:val="0"/>
          <w:marRight w:val="0"/>
          <w:marTop w:val="0"/>
          <w:marBottom w:val="0"/>
          <w:divBdr>
            <w:top w:val="none" w:sz="0" w:space="0" w:color="auto"/>
            <w:left w:val="none" w:sz="0" w:space="0" w:color="auto"/>
            <w:bottom w:val="none" w:sz="0" w:space="0" w:color="auto"/>
            <w:right w:val="none" w:sz="0" w:space="0" w:color="auto"/>
          </w:divBdr>
        </w:div>
        <w:div w:id="388960218">
          <w:marLeft w:val="0"/>
          <w:marRight w:val="0"/>
          <w:marTop w:val="0"/>
          <w:marBottom w:val="0"/>
          <w:divBdr>
            <w:top w:val="none" w:sz="0" w:space="0" w:color="auto"/>
            <w:left w:val="none" w:sz="0" w:space="0" w:color="auto"/>
            <w:bottom w:val="none" w:sz="0" w:space="0" w:color="auto"/>
            <w:right w:val="none" w:sz="0" w:space="0" w:color="auto"/>
          </w:divBdr>
        </w:div>
        <w:div w:id="496188140">
          <w:marLeft w:val="0"/>
          <w:marRight w:val="0"/>
          <w:marTop w:val="0"/>
          <w:marBottom w:val="0"/>
          <w:divBdr>
            <w:top w:val="none" w:sz="0" w:space="0" w:color="auto"/>
            <w:left w:val="none" w:sz="0" w:space="0" w:color="auto"/>
            <w:bottom w:val="none" w:sz="0" w:space="0" w:color="auto"/>
            <w:right w:val="none" w:sz="0" w:space="0" w:color="auto"/>
          </w:divBdr>
        </w:div>
        <w:div w:id="529294116">
          <w:marLeft w:val="0"/>
          <w:marRight w:val="0"/>
          <w:marTop w:val="0"/>
          <w:marBottom w:val="0"/>
          <w:divBdr>
            <w:top w:val="none" w:sz="0" w:space="0" w:color="auto"/>
            <w:left w:val="none" w:sz="0" w:space="0" w:color="auto"/>
            <w:bottom w:val="none" w:sz="0" w:space="0" w:color="auto"/>
            <w:right w:val="none" w:sz="0" w:space="0" w:color="auto"/>
          </w:divBdr>
        </w:div>
      </w:divsChild>
    </w:div>
    <w:div w:id="309095735">
      <w:bodyDiv w:val="1"/>
      <w:marLeft w:val="0"/>
      <w:marRight w:val="0"/>
      <w:marTop w:val="0"/>
      <w:marBottom w:val="0"/>
      <w:divBdr>
        <w:top w:val="none" w:sz="0" w:space="0" w:color="auto"/>
        <w:left w:val="none" w:sz="0" w:space="0" w:color="auto"/>
        <w:bottom w:val="none" w:sz="0" w:space="0" w:color="auto"/>
        <w:right w:val="none" w:sz="0" w:space="0" w:color="auto"/>
      </w:divBdr>
    </w:div>
    <w:div w:id="438765181">
      <w:bodyDiv w:val="1"/>
      <w:marLeft w:val="0"/>
      <w:marRight w:val="0"/>
      <w:marTop w:val="0"/>
      <w:marBottom w:val="0"/>
      <w:divBdr>
        <w:top w:val="none" w:sz="0" w:space="0" w:color="auto"/>
        <w:left w:val="none" w:sz="0" w:space="0" w:color="auto"/>
        <w:bottom w:val="none" w:sz="0" w:space="0" w:color="auto"/>
        <w:right w:val="none" w:sz="0" w:space="0" w:color="auto"/>
      </w:divBdr>
      <w:divsChild>
        <w:div w:id="778840953">
          <w:marLeft w:val="0"/>
          <w:marRight w:val="0"/>
          <w:marTop w:val="0"/>
          <w:marBottom w:val="0"/>
          <w:divBdr>
            <w:top w:val="none" w:sz="0" w:space="0" w:color="auto"/>
            <w:left w:val="none" w:sz="0" w:space="0" w:color="auto"/>
            <w:bottom w:val="none" w:sz="0" w:space="0" w:color="auto"/>
            <w:right w:val="none" w:sz="0" w:space="0" w:color="auto"/>
          </w:divBdr>
          <w:divsChild>
            <w:div w:id="60057896">
              <w:marLeft w:val="0"/>
              <w:marRight w:val="0"/>
              <w:marTop w:val="0"/>
              <w:marBottom w:val="0"/>
              <w:divBdr>
                <w:top w:val="none" w:sz="0" w:space="0" w:color="auto"/>
                <w:left w:val="none" w:sz="0" w:space="0" w:color="auto"/>
                <w:bottom w:val="none" w:sz="0" w:space="0" w:color="auto"/>
                <w:right w:val="none" w:sz="0" w:space="0" w:color="auto"/>
              </w:divBdr>
            </w:div>
            <w:div w:id="218055123">
              <w:marLeft w:val="0"/>
              <w:marRight w:val="0"/>
              <w:marTop w:val="0"/>
              <w:marBottom w:val="0"/>
              <w:divBdr>
                <w:top w:val="none" w:sz="0" w:space="0" w:color="auto"/>
                <w:left w:val="none" w:sz="0" w:space="0" w:color="auto"/>
                <w:bottom w:val="none" w:sz="0" w:space="0" w:color="auto"/>
                <w:right w:val="none" w:sz="0" w:space="0" w:color="auto"/>
              </w:divBdr>
            </w:div>
            <w:div w:id="497309576">
              <w:marLeft w:val="0"/>
              <w:marRight w:val="0"/>
              <w:marTop w:val="0"/>
              <w:marBottom w:val="0"/>
              <w:divBdr>
                <w:top w:val="none" w:sz="0" w:space="0" w:color="auto"/>
                <w:left w:val="none" w:sz="0" w:space="0" w:color="auto"/>
                <w:bottom w:val="none" w:sz="0" w:space="0" w:color="auto"/>
                <w:right w:val="none" w:sz="0" w:space="0" w:color="auto"/>
              </w:divBdr>
            </w:div>
          </w:divsChild>
        </w:div>
        <w:div w:id="796333465">
          <w:marLeft w:val="0"/>
          <w:marRight w:val="0"/>
          <w:marTop w:val="0"/>
          <w:marBottom w:val="0"/>
          <w:divBdr>
            <w:top w:val="none" w:sz="0" w:space="0" w:color="auto"/>
            <w:left w:val="none" w:sz="0" w:space="0" w:color="auto"/>
            <w:bottom w:val="none" w:sz="0" w:space="0" w:color="auto"/>
            <w:right w:val="none" w:sz="0" w:space="0" w:color="auto"/>
          </w:divBdr>
          <w:divsChild>
            <w:div w:id="41446654">
              <w:marLeft w:val="0"/>
              <w:marRight w:val="0"/>
              <w:marTop w:val="0"/>
              <w:marBottom w:val="0"/>
              <w:divBdr>
                <w:top w:val="none" w:sz="0" w:space="0" w:color="auto"/>
                <w:left w:val="none" w:sz="0" w:space="0" w:color="auto"/>
                <w:bottom w:val="none" w:sz="0" w:space="0" w:color="auto"/>
                <w:right w:val="none" w:sz="0" w:space="0" w:color="auto"/>
              </w:divBdr>
            </w:div>
            <w:div w:id="402682409">
              <w:marLeft w:val="0"/>
              <w:marRight w:val="0"/>
              <w:marTop w:val="0"/>
              <w:marBottom w:val="0"/>
              <w:divBdr>
                <w:top w:val="none" w:sz="0" w:space="0" w:color="auto"/>
                <w:left w:val="none" w:sz="0" w:space="0" w:color="auto"/>
                <w:bottom w:val="none" w:sz="0" w:space="0" w:color="auto"/>
                <w:right w:val="none" w:sz="0" w:space="0" w:color="auto"/>
              </w:divBdr>
            </w:div>
            <w:div w:id="538129712">
              <w:marLeft w:val="0"/>
              <w:marRight w:val="0"/>
              <w:marTop w:val="0"/>
              <w:marBottom w:val="0"/>
              <w:divBdr>
                <w:top w:val="none" w:sz="0" w:space="0" w:color="auto"/>
                <w:left w:val="none" w:sz="0" w:space="0" w:color="auto"/>
                <w:bottom w:val="none" w:sz="0" w:space="0" w:color="auto"/>
                <w:right w:val="none" w:sz="0" w:space="0" w:color="auto"/>
              </w:divBdr>
            </w:div>
            <w:div w:id="579172112">
              <w:marLeft w:val="0"/>
              <w:marRight w:val="0"/>
              <w:marTop w:val="0"/>
              <w:marBottom w:val="0"/>
              <w:divBdr>
                <w:top w:val="none" w:sz="0" w:space="0" w:color="auto"/>
                <w:left w:val="none" w:sz="0" w:space="0" w:color="auto"/>
                <w:bottom w:val="none" w:sz="0" w:space="0" w:color="auto"/>
                <w:right w:val="none" w:sz="0" w:space="0" w:color="auto"/>
              </w:divBdr>
            </w:div>
            <w:div w:id="878321737">
              <w:marLeft w:val="0"/>
              <w:marRight w:val="0"/>
              <w:marTop w:val="0"/>
              <w:marBottom w:val="0"/>
              <w:divBdr>
                <w:top w:val="none" w:sz="0" w:space="0" w:color="auto"/>
                <w:left w:val="none" w:sz="0" w:space="0" w:color="auto"/>
                <w:bottom w:val="none" w:sz="0" w:space="0" w:color="auto"/>
                <w:right w:val="none" w:sz="0" w:space="0" w:color="auto"/>
              </w:divBdr>
            </w:div>
            <w:div w:id="1173690531">
              <w:marLeft w:val="0"/>
              <w:marRight w:val="0"/>
              <w:marTop w:val="0"/>
              <w:marBottom w:val="0"/>
              <w:divBdr>
                <w:top w:val="none" w:sz="0" w:space="0" w:color="auto"/>
                <w:left w:val="none" w:sz="0" w:space="0" w:color="auto"/>
                <w:bottom w:val="none" w:sz="0" w:space="0" w:color="auto"/>
                <w:right w:val="none" w:sz="0" w:space="0" w:color="auto"/>
              </w:divBdr>
            </w:div>
            <w:div w:id="1210455406">
              <w:marLeft w:val="0"/>
              <w:marRight w:val="0"/>
              <w:marTop w:val="0"/>
              <w:marBottom w:val="0"/>
              <w:divBdr>
                <w:top w:val="none" w:sz="0" w:space="0" w:color="auto"/>
                <w:left w:val="none" w:sz="0" w:space="0" w:color="auto"/>
                <w:bottom w:val="none" w:sz="0" w:space="0" w:color="auto"/>
                <w:right w:val="none" w:sz="0" w:space="0" w:color="auto"/>
              </w:divBdr>
            </w:div>
            <w:div w:id="1223951220">
              <w:marLeft w:val="0"/>
              <w:marRight w:val="0"/>
              <w:marTop w:val="0"/>
              <w:marBottom w:val="0"/>
              <w:divBdr>
                <w:top w:val="none" w:sz="0" w:space="0" w:color="auto"/>
                <w:left w:val="none" w:sz="0" w:space="0" w:color="auto"/>
                <w:bottom w:val="none" w:sz="0" w:space="0" w:color="auto"/>
                <w:right w:val="none" w:sz="0" w:space="0" w:color="auto"/>
              </w:divBdr>
            </w:div>
            <w:div w:id="1248420522">
              <w:marLeft w:val="0"/>
              <w:marRight w:val="0"/>
              <w:marTop w:val="0"/>
              <w:marBottom w:val="0"/>
              <w:divBdr>
                <w:top w:val="none" w:sz="0" w:space="0" w:color="auto"/>
                <w:left w:val="none" w:sz="0" w:space="0" w:color="auto"/>
                <w:bottom w:val="none" w:sz="0" w:space="0" w:color="auto"/>
                <w:right w:val="none" w:sz="0" w:space="0" w:color="auto"/>
              </w:divBdr>
            </w:div>
            <w:div w:id="1333290725">
              <w:marLeft w:val="0"/>
              <w:marRight w:val="0"/>
              <w:marTop w:val="0"/>
              <w:marBottom w:val="0"/>
              <w:divBdr>
                <w:top w:val="none" w:sz="0" w:space="0" w:color="auto"/>
                <w:left w:val="none" w:sz="0" w:space="0" w:color="auto"/>
                <w:bottom w:val="none" w:sz="0" w:space="0" w:color="auto"/>
                <w:right w:val="none" w:sz="0" w:space="0" w:color="auto"/>
              </w:divBdr>
            </w:div>
            <w:div w:id="1471946320">
              <w:marLeft w:val="0"/>
              <w:marRight w:val="0"/>
              <w:marTop w:val="0"/>
              <w:marBottom w:val="0"/>
              <w:divBdr>
                <w:top w:val="none" w:sz="0" w:space="0" w:color="auto"/>
                <w:left w:val="none" w:sz="0" w:space="0" w:color="auto"/>
                <w:bottom w:val="none" w:sz="0" w:space="0" w:color="auto"/>
                <w:right w:val="none" w:sz="0" w:space="0" w:color="auto"/>
              </w:divBdr>
            </w:div>
            <w:div w:id="1755660513">
              <w:marLeft w:val="0"/>
              <w:marRight w:val="0"/>
              <w:marTop w:val="0"/>
              <w:marBottom w:val="0"/>
              <w:divBdr>
                <w:top w:val="none" w:sz="0" w:space="0" w:color="auto"/>
                <w:left w:val="none" w:sz="0" w:space="0" w:color="auto"/>
                <w:bottom w:val="none" w:sz="0" w:space="0" w:color="auto"/>
                <w:right w:val="none" w:sz="0" w:space="0" w:color="auto"/>
              </w:divBdr>
            </w:div>
            <w:div w:id="192433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136435">
      <w:bodyDiv w:val="1"/>
      <w:marLeft w:val="0"/>
      <w:marRight w:val="0"/>
      <w:marTop w:val="0"/>
      <w:marBottom w:val="0"/>
      <w:divBdr>
        <w:top w:val="none" w:sz="0" w:space="0" w:color="auto"/>
        <w:left w:val="none" w:sz="0" w:space="0" w:color="auto"/>
        <w:bottom w:val="none" w:sz="0" w:space="0" w:color="auto"/>
        <w:right w:val="none" w:sz="0" w:space="0" w:color="auto"/>
      </w:divBdr>
      <w:divsChild>
        <w:div w:id="366612355">
          <w:marLeft w:val="0"/>
          <w:marRight w:val="0"/>
          <w:marTop w:val="0"/>
          <w:marBottom w:val="0"/>
          <w:divBdr>
            <w:top w:val="none" w:sz="0" w:space="0" w:color="auto"/>
            <w:left w:val="none" w:sz="0" w:space="0" w:color="auto"/>
            <w:bottom w:val="none" w:sz="0" w:space="0" w:color="auto"/>
            <w:right w:val="none" w:sz="0" w:space="0" w:color="auto"/>
          </w:divBdr>
        </w:div>
        <w:div w:id="435683734">
          <w:marLeft w:val="0"/>
          <w:marRight w:val="0"/>
          <w:marTop w:val="0"/>
          <w:marBottom w:val="0"/>
          <w:divBdr>
            <w:top w:val="none" w:sz="0" w:space="0" w:color="auto"/>
            <w:left w:val="none" w:sz="0" w:space="0" w:color="auto"/>
            <w:bottom w:val="none" w:sz="0" w:space="0" w:color="auto"/>
            <w:right w:val="none" w:sz="0" w:space="0" w:color="auto"/>
          </w:divBdr>
        </w:div>
        <w:div w:id="653919712">
          <w:marLeft w:val="0"/>
          <w:marRight w:val="0"/>
          <w:marTop w:val="0"/>
          <w:marBottom w:val="0"/>
          <w:divBdr>
            <w:top w:val="none" w:sz="0" w:space="0" w:color="auto"/>
            <w:left w:val="none" w:sz="0" w:space="0" w:color="auto"/>
            <w:bottom w:val="none" w:sz="0" w:space="0" w:color="auto"/>
            <w:right w:val="none" w:sz="0" w:space="0" w:color="auto"/>
          </w:divBdr>
        </w:div>
        <w:div w:id="1461802725">
          <w:marLeft w:val="0"/>
          <w:marRight w:val="0"/>
          <w:marTop w:val="0"/>
          <w:marBottom w:val="0"/>
          <w:divBdr>
            <w:top w:val="none" w:sz="0" w:space="0" w:color="auto"/>
            <w:left w:val="none" w:sz="0" w:space="0" w:color="auto"/>
            <w:bottom w:val="none" w:sz="0" w:space="0" w:color="auto"/>
            <w:right w:val="none" w:sz="0" w:space="0" w:color="auto"/>
          </w:divBdr>
        </w:div>
        <w:div w:id="1998145418">
          <w:marLeft w:val="0"/>
          <w:marRight w:val="0"/>
          <w:marTop w:val="0"/>
          <w:marBottom w:val="0"/>
          <w:divBdr>
            <w:top w:val="none" w:sz="0" w:space="0" w:color="auto"/>
            <w:left w:val="none" w:sz="0" w:space="0" w:color="auto"/>
            <w:bottom w:val="none" w:sz="0" w:space="0" w:color="auto"/>
            <w:right w:val="none" w:sz="0" w:space="0" w:color="auto"/>
          </w:divBdr>
        </w:div>
      </w:divsChild>
    </w:div>
    <w:div w:id="479226776">
      <w:bodyDiv w:val="1"/>
      <w:marLeft w:val="0"/>
      <w:marRight w:val="0"/>
      <w:marTop w:val="0"/>
      <w:marBottom w:val="0"/>
      <w:divBdr>
        <w:top w:val="none" w:sz="0" w:space="0" w:color="auto"/>
        <w:left w:val="none" w:sz="0" w:space="0" w:color="auto"/>
        <w:bottom w:val="none" w:sz="0" w:space="0" w:color="auto"/>
        <w:right w:val="none" w:sz="0" w:space="0" w:color="auto"/>
      </w:divBdr>
    </w:div>
    <w:div w:id="668866422">
      <w:bodyDiv w:val="1"/>
      <w:marLeft w:val="0"/>
      <w:marRight w:val="0"/>
      <w:marTop w:val="0"/>
      <w:marBottom w:val="0"/>
      <w:divBdr>
        <w:top w:val="none" w:sz="0" w:space="0" w:color="auto"/>
        <w:left w:val="none" w:sz="0" w:space="0" w:color="auto"/>
        <w:bottom w:val="none" w:sz="0" w:space="0" w:color="auto"/>
        <w:right w:val="none" w:sz="0" w:space="0" w:color="auto"/>
      </w:divBdr>
    </w:div>
    <w:div w:id="714815264">
      <w:bodyDiv w:val="1"/>
      <w:marLeft w:val="0"/>
      <w:marRight w:val="0"/>
      <w:marTop w:val="0"/>
      <w:marBottom w:val="0"/>
      <w:divBdr>
        <w:top w:val="none" w:sz="0" w:space="0" w:color="auto"/>
        <w:left w:val="none" w:sz="0" w:space="0" w:color="auto"/>
        <w:bottom w:val="none" w:sz="0" w:space="0" w:color="auto"/>
        <w:right w:val="none" w:sz="0" w:space="0" w:color="auto"/>
      </w:divBdr>
    </w:div>
    <w:div w:id="777288380">
      <w:bodyDiv w:val="1"/>
      <w:marLeft w:val="0"/>
      <w:marRight w:val="0"/>
      <w:marTop w:val="0"/>
      <w:marBottom w:val="0"/>
      <w:divBdr>
        <w:top w:val="none" w:sz="0" w:space="0" w:color="auto"/>
        <w:left w:val="none" w:sz="0" w:space="0" w:color="auto"/>
        <w:bottom w:val="none" w:sz="0" w:space="0" w:color="auto"/>
        <w:right w:val="none" w:sz="0" w:space="0" w:color="auto"/>
      </w:divBdr>
    </w:div>
    <w:div w:id="859784987">
      <w:bodyDiv w:val="1"/>
      <w:marLeft w:val="0"/>
      <w:marRight w:val="0"/>
      <w:marTop w:val="0"/>
      <w:marBottom w:val="0"/>
      <w:divBdr>
        <w:top w:val="none" w:sz="0" w:space="0" w:color="auto"/>
        <w:left w:val="none" w:sz="0" w:space="0" w:color="auto"/>
        <w:bottom w:val="none" w:sz="0" w:space="0" w:color="auto"/>
        <w:right w:val="none" w:sz="0" w:space="0" w:color="auto"/>
      </w:divBdr>
    </w:div>
    <w:div w:id="870339356">
      <w:bodyDiv w:val="1"/>
      <w:marLeft w:val="0"/>
      <w:marRight w:val="0"/>
      <w:marTop w:val="0"/>
      <w:marBottom w:val="0"/>
      <w:divBdr>
        <w:top w:val="none" w:sz="0" w:space="0" w:color="auto"/>
        <w:left w:val="none" w:sz="0" w:space="0" w:color="auto"/>
        <w:bottom w:val="none" w:sz="0" w:space="0" w:color="auto"/>
        <w:right w:val="none" w:sz="0" w:space="0" w:color="auto"/>
      </w:divBdr>
    </w:div>
    <w:div w:id="874928774">
      <w:bodyDiv w:val="1"/>
      <w:marLeft w:val="0"/>
      <w:marRight w:val="0"/>
      <w:marTop w:val="0"/>
      <w:marBottom w:val="0"/>
      <w:divBdr>
        <w:top w:val="none" w:sz="0" w:space="0" w:color="auto"/>
        <w:left w:val="none" w:sz="0" w:space="0" w:color="auto"/>
        <w:bottom w:val="none" w:sz="0" w:space="0" w:color="auto"/>
        <w:right w:val="none" w:sz="0" w:space="0" w:color="auto"/>
      </w:divBdr>
    </w:div>
    <w:div w:id="929003887">
      <w:bodyDiv w:val="1"/>
      <w:marLeft w:val="0"/>
      <w:marRight w:val="0"/>
      <w:marTop w:val="0"/>
      <w:marBottom w:val="0"/>
      <w:divBdr>
        <w:top w:val="none" w:sz="0" w:space="0" w:color="auto"/>
        <w:left w:val="none" w:sz="0" w:space="0" w:color="auto"/>
        <w:bottom w:val="none" w:sz="0" w:space="0" w:color="auto"/>
        <w:right w:val="none" w:sz="0" w:space="0" w:color="auto"/>
      </w:divBdr>
      <w:divsChild>
        <w:div w:id="622226127">
          <w:marLeft w:val="0"/>
          <w:marRight w:val="0"/>
          <w:marTop w:val="0"/>
          <w:marBottom w:val="0"/>
          <w:divBdr>
            <w:top w:val="none" w:sz="0" w:space="0" w:color="auto"/>
            <w:left w:val="none" w:sz="0" w:space="0" w:color="auto"/>
            <w:bottom w:val="none" w:sz="0" w:space="0" w:color="auto"/>
            <w:right w:val="none" w:sz="0" w:space="0" w:color="auto"/>
          </w:divBdr>
        </w:div>
        <w:div w:id="884830908">
          <w:marLeft w:val="0"/>
          <w:marRight w:val="0"/>
          <w:marTop w:val="0"/>
          <w:marBottom w:val="0"/>
          <w:divBdr>
            <w:top w:val="none" w:sz="0" w:space="0" w:color="auto"/>
            <w:left w:val="none" w:sz="0" w:space="0" w:color="auto"/>
            <w:bottom w:val="none" w:sz="0" w:space="0" w:color="auto"/>
            <w:right w:val="none" w:sz="0" w:space="0" w:color="auto"/>
          </w:divBdr>
        </w:div>
        <w:div w:id="1018963749">
          <w:marLeft w:val="0"/>
          <w:marRight w:val="0"/>
          <w:marTop w:val="0"/>
          <w:marBottom w:val="0"/>
          <w:divBdr>
            <w:top w:val="none" w:sz="0" w:space="0" w:color="auto"/>
            <w:left w:val="none" w:sz="0" w:space="0" w:color="auto"/>
            <w:bottom w:val="none" w:sz="0" w:space="0" w:color="auto"/>
            <w:right w:val="none" w:sz="0" w:space="0" w:color="auto"/>
          </w:divBdr>
        </w:div>
        <w:div w:id="1021012412">
          <w:marLeft w:val="0"/>
          <w:marRight w:val="0"/>
          <w:marTop w:val="0"/>
          <w:marBottom w:val="0"/>
          <w:divBdr>
            <w:top w:val="none" w:sz="0" w:space="0" w:color="auto"/>
            <w:left w:val="none" w:sz="0" w:space="0" w:color="auto"/>
            <w:bottom w:val="none" w:sz="0" w:space="0" w:color="auto"/>
            <w:right w:val="none" w:sz="0" w:space="0" w:color="auto"/>
          </w:divBdr>
        </w:div>
        <w:div w:id="1309868164">
          <w:marLeft w:val="0"/>
          <w:marRight w:val="0"/>
          <w:marTop w:val="0"/>
          <w:marBottom w:val="0"/>
          <w:divBdr>
            <w:top w:val="none" w:sz="0" w:space="0" w:color="auto"/>
            <w:left w:val="none" w:sz="0" w:space="0" w:color="auto"/>
            <w:bottom w:val="none" w:sz="0" w:space="0" w:color="auto"/>
            <w:right w:val="none" w:sz="0" w:space="0" w:color="auto"/>
          </w:divBdr>
        </w:div>
        <w:div w:id="1370450111">
          <w:marLeft w:val="0"/>
          <w:marRight w:val="0"/>
          <w:marTop w:val="0"/>
          <w:marBottom w:val="0"/>
          <w:divBdr>
            <w:top w:val="none" w:sz="0" w:space="0" w:color="auto"/>
            <w:left w:val="none" w:sz="0" w:space="0" w:color="auto"/>
            <w:bottom w:val="none" w:sz="0" w:space="0" w:color="auto"/>
            <w:right w:val="none" w:sz="0" w:space="0" w:color="auto"/>
          </w:divBdr>
        </w:div>
        <w:div w:id="1814828425">
          <w:marLeft w:val="0"/>
          <w:marRight w:val="0"/>
          <w:marTop w:val="0"/>
          <w:marBottom w:val="0"/>
          <w:divBdr>
            <w:top w:val="none" w:sz="0" w:space="0" w:color="auto"/>
            <w:left w:val="none" w:sz="0" w:space="0" w:color="auto"/>
            <w:bottom w:val="none" w:sz="0" w:space="0" w:color="auto"/>
            <w:right w:val="none" w:sz="0" w:space="0" w:color="auto"/>
          </w:divBdr>
        </w:div>
      </w:divsChild>
    </w:div>
    <w:div w:id="933438298">
      <w:bodyDiv w:val="1"/>
      <w:marLeft w:val="0"/>
      <w:marRight w:val="0"/>
      <w:marTop w:val="0"/>
      <w:marBottom w:val="0"/>
      <w:divBdr>
        <w:top w:val="none" w:sz="0" w:space="0" w:color="auto"/>
        <w:left w:val="none" w:sz="0" w:space="0" w:color="auto"/>
        <w:bottom w:val="none" w:sz="0" w:space="0" w:color="auto"/>
        <w:right w:val="none" w:sz="0" w:space="0" w:color="auto"/>
      </w:divBdr>
    </w:div>
    <w:div w:id="948128446">
      <w:bodyDiv w:val="1"/>
      <w:marLeft w:val="0"/>
      <w:marRight w:val="0"/>
      <w:marTop w:val="0"/>
      <w:marBottom w:val="0"/>
      <w:divBdr>
        <w:top w:val="none" w:sz="0" w:space="0" w:color="auto"/>
        <w:left w:val="none" w:sz="0" w:space="0" w:color="auto"/>
        <w:bottom w:val="none" w:sz="0" w:space="0" w:color="auto"/>
        <w:right w:val="none" w:sz="0" w:space="0" w:color="auto"/>
      </w:divBdr>
      <w:divsChild>
        <w:div w:id="898826905">
          <w:marLeft w:val="0"/>
          <w:marRight w:val="0"/>
          <w:marTop w:val="0"/>
          <w:marBottom w:val="0"/>
          <w:divBdr>
            <w:top w:val="none" w:sz="0" w:space="0" w:color="auto"/>
            <w:left w:val="none" w:sz="0" w:space="0" w:color="auto"/>
            <w:bottom w:val="none" w:sz="0" w:space="0" w:color="auto"/>
            <w:right w:val="none" w:sz="0" w:space="0" w:color="auto"/>
          </w:divBdr>
        </w:div>
        <w:div w:id="902564145">
          <w:marLeft w:val="0"/>
          <w:marRight w:val="0"/>
          <w:marTop w:val="0"/>
          <w:marBottom w:val="0"/>
          <w:divBdr>
            <w:top w:val="none" w:sz="0" w:space="0" w:color="auto"/>
            <w:left w:val="none" w:sz="0" w:space="0" w:color="auto"/>
            <w:bottom w:val="none" w:sz="0" w:space="0" w:color="auto"/>
            <w:right w:val="none" w:sz="0" w:space="0" w:color="auto"/>
          </w:divBdr>
        </w:div>
        <w:div w:id="1539968674">
          <w:marLeft w:val="0"/>
          <w:marRight w:val="0"/>
          <w:marTop w:val="0"/>
          <w:marBottom w:val="0"/>
          <w:divBdr>
            <w:top w:val="none" w:sz="0" w:space="0" w:color="auto"/>
            <w:left w:val="none" w:sz="0" w:space="0" w:color="auto"/>
            <w:bottom w:val="none" w:sz="0" w:space="0" w:color="auto"/>
            <w:right w:val="none" w:sz="0" w:space="0" w:color="auto"/>
          </w:divBdr>
        </w:div>
        <w:div w:id="1999337266">
          <w:marLeft w:val="0"/>
          <w:marRight w:val="0"/>
          <w:marTop w:val="0"/>
          <w:marBottom w:val="0"/>
          <w:divBdr>
            <w:top w:val="none" w:sz="0" w:space="0" w:color="auto"/>
            <w:left w:val="none" w:sz="0" w:space="0" w:color="auto"/>
            <w:bottom w:val="none" w:sz="0" w:space="0" w:color="auto"/>
            <w:right w:val="none" w:sz="0" w:space="0" w:color="auto"/>
          </w:divBdr>
        </w:div>
        <w:div w:id="2014524775">
          <w:marLeft w:val="0"/>
          <w:marRight w:val="0"/>
          <w:marTop w:val="0"/>
          <w:marBottom w:val="0"/>
          <w:divBdr>
            <w:top w:val="none" w:sz="0" w:space="0" w:color="auto"/>
            <w:left w:val="none" w:sz="0" w:space="0" w:color="auto"/>
            <w:bottom w:val="none" w:sz="0" w:space="0" w:color="auto"/>
            <w:right w:val="none" w:sz="0" w:space="0" w:color="auto"/>
          </w:divBdr>
        </w:div>
      </w:divsChild>
    </w:div>
    <w:div w:id="953823686">
      <w:bodyDiv w:val="1"/>
      <w:marLeft w:val="0"/>
      <w:marRight w:val="0"/>
      <w:marTop w:val="0"/>
      <w:marBottom w:val="0"/>
      <w:divBdr>
        <w:top w:val="none" w:sz="0" w:space="0" w:color="auto"/>
        <w:left w:val="none" w:sz="0" w:space="0" w:color="auto"/>
        <w:bottom w:val="none" w:sz="0" w:space="0" w:color="auto"/>
        <w:right w:val="none" w:sz="0" w:space="0" w:color="auto"/>
      </w:divBdr>
      <w:divsChild>
        <w:div w:id="821845361">
          <w:marLeft w:val="0"/>
          <w:marRight w:val="0"/>
          <w:marTop w:val="0"/>
          <w:marBottom w:val="0"/>
          <w:divBdr>
            <w:top w:val="none" w:sz="0" w:space="0" w:color="auto"/>
            <w:left w:val="none" w:sz="0" w:space="0" w:color="auto"/>
            <w:bottom w:val="none" w:sz="0" w:space="0" w:color="auto"/>
            <w:right w:val="none" w:sz="0" w:space="0" w:color="auto"/>
          </w:divBdr>
        </w:div>
        <w:div w:id="1439987965">
          <w:marLeft w:val="0"/>
          <w:marRight w:val="0"/>
          <w:marTop w:val="0"/>
          <w:marBottom w:val="0"/>
          <w:divBdr>
            <w:top w:val="none" w:sz="0" w:space="0" w:color="auto"/>
            <w:left w:val="none" w:sz="0" w:space="0" w:color="auto"/>
            <w:bottom w:val="none" w:sz="0" w:space="0" w:color="auto"/>
            <w:right w:val="none" w:sz="0" w:space="0" w:color="auto"/>
          </w:divBdr>
        </w:div>
      </w:divsChild>
    </w:div>
    <w:div w:id="1059788796">
      <w:bodyDiv w:val="1"/>
      <w:marLeft w:val="0"/>
      <w:marRight w:val="0"/>
      <w:marTop w:val="0"/>
      <w:marBottom w:val="0"/>
      <w:divBdr>
        <w:top w:val="none" w:sz="0" w:space="0" w:color="auto"/>
        <w:left w:val="none" w:sz="0" w:space="0" w:color="auto"/>
        <w:bottom w:val="none" w:sz="0" w:space="0" w:color="auto"/>
        <w:right w:val="none" w:sz="0" w:space="0" w:color="auto"/>
      </w:divBdr>
    </w:div>
    <w:div w:id="1078946337">
      <w:bodyDiv w:val="1"/>
      <w:marLeft w:val="0"/>
      <w:marRight w:val="0"/>
      <w:marTop w:val="0"/>
      <w:marBottom w:val="0"/>
      <w:divBdr>
        <w:top w:val="none" w:sz="0" w:space="0" w:color="auto"/>
        <w:left w:val="none" w:sz="0" w:space="0" w:color="auto"/>
        <w:bottom w:val="none" w:sz="0" w:space="0" w:color="auto"/>
        <w:right w:val="none" w:sz="0" w:space="0" w:color="auto"/>
      </w:divBdr>
      <w:divsChild>
        <w:div w:id="1000889686">
          <w:marLeft w:val="0"/>
          <w:marRight w:val="0"/>
          <w:marTop w:val="0"/>
          <w:marBottom w:val="0"/>
          <w:divBdr>
            <w:top w:val="none" w:sz="0" w:space="0" w:color="auto"/>
            <w:left w:val="none" w:sz="0" w:space="0" w:color="auto"/>
            <w:bottom w:val="none" w:sz="0" w:space="0" w:color="auto"/>
            <w:right w:val="none" w:sz="0" w:space="0" w:color="auto"/>
          </w:divBdr>
          <w:divsChild>
            <w:div w:id="19860861">
              <w:marLeft w:val="0"/>
              <w:marRight w:val="0"/>
              <w:marTop w:val="0"/>
              <w:marBottom w:val="0"/>
              <w:divBdr>
                <w:top w:val="none" w:sz="0" w:space="0" w:color="auto"/>
                <w:left w:val="none" w:sz="0" w:space="0" w:color="auto"/>
                <w:bottom w:val="none" w:sz="0" w:space="0" w:color="auto"/>
                <w:right w:val="none" w:sz="0" w:space="0" w:color="auto"/>
              </w:divBdr>
            </w:div>
            <w:div w:id="202327460">
              <w:marLeft w:val="0"/>
              <w:marRight w:val="0"/>
              <w:marTop w:val="0"/>
              <w:marBottom w:val="0"/>
              <w:divBdr>
                <w:top w:val="none" w:sz="0" w:space="0" w:color="auto"/>
                <w:left w:val="none" w:sz="0" w:space="0" w:color="auto"/>
                <w:bottom w:val="none" w:sz="0" w:space="0" w:color="auto"/>
                <w:right w:val="none" w:sz="0" w:space="0" w:color="auto"/>
              </w:divBdr>
            </w:div>
            <w:div w:id="343166279">
              <w:marLeft w:val="0"/>
              <w:marRight w:val="0"/>
              <w:marTop w:val="0"/>
              <w:marBottom w:val="0"/>
              <w:divBdr>
                <w:top w:val="none" w:sz="0" w:space="0" w:color="auto"/>
                <w:left w:val="none" w:sz="0" w:space="0" w:color="auto"/>
                <w:bottom w:val="none" w:sz="0" w:space="0" w:color="auto"/>
                <w:right w:val="none" w:sz="0" w:space="0" w:color="auto"/>
              </w:divBdr>
            </w:div>
            <w:div w:id="347215615">
              <w:marLeft w:val="0"/>
              <w:marRight w:val="0"/>
              <w:marTop w:val="0"/>
              <w:marBottom w:val="0"/>
              <w:divBdr>
                <w:top w:val="none" w:sz="0" w:space="0" w:color="auto"/>
                <w:left w:val="none" w:sz="0" w:space="0" w:color="auto"/>
                <w:bottom w:val="none" w:sz="0" w:space="0" w:color="auto"/>
                <w:right w:val="none" w:sz="0" w:space="0" w:color="auto"/>
              </w:divBdr>
            </w:div>
            <w:div w:id="397561022">
              <w:marLeft w:val="0"/>
              <w:marRight w:val="0"/>
              <w:marTop w:val="0"/>
              <w:marBottom w:val="0"/>
              <w:divBdr>
                <w:top w:val="none" w:sz="0" w:space="0" w:color="auto"/>
                <w:left w:val="none" w:sz="0" w:space="0" w:color="auto"/>
                <w:bottom w:val="none" w:sz="0" w:space="0" w:color="auto"/>
                <w:right w:val="none" w:sz="0" w:space="0" w:color="auto"/>
              </w:divBdr>
            </w:div>
            <w:div w:id="511146857">
              <w:marLeft w:val="0"/>
              <w:marRight w:val="0"/>
              <w:marTop w:val="0"/>
              <w:marBottom w:val="0"/>
              <w:divBdr>
                <w:top w:val="none" w:sz="0" w:space="0" w:color="auto"/>
                <w:left w:val="none" w:sz="0" w:space="0" w:color="auto"/>
                <w:bottom w:val="none" w:sz="0" w:space="0" w:color="auto"/>
                <w:right w:val="none" w:sz="0" w:space="0" w:color="auto"/>
              </w:divBdr>
            </w:div>
            <w:div w:id="793520065">
              <w:marLeft w:val="0"/>
              <w:marRight w:val="0"/>
              <w:marTop w:val="0"/>
              <w:marBottom w:val="0"/>
              <w:divBdr>
                <w:top w:val="none" w:sz="0" w:space="0" w:color="auto"/>
                <w:left w:val="none" w:sz="0" w:space="0" w:color="auto"/>
                <w:bottom w:val="none" w:sz="0" w:space="0" w:color="auto"/>
                <w:right w:val="none" w:sz="0" w:space="0" w:color="auto"/>
              </w:divBdr>
            </w:div>
            <w:div w:id="1350528533">
              <w:marLeft w:val="0"/>
              <w:marRight w:val="0"/>
              <w:marTop w:val="0"/>
              <w:marBottom w:val="0"/>
              <w:divBdr>
                <w:top w:val="none" w:sz="0" w:space="0" w:color="auto"/>
                <w:left w:val="none" w:sz="0" w:space="0" w:color="auto"/>
                <w:bottom w:val="none" w:sz="0" w:space="0" w:color="auto"/>
                <w:right w:val="none" w:sz="0" w:space="0" w:color="auto"/>
              </w:divBdr>
            </w:div>
            <w:div w:id="1401176328">
              <w:marLeft w:val="0"/>
              <w:marRight w:val="0"/>
              <w:marTop w:val="0"/>
              <w:marBottom w:val="0"/>
              <w:divBdr>
                <w:top w:val="none" w:sz="0" w:space="0" w:color="auto"/>
                <w:left w:val="none" w:sz="0" w:space="0" w:color="auto"/>
                <w:bottom w:val="none" w:sz="0" w:space="0" w:color="auto"/>
                <w:right w:val="none" w:sz="0" w:space="0" w:color="auto"/>
              </w:divBdr>
            </w:div>
            <w:div w:id="1713994758">
              <w:marLeft w:val="0"/>
              <w:marRight w:val="0"/>
              <w:marTop w:val="0"/>
              <w:marBottom w:val="0"/>
              <w:divBdr>
                <w:top w:val="none" w:sz="0" w:space="0" w:color="auto"/>
                <w:left w:val="none" w:sz="0" w:space="0" w:color="auto"/>
                <w:bottom w:val="none" w:sz="0" w:space="0" w:color="auto"/>
                <w:right w:val="none" w:sz="0" w:space="0" w:color="auto"/>
              </w:divBdr>
            </w:div>
            <w:div w:id="1963994805">
              <w:marLeft w:val="0"/>
              <w:marRight w:val="0"/>
              <w:marTop w:val="0"/>
              <w:marBottom w:val="0"/>
              <w:divBdr>
                <w:top w:val="none" w:sz="0" w:space="0" w:color="auto"/>
                <w:left w:val="none" w:sz="0" w:space="0" w:color="auto"/>
                <w:bottom w:val="none" w:sz="0" w:space="0" w:color="auto"/>
                <w:right w:val="none" w:sz="0" w:space="0" w:color="auto"/>
              </w:divBdr>
            </w:div>
            <w:div w:id="1966932450">
              <w:marLeft w:val="0"/>
              <w:marRight w:val="0"/>
              <w:marTop w:val="0"/>
              <w:marBottom w:val="0"/>
              <w:divBdr>
                <w:top w:val="none" w:sz="0" w:space="0" w:color="auto"/>
                <w:left w:val="none" w:sz="0" w:space="0" w:color="auto"/>
                <w:bottom w:val="none" w:sz="0" w:space="0" w:color="auto"/>
                <w:right w:val="none" w:sz="0" w:space="0" w:color="auto"/>
              </w:divBdr>
            </w:div>
            <w:div w:id="2014262972">
              <w:marLeft w:val="0"/>
              <w:marRight w:val="0"/>
              <w:marTop w:val="0"/>
              <w:marBottom w:val="0"/>
              <w:divBdr>
                <w:top w:val="none" w:sz="0" w:space="0" w:color="auto"/>
                <w:left w:val="none" w:sz="0" w:space="0" w:color="auto"/>
                <w:bottom w:val="none" w:sz="0" w:space="0" w:color="auto"/>
                <w:right w:val="none" w:sz="0" w:space="0" w:color="auto"/>
              </w:divBdr>
            </w:div>
          </w:divsChild>
        </w:div>
        <w:div w:id="1318458194">
          <w:marLeft w:val="0"/>
          <w:marRight w:val="0"/>
          <w:marTop w:val="0"/>
          <w:marBottom w:val="0"/>
          <w:divBdr>
            <w:top w:val="none" w:sz="0" w:space="0" w:color="auto"/>
            <w:left w:val="none" w:sz="0" w:space="0" w:color="auto"/>
            <w:bottom w:val="none" w:sz="0" w:space="0" w:color="auto"/>
            <w:right w:val="none" w:sz="0" w:space="0" w:color="auto"/>
          </w:divBdr>
          <w:divsChild>
            <w:div w:id="292567875">
              <w:marLeft w:val="0"/>
              <w:marRight w:val="0"/>
              <w:marTop w:val="0"/>
              <w:marBottom w:val="0"/>
              <w:divBdr>
                <w:top w:val="none" w:sz="0" w:space="0" w:color="auto"/>
                <w:left w:val="none" w:sz="0" w:space="0" w:color="auto"/>
                <w:bottom w:val="none" w:sz="0" w:space="0" w:color="auto"/>
                <w:right w:val="none" w:sz="0" w:space="0" w:color="auto"/>
              </w:divBdr>
            </w:div>
            <w:div w:id="1240746898">
              <w:marLeft w:val="0"/>
              <w:marRight w:val="0"/>
              <w:marTop w:val="0"/>
              <w:marBottom w:val="0"/>
              <w:divBdr>
                <w:top w:val="none" w:sz="0" w:space="0" w:color="auto"/>
                <w:left w:val="none" w:sz="0" w:space="0" w:color="auto"/>
                <w:bottom w:val="none" w:sz="0" w:space="0" w:color="auto"/>
                <w:right w:val="none" w:sz="0" w:space="0" w:color="auto"/>
              </w:divBdr>
            </w:div>
            <w:div w:id="171550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456354">
      <w:bodyDiv w:val="1"/>
      <w:marLeft w:val="0"/>
      <w:marRight w:val="0"/>
      <w:marTop w:val="0"/>
      <w:marBottom w:val="0"/>
      <w:divBdr>
        <w:top w:val="none" w:sz="0" w:space="0" w:color="auto"/>
        <w:left w:val="none" w:sz="0" w:space="0" w:color="auto"/>
        <w:bottom w:val="none" w:sz="0" w:space="0" w:color="auto"/>
        <w:right w:val="none" w:sz="0" w:space="0" w:color="auto"/>
      </w:divBdr>
    </w:div>
    <w:div w:id="1122066808">
      <w:bodyDiv w:val="1"/>
      <w:marLeft w:val="0"/>
      <w:marRight w:val="0"/>
      <w:marTop w:val="0"/>
      <w:marBottom w:val="0"/>
      <w:divBdr>
        <w:top w:val="none" w:sz="0" w:space="0" w:color="auto"/>
        <w:left w:val="none" w:sz="0" w:space="0" w:color="auto"/>
        <w:bottom w:val="none" w:sz="0" w:space="0" w:color="auto"/>
        <w:right w:val="none" w:sz="0" w:space="0" w:color="auto"/>
      </w:divBdr>
    </w:div>
    <w:div w:id="1155486406">
      <w:bodyDiv w:val="1"/>
      <w:marLeft w:val="0"/>
      <w:marRight w:val="0"/>
      <w:marTop w:val="0"/>
      <w:marBottom w:val="0"/>
      <w:divBdr>
        <w:top w:val="none" w:sz="0" w:space="0" w:color="auto"/>
        <w:left w:val="none" w:sz="0" w:space="0" w:color="auto"/>
        <w:bottom w:val="none" w:sz="0" w:space="0" w:color="auto"/>
        <w:right w:val="none" w:sz="0" w:space="0" w:color="auto"/>
      </w:divBdr>
    </w:div>
    <w:div w:id="1171873309">
      <w:bodyDiv w:val="1"/>
      <w:marLeft w:val="0"/>
      <w:marRight w:val="0"/>
      <w:marTop w:val="0"/>
      <w:marBottom w:val="0"/>
      <w:divBdr>
        <w:top w:val="none" w:sz="0" w:space="0" w:color="auto"/>
        <w:left w:val="none" w:sz="0" w:space="0" w:color="auto"/>
        <w:bottom w:val="none" w:sz="0" w:space="0" w:color="auto"/>
        <w:right w:val="none" w:sz="0" w:space="0" w:color="auto"/>
      </w:divBdr>
      <w:divsChild>
        <w:div w:id="1215701940">
          <w:marLeft w:val="0"/>
          <w:marRight w:val="0"/>
          <w:marTop w:val="0"/>
          <w:marBottom w:val="0"/>
          <w:divBdr>
            <w:top w:val="none" w:sz="0" w:space="0" w:color="auto"/>
            <w:left w:val="none" w:sz="0" w:space="0" w:color="auto"/>
            <w:bottom w:val="none" w:sz="0" w:space="0" w:color="auto"/>
            <w:right w:val="none" w:sz="0" w:space="0" w:color="auto"/>
          </w:divBdr>
        </w:div>
        <w:div w:id="2101363935">
          <w:marLeft w:val="0"/>
          <w:marRight w:val="0"/>
          <w:marTop w:val="0"/>
          <w:marBottom w:val="0"/>
          <w:divBdr>
            <w:top w:val="none" w:sz="0" w:space="0" w:color="auto"/>
            <w:left w:val="none" w:sz="0" w:space="0" w:color="auto"/>
            <w:bottom w:val="none" w:sz="0" w:space="0" w:color="auto"/>
            <w:right w:val="none" w:sz="0" w:space="0" w:color="auto"/>
          </w:divBdr>
        </w:div>
      </w:divsChild>
    </w:div>
    <w:div w:id="1269384612">
      <w:bodyDiv w:val="1"/>
      <w:marLeft w:val="0"/>
      <w:marRight w:val="0"/>
      <w:marTop w:val="0"/>
      <w:marBottom w:val="0"/>
      <w:divBdr>
        <w:top w:val="none" w:sz="0" w:space="0" w:color="auto"/>
        <w:left w:val="none" w:sz="0" w:space="0" w:color="auto"/>
        <w:bottom w:val="none" w:sz="0" w:space="0" w:color="auto"/>
        <w:right w:val="none" w:sz="0" w:space="0" w:color="auto"/>
      </w:divBdr>
      <w:divsChild>
        <w:div w:id="392657370">
          <w:marLeft w:val="0"/>
          <w:marRight w:val="0"/>
          <w:marTop w:val="0"/>
          <w:marBottom w:val="0"/>
          <w:divBdr>
            <w:top w:val="none" w:sz="0" w:space="0" w:color="auto"/>
            <w:left w:val="none" w:sz="0" w:space="0" w:color="auto"/>
            <w:bottom w:val="none" w:sz="0" w:space="0" w:color="auto"/>
            <w:right w:val="none" w:sz="0" w:space="0" w:color="auto"/>
          </w:divBdr>
        </w:div>
        <w:div w:id="427626422">
          <w:marLeft w:val="0"/>
          <w:marRight w:val="0"/>
          <w:marTop w:val="0"/>
          <w:marBottom w:val="0"/>
          <w:divBdr>
            <w:top w:val="none" w:sz="0" w:space="0" w:color="auto"/>
            <w:left w:val="none" w:sz="0" w:space="0" w:color="auto"/>
            <w:bottom w:val="none" w:sz="0" w:space="0" w:color="auto"/>
            <w:right w:val="none" w:sz="0" w:space="0" w:color="auto"/>
          </w:divBdr>
        </w:div>
        <w:div w:id="722366876">
          <w:marLeft w:val="0"/>
          <w:marRight w:val="0"/>
          <w:marTop w:val="0"/>
          <w:marBottom w:val="0"/>
          <w:divBdr>
            <w:top w:val="none" w:sz="0" w:space="0" w:color="auto"/>
            <w:left w:val="none" w:sz="0" w:space="0" w:color="auto"/>
            <w:bottom w:val="none" w:sz="0" w:space="0" w:color="auto"/>
            <w:right w:val="none" w:sz="0" w:space="0" w:color="auto"/>
          </w:divBdr>
        </w:div>
        <w:div w:id="922882140">
          <w:marLeft w:val="0"/>
          <w:marRight w:val="0"/>
          <w:marTop w:val="0"/>
          <w:marBottom w:val="0"/>
          <w:divBdr>
            <w:top w:val="none" w:sz="0" w:space="0" w:color="auto"/>
            <w:left w:val="none" w:sz="0" w:space="0" w:color="auto"/>
            <w:bottom w:val="none" w:sz="0" w:space="0" w:color="auto"/>
            <w:right w:val="none" w:sz="0" w:space="0" w:color="auto"/>
          </w:divBdr>
        </w:div>
        <w:div w:id="1060976054">
          <w:marLeft w:val="0"/>
          <w:marRight w:val="0"/>
          <w:marTop w:val="0"/>
          <w:marBottom w:val="0"/>
          <w:divBdr>
            <w:top w:val="none" w:sz="0" w:space="0" w:color="auto"/>
            <w:left w:val="none" w:sz="0" w:space="0" w:color="auto"/>
            <w:bottom w:val="none" w:sz="0" w:space="0" w:color="auto"/>
            <w:right w:val="none" w:sz="0" w:space="0" w:color="auto"/>
          </w:divBdr>
        </w:div>
        <w:div w:id="1353607846">
          <w:marLeft w:val="0"/>
          <w:marRight w:val="0"/>
          <w:marTop w:val="0"/>
          <w:marBottom w:val="0"/>
          <w:divBdr>
            <w:top w:val="none" w:sz="0" w:space="0" w:color="auto"/>
            <w:left w:val="none" w:sz="0" w:space="0" w:color="auto"/>
            <w:bottom w:val="none" w:sz="0" w:space="0" w:color="auto"/>
            <w:right w:val="none" w:sz="0" w:space="0" w:color="auto"/>
          </w:divBdr>
        </w:div>
        <w:div w:id="1387753083">
          <w:marLeft w:val="0"/>
          <w:marRight w:val="0"/>
          <w:marTop w:val="0"/>
          <w:marBottom w:val="0"/>
          <w:divBdr>
            <w:top w:val="none" w:sz="0" w:space="0" w:color="auto"/>
            <w:left w:val="none" w:sz="0" w:space="0" w:color="auto"/>
            <w:bottom w:val="none" w:sz="0" w:space="0" w:color="auto"/>
            <w:right w:val="none" w:sz="0" w:space="0" w:color="auto"/>
          </w:divBdr>
        </w:div>
      </w:divsChild>
    </w:div>
    <w:div w:id="1285386849">
      <w:bodyDiv w:val="1"/>
      <w:marLeft w:val="0"/>
      <w:marRight w:val="0"/>
      <w:marTop w:val="0"/>
      <w:marBottom w:val="0"/>
      <w:divBdr>
        <w:top w:val="none" w:sz="0" w:space="0" w:color="auto"/>
        <w:left w:val="none" w:sz="0" w:space="0" w:color="auto"/>
        <w:bottom w:val="none" w:sz="0" w:space="0" w:color="auto"/>
        <w:right w:val="none" w:sz="0" w:space="0" w:color="auto"/>
      </w:divBdr>
    </w:div>
    <w:div w:id="1459837891">
      <w:bodyDiv w:val="1"/>
      <w:marLeft w:val="0"/>
      <w:marRight w:val="0"/>
      <w:marTop w:val="0"/>
      <w:marBottom w:val="0"/>
      <w:divBdr>
        <w:top w:val="none" w:sz="0" w:space="0" w:color="auto"/>
        <w:left w:val="none" w:sz="0" w:space="0" w:color="auto"/>
        <w:bottom w:val="none" w:sz="0" w:space="0" w:color="auto"/>
        <w:right w:val="none" w:sz="0" w:space="0" w:color="auto"/>
      </w:divBdr>
    </w:div>
    <w:div w:id="1551383363">
      <w:bodyDiv w:val="1"/>
      <w:marLeft w:val="0"/>
      <w:marRight w:val="0"/>
      <w:marTop w:val="0"/>
      <w:marBottom w:val="0"/>
      <w:divBdr>
        <w:top w:val="none" w:sz="0" w:space="0" w:color="auto"/>
        <w:left w:val="none" w:sz="0" w:space="0" w:color="auto"/>
        <w:bottom w:val="none" w:sz="0" w:space="0" w:color="auto"/>
        <w:right w:val="none" w:sz="0" w:space="0" w:color="auto"/>
      </w:divBdr>
      <w:divsChild>
        <w:div w:id="209807786">
          <w:marLeft w:val="0"/>
          <w:marRight w:val="0"/>
          <w:marTop w:val="0"/>
          <w:marBottom w:val="0"/>
          <w:divBdr>
            <w:top w:val="none" w:sz="0" w:space="0" w:color="auto"/>
            <w:left w:val="none" w:sz="0" w:space="0" w:color="auto"/>
            <w:bottom w:val="none" w:sz="0" w:space="0" w:color="auto"/>
            <w:right w:val="none" w:sz="0" w:space="0" w:color="auto"/>
          </w:divBdr>
        </w:div>
        <w:div w:id="893390388">
          <w:marLeft w:val="0"/>
          <w:marRight w:val="0"/>
          <w:marTop w:val="0"/>
          <w:marBottom w:val="0"/>
          <w:divBdr>
            <w:top w:val="none" w:sz="0" w:space="0" w:color="auto"/>
            <w:left w:val="none" w:sz="0" w:space="0" w:color="auto"/>
            <w:bottom w:val="none" w:sz="0" w:space="0" w:color="auto"/>
            <w:right w:val="none" w:sz="0" w:space="0" w:color="auto"/>
          </w:divBdr>
        </w:div>
        <w:div w:id="937714436">
          <w:marLeft w:val="0"/>
          <w:marRight w:val="0"/>
          <w:marTop w:val="0"/>
          <w:marBottom w:val="0"/>
          <w:divBdr>
            <w:top w:val="none" w:sz="0" w:space="0" w:color="auto"/>
            <w:left w:val="none" w:sz="0" w:space="0" w:color="auto"/>
            <w:bottom w:val="none" w:sz="0" w:space="0" w:color="auto"/>
            <w:right w:val="none" w:sz="0" w:space="0" w:color="auto"/>
          </w:divBdr>
        </w:div>
        <w:div w:id="1140414856">
          <w:marLeft w:val="0"/>
          <w:marRight w:val="0"/>
          <w:marTop w:val="0"/>
          <w:marBottom w:val="0"/>
          <w:divBdr>
            <w:top w:val="none" w:sz="0" w:space="0" w:color="auto"/>
            <w:left w:val="none" w:sz="0" w:space="0" w:color="auto"/>
            <w:bottom w:val="none" w:sz="0" w:space="0" w:color="auto"/>
            <w:right w:val="none" w:sz="0" w:space="0" w:color="auto"/>
          </w:divBdr>
        </w:div>
        <w:div w:id="1866476497">
          <w:marLeft w:val="0"/>
          <w:marRight w:val="0"/>
          <w:marTop w:val="0"/>
          <w:marBottom w:val="0"/>
          <w:divBdr>
            <w:top w:val="none" w:sz="0" w:space="0" w:color="auto"/>
            <w:left w:val="none" w:sz="0" w:space="0" w:color="auto"/>
            <w:bottom w:val="none" w:sz="0" w:space="0" w:color="auto"/>
            <w:right w:val="none" w:sz="0" w:space="0" w:color="auto"/>
          </w:divBdr>
        </w:div>
      </w:divsChild>
    </w:div>
    <w:div w:id="1646230584">
      <w:bodyDiv w:val="1"/>
      <w:marLeft w:val="0"/>
      <w:marRight w:val="0"/>
      <w:marTop w:val="0"/>
      <w:marBottom w:val="0"/>
      <w:divBdr>
        <w:top w:val="none" w:sz="0" w:space="0" w:color="auto"/>
        <w:left w:val="none" w:sz="0" w:space="0" w:color="auto"/>
        <w:bottom w:val="none" w:sz="0" w:space="0" w:color="auto"/>
        <w:right w:val="none" w:sz="0" w:space="0" w:color="auto"/>
      </w:divBdr>
    </w:div>
    <w:div w:id="1841384983">
      <w:bodyDiv w:val="1"/>
      <w:marLeft w:val="0"/>
      <w:marRight w:val="0"/>
      <w:marTop w:val="0"/>
      <w:marBottom w:val="0"/>
      <w:divBdr>
        <w:top w:val="none" w:sz="0" w:space="0" w:color="auto"/>
        <w:left w:val="none" w:sz="0" w:space="0" w:color="auto"/>
        <w:bottom w:val="none" w:sz="0" w:space="0" w:color="auto"/>
        <w:right w:val="none" w:sz="0" w:space="0" w:color="auto"/>
      </w:divBdr>
    </w:div>
    <w:div w:id="1929077187">
      <w:bodyDiv w:val="1"/>
      <w:marLeft w:val="0"/>
      <w:marRight w:val="0"/>
      <w:marTop w:val="0"/>
      <w:marBottom w:val="0"/>
      <w:divBdr>
        <w:top w:val="none" w:sz="0" w:space="0" w:color="auto"/>
        <w:left w:val="none" w:sz="0" w:space="0" w:color="auto"/>
        <w:bottom w:val="none" w:sz="0" w:space="0" w:color="auto"/>
        <w:right w:val="none" w:sz="0" w:space="0" w:color="auto"/>
      </w:divBdr>
    </w:div>
    <w:div w:id="2072077172">
      <w:bodyDiv w:val="1"/>
      <w:marLeft w:val="0"/>
      <w:marRight w:val="0"/>
      <w:marTop w:val="0"/>
      <w:marBottom w:val="0"/>
      <w:divBdr>
        <w:top w:val="none" w:sz="0" w:space="0" w:color="auto"/>
        <w:left w:val="none" w:sz="0" w:space="0" w:color="auto"/>
        <w:bottom w:val="none" w:sz="0" w:space="0" w:color="auto"/>
        <w:right w:val="none" w:sz="0" w:space="0" w:color="auto"/>
      </w:divBdr>
      <w:divsChild>
        <w:div w:id="1084451823">
          <w:marLeft w:val="0"/>
          <w:marRight w:val="0"/>
          <w:marTop w:val="0"/>
          <w:marBottom w:val="0"/>
          <w:divBdr>
            <w:top w:val="none" w:sz="0" w:space="0" w:color="auto"/>
            <w:left w:val="none" w:sz="0" w:space="0" w:color="auto"/>
            <w:bottom w:val="none" w:sz="0" w:space="0" w:color="auto"/>
            <w:right w:val="none" w:sz="0" w:space="0" w:color="auto"/>
          </w:divBdr>
        </w:div>
        <w:div w:id="1310012573">
          <w:marLeft w:val="0"/>
          <w:marRight w:val="0"/>
          <w:marTop w:val="0"/>
          <w:marBottom w:val="0"/>
          <w:divBdr>
            <w:top w:val="none" w:sz="0" w:space="0" w:color="auto"/>
            <w:left w:val="none" w:sz="0" w:space="0" w:color="auto"/>
            <w:bottom w:val="none" w:sz="0" w:space="0" w:color="auto"/>
            <w:right w:val="none" w:sz="0" w:space="0" w:color="auto"/>
          </w:divBdr>
        </w:div>
        <w:div w:id="1686903017">
          <w:marLeft w:val="0"/>
          <w:marRight w:val="0"/>
          <w:marTop w:val="0"/>
          <w:marBottom w:val="0"/>
          <w:divBdr>
            <w:top w:val="none" w:sz="0" w:space="0" w:color="auto"/>
            <w:left w:val="none" w:sz="0" w:space="0" w:color="auto"/>
            <w:bottom w:val="none" w:sz="0" w:space="0" w:color="auto"/>
            <w:right w:val="none" w:sz="0" w:space="0" w:color="auto"/>
          </w:divBdr>
        </w:div>
        <w:div w:id="2029403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www.zitacuaro.gob.mx/articulo_160023" TargetMode="External"/><Relationship Id="rId2" Type="http://schemas.openxmlformats.org/officeDocument/2006/relationships/hyperlink" Target="https://catalogo.inpi.gob.mx/cedulas/" TargetMode="External"/><Relationship Id="rId1" Type="http://schemas.openxmlformats.org/officeDocument/2006/relationships/hyperlink" Target="https://www.zitacuaro.gob.mx/articulo_160023" TargetMode="External"/><Relationship Id="rId5" Type="http://schemas.openxmlformats.org/officeDocument/2006/relationships/hyperlink" Target="https://catalogo.inpi.gob.mx/cedulas/" TargetMode="External"/><Relationship Id="rId4" Type="http://schemas.openxmlformats.org/officeDocument/2006/relationships/hyperlink" Target="https://www.inegi.org.mx/app/areasgeograficas/?ag=16112002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DDCBE396446FF4B932782A2BF18A253" ma:contentTypeVersion="12" ma:contentTypeDescription="Crear nuevo documento." ma:contentTypeScope="" ma:versionID="e8bba079635dd2d67990015db2bb6ede">
  <xsd:schema xmlns:xsd="http://www.w3.org/2001/XMLSchema" xmlns:xs="http://www.w3.org/2001/XMLSchema" xmlns:p="http://schemas.microsoft.com/office/2006/metadata/properties" xmlns:ns2="6d3da5a9-855d-4ba1-80f5-cf1644f7a7a6" xmlns:ns3="71e95884-59b0-4618-94b1-341346edf85d" targetNamespace="http://schemas.microsoft.com/office/2006/metadata/properties" ma:root="true" ma:fieldsID="501b7c8f4145e7c09d15bbcdcfc08a73" ns2:_="" ns3:_="">
    <xsd:import namespace="6d3da5a9-855d-4ba1-80f5-cf1644f7a7a6"/>
    <xsd:import namespace="71e95884-59b0-4618-94b1-341346edf8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da5a9-855d-4ba1-80f5-cf1644f7a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db649cc8-98d7-4f44-83eb-6248d1c073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e95884-59b0-4618-94b1-341346edf8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bb027b-5363-4b6f-8ad0-d34030820e6f}" ma:internalName="TaxCatchAll" ma:showField="CatchAllData" ma:web="71e95884-59b0-4618-94b1-341346edf8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1e95884-59b0-4618-94b1-341346edf85d" xsi:nil="true"/>
    <lcf76f155ced4ddcb4097134ff3c332f xmlns="6d3da5a9-855d-4ba1-80f5-cf1644f7a7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8C8655-5946-4B93-98CD-0F9C58C0951B}">
  <ds:schemaRefs>
    <ds:schemaRef ds:uri="http://schemas.openxmlformats.org/officeDocument/2006/bibliography"/>
  </ds:schemaRefs>
</ds:datastoreItem>
</file>

<file path=customXml/itemProps2.xml><?xml version="1.0" encoding="utf-8"?>
<ds:datastoreItem xmlns:ds="http://schemas.openxmlformats.org/officeDocument/2006/customXml" ds:itemID="{F1A22381-01F9-4AC9-B6C0-8936637CEA99}">
  <ds:schemaRefs>
    <ds:schemaRef ds:uri="http://schemas.microsoft.com/sharepoint/v3/contenttype/forms"/>
  </ds:schemaRefs>
</ds:datastoreItem>
</file>

<file path=customXml/itemProps3.xml><?xml version="1.0" encoding="utf-8"?>
<ds:datastoreItem xmlns:ds="http://schemas.openxmlformats.org/officeDocument/2006/customXml" ds:itemID="{8F5A6DDD-1061-4B13-97BB-20027D76C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da5a9-855d-4ba1-80f5-cf1644f7a7a6"/>
    <ds:schemaRef ds:uri="71e95884-59b0-4618-94b1-341346ed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48EB41-40FC-41C0-8B81-808F5724DB00}">
  <ds:schemaRefs>
    <ds:schemaRef ds:uri="http://schemas.microsoft.com/office/2006/metadata/properties"/>
    <ds:schemaRef ds:uri="http://schemas.microsoft.com/office/infopath/2007/PartnerControls"/>
    <ds:schemaRef ds:uri="71e95884-59b0-4618-94b1-341346edf85d"/>
    <ds:schemaRef ds:uri="6d3da5a9-855d-4ba1-80f5-cf1644f7a7a6"/>
  </ds:schemaRefs>
</ds:datastoreItem>
</file>

<file path=docMetadata/LabelInfo.xml><?xml version="1.0" encoding="utf-8"?>
<clbl:labelList xmlns:clbl="http://schemas.microsoft.com/office/2020/mipLabelMetadata">
  <clbl:label id="{e9269cae-dc5f-4131-979d-2e71cb2aacc4}" enabled="0" method="" siteId="{e9269cae-dc5f-4131-979d-2e71cb2aacc4}" removed="1"/>
</clbl:labelList>
</file>

<file path=docProps/app.xml><?xml version="1.0" encoding="utf-8"?>
<Properties xmlns="http://schemas.openxmlformats.org/officeDocument/2006/extended-properties" xmlns:vt="http://schemas.openxmlformats.org/officeDocument/2006/docPropsVTypes">
  <Template>Normal</Template>
  <TotalTime>288</TotalTime>
  <Pages>33</Pages>
  <Words>9612</Words>
  <Characters>52869</Characters>
  <Application>Microsoft Office Word</Application>
  <DocSecurity>0</DocSecurity>
  <Lines>440</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62357</CharactersWithSpaces>
  <SharedDoc>false</SharedDoc>
  <HLinks>
    <vt:vector size="144" baseType="variant">
      <vt:variant>
        <vt:i4>1310769</vt:i4>
      </vt:variant>
      <vt:variant>
        <vt:i4>110</vt:i4>
      </vt:variant>
      <vt:variant>
        <vt:i4>0</vt:i4>
      </vt:variant>
      <vt:variant>
        <vt:i4>5</vt:i4>
      </vt:variant>
      <vt:variant>
        <vt:lpwstr/>
      </vt:variant>
      <vt:variant>
        <vt:lpwstr>_Toc233831394</vt:lpwstr>
      </vt:variant>
      <vt:variant>
        <vt:i4>1310769</vt:i4>
      </vt:variant>
      <vt:variant>
        <vt:i4>104</vt:i4>
      </vt:variant>
      <vt:variant>
        <vt:i4>0</vt:i4>
      </vt:variant>
      <vt:variant>
        <vt:i4>5</vt:i4>
      </vt:variant>
      <vt:variant>
        <vt:lpwstr/>
      </vt:variant>
      <vt:variant>
        <vt:lpwstr>_Toc233831393</vt:lpwstr>
      </vt:variant>
      <vt:variant>
        <vt:i4>1310769</vt:i4>
      </vt:variant>
      <vt:variant>
        <vt:i4>98</vt:i4>
      </vt:variant>
      <vt:variant>
        <vt:i4>0</vt:i4>
      </vt:variant>
      <vt:variant>
        <vt:i4>5</vt:i4>
      </vt:variant>
      <vt:variant>
        <vt:lpwstr/>
      </vt:variant>
      <vt:variant>
        <vt:lpwstr>_Toc233831392</vt:lpwstr>
      </vt:variant>
      <vt:variant>
        <vt:i4>1310769</vt:i4>
      </vt:variant>
      <vt:variant>
        <vt:i4>92</vt:i4>
      </vt:variant>
      <vt:variant>
        <vt:i4>0</vt:i4>
      </vt:variant>
      <vt:variant>
        <vt:i4>5</vt:i4>
      </vt:variant>
      <vt:variant>
        <vt:lpwstr/>
      </vt:variant>
      <vt:variant>
        <vt:lpwstr>_Toc233831391</vt:lpwstr>
      </vt:variant>
      <vt:variant>
        <vt:i4>1310769</vt:i4>
      </vt:variant>
      <vt:variant>
        <vt:i4>86</vt:i4>
      </vt:variant>
      <vt:variant>
        <vt:i4>0</vt:i4>
      </vt:variant>
      <vt:variant>
        <vt:i4>5</vt:i4>
      </vt:variant>
      <vt:variant>
        <vt:lpwstr/>
      </vt:variant>
      <vt:variant>
        <vt:lpwstr>_Toc233831390</vt:lpwstr>
      </vt:variant>
      <vt:variant>
        <vt:i4>1376305</vt:i4>
      </vt:variant>
      <vt:variant>
        <vt:i4>80</vt:i4>
      </vt:variant>
      <vt:variant>
        <vt:i4>0</vt:i4>
      </vt:variant>
      <vt:variant>
        <vt:i4>5</vt:i4>
      </vt:variant>
      <vt:variant>
        <vt:lpwstr/>
      </vt:variant>
      <vt:variant>
        <vt:lpwstr>_Toc233831389</vt:lpwstr>
      </vt:variant>
      <vt:variant>
        <vt:i4>1376305</vt:i4>
      </vt:variant>
      <vt:variant>
        <vt:i4>74</vt:i4>
      </vt:variant>
      <vt:variant>
        <vt:i4>0</vt:i4>
      </vt:variant>
      <vt:variant>
        <vt:i4>5</vt:i4>
      </vt:variant>
      <vt:variant>
        <vt:lpwstr/>
      </vt:variant>
      <vt:variant>
        <vt:lpwstr>_Toc233831388</vt:lpwstr>
      </vt:variant>
      <vt:variant>
        <vt:i4>1376305</vt:i4>
      </vt:variant>
      <vt:variant>
        <vt:i4>68</vt:i4>
      </vt:variant>
      <vt:variant>
        <vt:i4>0</vt:i4>
      </vt:variant>
      <vt:variant>
        <vt:i4>5</vt:i4>
      </vt:variant>
      <vt:variant>
        <vt:lpwstr/>
      </vt:variant>
      <vt:variant>
        <vt:lpwstr>_Toc233831387</vt:lpwstr>
      </vt:variant>
      <vt:variant>
        <vt:i4>1376305</vt:i4>
      </vt:variant>
      <vt:variant>
        <vt:i4>62</vt:i4>
      </vt:variant>
      <vt:variant>
        <vt:i4>0</vt:i4>
      </vt:variant>
      <vt:variant>
        <vt:i4>5</vt:i4>
      </vt:variant>
      <vt:variant>
        <vt:lpwstr/>
      </vt:variant>
      <vt:variant>
        <vt:lpwstr>_Toc233831386</vt:lpwstr>
      </vt:variant>
      <vt:variant>
        <vt:i4>1376305</vt:i4>
      </vt:variant>
      <vt:variant>
        <vt:i4>56</vt:i4>
      </vt:variant>
      <vt:variant>
        <vt:i4>0</vt:i4>
      </vt:variant>
      <vt:variant>
        <vt:i4>5</vt:i4>
      </vt:variant>
      <vt:variant>
        <vt:lpwstr/>
      </vt:variant>
      <vt:variant>
        <vt:lpwstr>_Toc233831385</vt:lpwstr>
      </vt:variant>
      <vt:variant>
        <vt:i4>1376305</vt:i4>
      </vt:variant>
      <vt:variant>
        <vt:i4>50</vt:i4>
      </vt:variant>
      <vt:variant>
        <vt:i4>0</vt:i4>
      </vt:variant>
      <vt:variant>
        <vt:i4>5</vt:i4>
      </vt:variant>
      <vt:variant>
        <vt:lpwstr/>
      </vt:variant>
      <vt:variant>
        <vt:lpwstr>_Toc233831384</vt:lpwstr>
      </vt:variant>
      <vt:variant>
        <vt:i4>1376305</vt:i4>
      </vt:variant>
      <vt:variant>
        <vt:i4>44</vt:i4>
      </vt:variant>
      <vt:variant>
        <vt:i4>0</vt:i4>
      </vt:variant>
      <vt:variant>
        <vt:i4>5</vt:i4>
      </vt:variant>
      <vt:variant>
        <vt:lpwstr/>
      </vt:variant>
      <vt:variant>
        <vt:lpwstr>_Toc233831383</vt:lpwstr>
      </vt:variant>
      <vt:variant>
        <vt:i4>1376305</vt:i4>
      </vt:variant>
      <vt:variant>
        <vt:i4>38</vt:i4>
      </vt:variant>
      <vt:variant>
        <vt:i4>0</vt:i4>
      </vt:variant>
      <vt:variant>
        <vt:i4>5</vt:i4>
      </vt:variant>
      <vt:variant>
        <vt:lpwstr/>
      </vt:variant>
      <vt:variant>
        <vt:lpwstr>_Toc233831382</vt:lpwstr>
      </vt:variant>
      <vt:variant>
        <vt:i4>1376305</vt:i4>
      </vt:variant>
      <vt:variant>
        <vt:i4>32</vt:i4>
      </vt:variant>
      <vt:variant>
        <vt:i4>0</vt:i4>
      </vt:variant>
      <vt:variant>
        <vt:i4>5</vt:i4>
      </vt:variant>
      <vt:variant>
        <vt:lpwstr/>
      </vt:variant>
      <vt:variant>
        <vt:lpwstr>_Toc233831381</vt:lpwstr>
      </vt:variant>
      <vt:variant>
        <vt:i4>1376305</vt:i4>
      </vt:variant>
      <vt:variant>
        <vt:i4>26</vt:i4>
      </vt:variant>
      <vt:variant>
        <vt:i4>0</vt:i4>
      </vt:variant>
      <vt:variant>
        <vt:i4>5</vt:i4>
      </vt:variant>
      <vt:variant>
        <vt:lpwstr/>
      </vt:variant>
      <vt:variant>
        <vt:lpwstr>_Toc233831380</vt:lpwstr>
      </vt:variant>
      <vt:variant>
        <vt:i4>1703985</vt:i4>
      </vt:variant>
      <vt:variant>
        <vt:i4>20</vt:i4>
      </vt:variant>
      <vt:variant>
        <vt:i4>0</vt:i4>
      </vt:variant>
      <vt:variant>
        <vt:i4>5</vt:i4>
      </vt:variant>
      <vt:variant>
        <vt:lpwstr/>
      </vt:variant>
      <vt:variant>
        <vt:lpwstr>_Toc233831379</vt:lpwstr>
      </vt:variant>
      <vt:variant>
        <vt:i4>1703985</vt:i4>
      </vt:variant>
      <vt:variant>
        <vt:i4>14</vt:i4>
      </vt:variant>
      <vt:variant>
        <vt:i4>0</vt:i4>
      </vt:variant>
      <vt:variant>
        <vt:i4>5</vt:i4>
      </vt:variant>
      <vt:variant>
        <vt:lpwstr/>
      </vt:variant>
      <vt:variant>
        <vt:lpwstr>_Toc233831378</vt:lpwstr>
      </vt:variant>
      <vt:variant>
        <vt:i4>1703985</vt:i4>
      </vt:variant>
      <vt:variant>
        <vt:i4>8</vt:i4>
      </vt:variant>
      <vt:variant>
        <vt:i4>0</vt:i4>
      </vt:variant>
      <vt:variant>
        <vt:i4>5</vt:i4>
      </vt:variant>
      <vt:variant>
        <vt:lpwstr/>
      </vt:variant>
      <vt:variant>
        <vt:lpwstr>_Toc233831377</vt:lpwstr>
      </vt:variant>
      <vt:variant>
        <vt:i4>1703985</vt:i4>
      </vt:variant>
      <vt:variant>
        <vt:i4>2</vt:i4>
      </vt:variant>
      <vt:variant>
        <vt:i4>0</vt:i4>
      </vt:variant>
      <vt:variant>
        <vt:i4>5</vt:i4>
      </vt:variant>
      <vt:variant>
        <vt:lpwstr/>
      </vt:variant>
      <vt:variant>
        <vt:lpwstr>_Toc233831376</vt:lpwstr>
      </vt:variant>
      <vt:variant>
        <vt:i4>458819</vt:i4>
      </vt:variant>
      <vt:variant>
        <vt:i4>12</vt:i4>
      </vt:variant>
      <vt:variant>
        <vt:i4>0</vt:i4>
      </vt:variant>
      <vt:variant>
        <vt:i4>5</vt:i4>
      </vt:variant>
      <vt:variant>
        <vt:lpwstr>https://catalogo.inpi.gob.mx/cedulas/</vt:lpwstr>
      </vt:variant>
      <vt:variant>
        <vt:lpwstr/>
      </vt:variant>
      <vt:variant>
        <vt:i4>2359344</vt:i4>
      </vt:variant>
      <vt:variant>
        <vt:i4>9</vt:i4>
      </vt:variant>
      <vt:variant>
        <vt:i4>0</vt:i4>
      </vt:variant>
      <vt:variant>
        <vt:i4>5</vt:i4>
      </vt:variant>
      <vt:variant>
        <vt:lpwstr>https://www.inegi.org.mx/app/areasgeograficas/?ag=161120023</vt:lpwstr>
      </vt:variant>
      <vt:variant>
        <vt:lpwstr>collapse-Resumen</vt:lpwstr>
      </vt:variant>
      <vt:variant>
        <vt:i4>2097238</vt:i4>
      </vt:variant>
      <vt:variant>
        <vt:i4>6</vt:i4>
      </vt:variant>
      <vt:variant>
        <vt:i4>0</vt:i4>
      </vt:variant>
      <vt:variant>
        <vt:i4>5</vt:i4>
      </vt:variant>
      <vt:variant>
        <vt:lpwstr>https://www.zitacuaro.gob.mx/articulo_160023</vt:lpwstr>
      </vt:variant>
      <vt:variant>
        <vt:lpwstr/>
      </vt:variant>
      <vt:variant>
        <vt:i4>458819</vt:i4>
      </vt:variant>
      <vt:variant>
        <vt:i4>3</vt:i4>
      </vt:variant>
      <vt:variant>
        <vt:i4>0</vt:i4>
      </vt:variant>
      <vt:variant>
        <vt:i4>5</vt:i4>
      </vt:variant>
      <vt:variant>
        <vt:lpwstr>https://catalogo.inpi.gob.mx/cedulas/</vt:lpwstr>
      </vt:variant>
      <vt:variant>
        <vt:lpwstr/>
      </vt:variant>
      <vt:variant>
        <vt:i4>2097238</vt:i4>
      </vt:variant>
      <vt:variant>
        <vt:i4>0</vt:i4>
      </vt:variant>
      <vt:variant>
        <vt:i4>0</vt:i4>
      </vt:variant>
      <vt:variant>
        <vt:i4>5</vt:i4>
      </vt:variant>
      <vt:variant>
        <vt:lpwstr>https://www.zitacuaro.gob.mx/articulo_160023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Yepez Carranza</dc:creator>
  <cp:keywords/>
  <dc:description/>
  <cp:lastModifiedBy>VICTOR HUGO ARROYO SANDOVAL</cp:lastModifiedBy>
  <cp:revision>95</cp:revision>
  <cp:lastPrinted>2026-06-16T23:05:00Z</cp:lastPrinted>
  <dcterms:created xsi:type="dcterms:W3CDTF">2026-07-02T19:35:00Z</dcterms:created>
  <dcterms:modified xsi:type="dcterms:W3CDTF">2026-07-10T01:22:00Z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0x010100BDDCBE396446FF4B932782A2BF18A253</vt:lpwstr>
  </property>
  <property fmtid="{D5CDD505-2E9C-101B-9397-08002B2CF9AE}" pid="3" name="MediaServiceImageTags">
    <vt:lpwstr/>
  </property>
</Properties>
</file>