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08AC" w14:textId="77777777" w:rsidR="00063F73" w:rsidRPr="0097618A" w:rsidRDefault="00063F73" w:rsidP="00063F73">
      <w:pPr>
        <w:spacing w:line="360" w:lineRule="auto"/>
        <w:ind w:left="3856"/>
        <w:jc w:val="center"/>
        <w:rPr>
          <w:b/>
          <w:bCs/>
        </w:rPr>
      </w:pPr>
      <w:bookmarkStart w:id="0" w:name="_Hlk66097974"/>
    </w:p>
    <w:p w14:paraId="62FC5288" w14:textId="728873D8" w:rsidR="00155618" w:rsidRPr="0097618A" w:rsidRDefault="00155618" w:rsidP="00991DDE">
      <w:pPr>
        <w:ind w:left="3856"/>
        <w:jc w:val="center"/>
        <w:rPr>
          <w:b/>
          <w:bCs/>
        </w:rPr>
      </w:pPr>
      <w:r w:rsidRPr="0097618A">
        <w:rPr>
          <w:b/>
          <w:bCs/>
        </w:rPr>
        <w:t>JUICIO PARA LA PROTECCIÓN DE LOS DERECHOS POLÍTICO-ELECTORALES DE</w:t>
      </w:r>
      <w:r w:rsidR="00371C60" w:rsidRPr="0097618A">
        <w:rPr>
          <w:b/>
          <w:bCs/>
        </w:rPr>
        <w:t xml:space="preserve"> </w:t>
      </w:r>
      <w:r w:rsidRPr="0097618A">
        <w:rPr>
          <w:b/>
          <w:bCs/>
        </w:rPr>
        <w:t>L</w:t>
      </w:r>
      <w:r w:rsidR="00371C60" w:rsidRPr="0097618A">
        <w:rPr>
          <w:b/>
          <w:bCs/>
        </w:rPr>
        <w:t>A</w:t>
      </w:r>
      <w:r w:rsidRPr="0097618A">
        <w:rPr>
          <w:b/>
          <w:bCs/>
        </w:rPr>
        <w:t xml:space="preserve"> CIUDADAN</w:t>
      </w:r>
      <w:r w:rsidR="00371C60" w:rsidRPr="0097618A">
        <w:rPr>
          <w:b/>
          <w:bCs/>
        </w:rPr>
        <w:t>ÍA</w:t>
      </w:r>
    </w:p>
    <w:p w14:paraId="04F72877" w14:textId="77777777" w:rsidR="00155618" w:rsidRPr="0097618A" w:rsidRDefault="00155618" w:rsidP="00991DDE">
      <w:pPr>
        <w:ind w:left="3856"/>
      </w:pPr>
    </w:p>
    <w:p w14:paraId="19EDFEA6" w14:textId="2B8FABA1" w:rsidR="006451FE" w:rsidRPr="0097618A" w:rsidRDefault="00155618" w:rsidP="00991DDE">
      <w:pPr>
        <w:ind w:left="3856"/>
      </w:pPr>
      <w:r w:rsidRPr="0097618A">
        <w:rPr>
          <w:b/>
          <w:bCs/>
        </w:rPr>
        <w:t>EXPEDIENTE:</w:t>
      </w:r>
      <w:r w:rsidR="003A1AF9" w:rsidRPr="0097618A">
        <w:t xml:space="preserve"> </w:t>
      </w:r>
      <w:r w:rsidRPr="0097618A">
        <w:t>TEEM-JDC-037/2026.</w:t>
      </w:r>
      <w:r w:rsidR="00087704" w:rsidRPr="0097618A">
        <w:br/>
      </w:r>
    </w:p>
    <w:p w14:paraId="6056A4C6" w14:textId="078F667E" w:rsidR="003A1AF9" w:rsidRPr="0097618A" w:rsidRDefault="00155618" w:rsidP="00991DDE">
      <w:pPr>
        <w:ind w:left="3856"/>
      </w:pPr>
      <w:r w:rsidRPr="0097618A">
        <w:rPr>
          <w:b/>
          <w:bCs/>
        </w:rPr>
        <w:t>ACTORA</w:t>
      </w:r>
      <w:r w:rsidRPr="0097618A">
        <w:t>: PATRICIA PÉREZ MORALES.</w:t>
      </w:r>
      <w:r w:rsidR="00991DDE" w:rsidRPr="0097618A">
        <w:br/>
      </w:r>
    </w:p>
    <w:p w14:paraId="420983FE" w14:textId="15254FC5" w:rsidR="00155618" w:rsidRPr="0097618A" w:rsidRDefault="00155618" w:rsidP="00991DDE">
      <w:pPr>
        <w:ind w:left="3856"/>
      </w:pPr>
      <w:r w:rsidRPr="0097618A">
        <w:rPr>
          <w:b/>
          <w:bCs/>
        </w:rPr>
        <w:t>AUTORIDADES RESPONSABLES:</w:t>
      </w:r>
      <w:r w:rsidRPr="0097618A">
        <w:t xml:space="preserve"> AYUNTAMIENTO DE EPITACIO HUERTA, MICHOACÁN.</w:t>
      </w:r>
    </w:p>
    <w:p w14:paraId="543436C5" w14:textId="77777777" w:rsidR="000E735A" w:rsidRPr="0097618A" w:rsidRDefault="000E735A" w:rsidP="00991DDE">
      <w:pPr>
        <w:ind w:left="3856"/>
      </w:pPr>
    </w:p>
    <w:p w14:paraId="39B8EAF3" w14:textId="306C84F2" w:rsidR="000E735A" w:rsidRPr="0097618A" w:rsidRDefault="00155618" w:rsidP="00991DDE">
      <w:pPr>
        <w:ind w:left="3856"/>
      </w:pPr>
      <w:r w:rsidRPr="0097618A">
        <w:rPr>
          <w:b/>
          <w:bCs/>
        </w:rPr>
        <w:t>MAGISTRAD</w:t>
      </w:r>
      <w:r w:rsidR="003A1AF9" w:rsidRPr="0097618A">
        <w:rPr>
          <w:b/>
          <w:bCs/>
        </w:rPr>
        <w:t>O INSTRUCTOR:</w:t>
      </w:r>
      <w:r w:rsidR="003A1AF9" w:rsidRPr="0097618A">
        <w:t xml:space="preserve"> </w:t>
      </w:r>
      <w:r w:rsidRPr="0097618A">
        <w:t>ERIC LÓPEZ VILLASEÑOR.</w:t>
      </w:r>
    </w:p>
    <w:p w14:paraId="63D1B7F9" w14:textId="77777777" w:rsidR="003A1AF9" w:rsidRPr="0097618A" w:rsidRDefault="003A1AF9" w:rsidP="00991DDE">
      <w:pPr>
        <w:ind w:left="3856"/>
      </w:pPr>
    </w:p>
    <w:p w14:paraId="7E9CBE90" w14:textId="586BF786" w:rsidR="00155618" w:rsidRPr="0097618A" w:rsidRDefault="00155618" w:rsidP="00991DDE">
      <w:pPr>
        <w:ind w:left="3856"/>
      </w:pPr>
      <w:r w:rsidRPr="0097618A">
        <w:rPr>
          <w:b/>
          <w:bCs/>
        </w:rPr>
        <w:t>SECRETARIO INSTRUCTOR Y PROYECTISTA:</w:t>
      </w:r>
      <w:r w:rsidRPr="0097618A">
        <w:t xml:space="preserve"> CARLOS BALTAZAR ABONCE BARAJAS.</w:t>
      </w:r>
    </w:p>
    <w:p w14:paraId="380F496F" w14:textId="77777777" w:rsidR="000E735A" w:rsidRPr="0097618A" w:rsidRDefault="000E735A" w:rsidP="00991DDE">
      <w:pPr>
        <w:ind w:left="3856"/>
      </w:pPr>
    </w:p>
    <w:p w14:paraId="652EE99F" w14:textId="498E0009" w:rsidR="00122352" w:rsidRPr="0097618A" w:rsidRDefault="00155618" w:rsidP="00991DDE">
      <w:pPr>
        <w:spacing w:line="360" w:lineRule="auto"/>
        <w:ind w:left="3856"/>
      </w:pPr>
      <w:r w:rsidRPr="0097618A">
        <w:rPr>
          <w:b/>
          <w:bCs/>
        </w:rPr>
        <w:t>COLABORÓ:</w:t>
      </w:r>
      <w:r w:rsidRPr="0097618A">
        <w:t xml:space="preserve"> RAFAEL GARCÍA DÍAZ.</w:t>
      </w:r>
      <w:r w:rsidR="00087704" w:rsidRPr="0097618A">
        <w:br/>
      </w:r>
    </w:p>
    <w:p w14:paraId="3FD8BFEB" w14:textId="33A2C920" w:rsidR="004F43AA" w:rsidRPr="0097618A" w:rsidRDefault="004F43AA" w:rsidP="00991DDE">
      <w:pPr>
        <w:spacing w:line="360" w:lineRule="auto"/>
      </w:pPr>
      <w:r w:rsidRPr="0097618A">
        <w:t xml:space="preserve">Morelia, Michoacán, a </w:t>
      </w:r>
      <w:r w:rsidR="0082440A">
        <w:t>veintiocho</w:t>
      </w:r>
      <w:r w:rsidRPr="0097618A">
        <w:t xml:space="preserve"> de </w:t>
      </w:r>
      <w:r w:rsidR="00B14119" w:rsidRPr="0097618A">
        <w:t>mayo</w:t>
      </w:r>
      <w:r w:rsidRPr="0097618A">
        <w:t xml:space="preserve"> de dos mil </w:t>
      </w:r>
      <w:r w:rsidR="00B14119" w:rsidRPr="0097618A">
        <w:t>veintiséis</w:t>
      </w:r>
      <w:r w:rsidRPr="0097618A">
        <w:rPr>
          <w:rStyle w:val="Refdenotaalpie"/>
          <w:sz w:val="26"/>
          <w:szCs w:val="26"/>
        </w:rPr>
        <w:footnoteReference w:id="1"/>
      </w:r>
      <w:r w:rsidRPr="0097618A">
        <w:t xml:space="preserve">. </w:t>
      </w:r>
    </w:p>
    <w:p w14:paraId="45562C62" w14:textId="77777777" w:rsidR="004F43AA" w:rsidRPr="0097618A" w:rsidRDefault="004F43AA" w:rsidP="00991DDE">
      <w:pPr>
        <w:spacing w:line="360" w:lineRule="auto"/>
      </w:pPr>
    </w:p>
    <w:p w14:paraId="002835C9" w14:textId="5769B714" w:rsidR="00BA50C9" w:rsidRPr="0097618A" w:rsidRDefault="00FD206E" w:rsidP="00991DDE">
      <w:pPr>
        <w:spacing w:line="360" w:lineRule="auto"/>
        <w:rPr>
          <w:bCs/>
        </w:rPr>
      </w:pPr>
      <w:r w:rsidRPr="0097618A">
        <w:rPr>
          <w:b/>
          <w:bCs/>
        </w:rPr>
        <w:t>SENTENCIA</w:t>
      </w:r>
      <w:r w:rsidRPr="0097618A">
        <w:t xml:space="preserve"> </w:t>
      </w:r>
      <w:r w:rsidR="006A19C2" w:rsidRPr="0097618A">
        <w:rPr>
          <w:bCs/>
        </w:rPr>
        <w:t xml:space="preserve">que resuelve el </w:t>
      </w:r>
      <w:r w:rsidR="00371C60" w:rsidRPr="0097618A">
        <w:rPr>
          <w:bCs/>
        </w:rPr>
        <w:t>Juicio para la Protección de los Derechos Político-Electorales</w:t>
      </w:r>
      <w:r w:rsidR="00371C60" w:rsidRPr="0097618A">
        <w:t xml:space="preserve"> de la Ciudadanía</w:t>
      </w:r>
      <w:r w:rsidR="00806334" w:rsidRPr="0097618A">
        <w:rPr>
          <w:rStyle w:val="Refdenotaalpie"/>
        </w:rPr>
        <w:footnoteReference w:id="2"/>
      </w:r>
      <w:r w:rsidR="00371C60" w:rsidRPr="0097618A">
        <w:t xml:space="preserve"> </w:t>
      </w:r>
      <w:r w:rsidR="006A19C2" w:rsidRPr="0097618A">
        <w:t xml:space="preserve">identificado al rubro, promovido por </w:t>
      </w:r>
      <w:r w:rsidR="00ED589D" w:rsidRPr="0097618A">
        <w:t>Patricia Pérez Morales</w:t>
      </w:r>
      <w:r w:rsidR="00063D20" w:rsidRPr="0097618A">
        <w:rPr>
          <w:rStyle w:val="Refdenotaalpie"/>
        </w:rPr>
        <w:footnoteReference w:id="3"/>
      </w:r>
      <w:r w:rsidR="00D61DAC" w:rsidRPr="0097618A">
        <w:t xml:space="preserve"> por propio derecho, en </w:t>
      </w:r>
      <w:r w:rsidR="00D45384" w:rsidRPr="0097618A">
        <w:t>cuanto Regidora</w:t>
      </w:r>
      <w:r w:rsidR="00D61DAC" w:rsidRPr="0097618A">
        <w:t xml:space="preserve"> del Ayuntamiento</w:t>
      </w:r>
      <w:r w:rsidR="00ED589D" w:rsidRPr="0097618A">
        <w:t xml:space="preserve"> de Epitacio Huerta, Michoacán</w:t>
      </w:r>
      <w:r w:rsidR="00343378" w:rsidRPr="0097618A">
        <w:t xml:space="preserve">, en contra de ese órgano </w:t>
      </w:r>
      <w:r w:rsidR="00343378" w:rsidRPr="00B31B66">
        <w:t>colegiado</w:t>
      </w:r>
      <w:r w:rsidR="007658D6" w:rsidRPr="00B31B66">
        <w:t>,</w:t>
      </w:r>
      <w:r w:rsidR="00D61DAC" w:rsidRPr="0097618A">
        <w:t xml:space="preserve"> por la presunta violación a sus derechos político-electorales de votar y ser votada</w:t>
      </w:r>
      <w:r w:rsidR="00ED589D" w:rsidRPr="0097618A">
        <w:t xml:space="preserve"> en la vertiente del ejercicio del cargo, </w:t>
      </w:r>
      <w:r w:rsidR="002B6A7C" w:rsidRPr="0097618A">
        <w:t>derivado de</w:t>
      </w:r>
      <w:r w:rsidR="00ED589D" w:rsidRPr="0097618A">
        <w:t xml:space="preserve"> la</w:t>
      </w:r>
      <w:r w:rsidR="00BA50C9" w:rsidRPr="0097618A">
        <w:t xml:space="preserve"> determinación</w:t>
      </w:r>
      <w:r w:rsidR="00ED589D" w:rsidRPr="0097618A">
        <w:t xml:space="preserve"> aproba</w:t>
      </w:r>
      <w:r w:rsidR="00BA50C9" w:rsidRPr="0097618A">
        <w:t>da</w:t>
      </w:r>
      <w:r w:rsidR="00ED589D" w:rsidRPr="0097618A">
        <w:t xml:space="preserve"> </w:t>
      </w:r>
      <w:r w:rsidR="00BA50C9" w:rsidRPr="00B31B66">
        <w:t>en sesión ordinaria de veintisiete de abril</w:t>
      </w:r>
      <w:r w:rsidR="00BA50C9" w:rsidRPr="0097618A">
        <w:rPr>
          <w:bCs/>
        </w:rPr>
        <w:t>.</w:t>
      </w:r>
    </w:p>
    <w:p w14:paraId="2B1395EF" w14:textId="77777777" w:rsidR="00D61DAC" w:rsidRPr="0097618A" w:rsidRDefault="00D61DAC" w:rsidP="00991DDE">
      <w:pPr>
        <w:spacing w:line="360" w:lineRule="auto"/>
      </w:pPr>
    </w:p>
    <w:p w14:paraId="72CCB4C6" w14:textId="6E68399D" w:rsidR="006A19C2" w:rsidRPr="0097618A" w:rsidRDefault="006A19C2" w:rsidP="00991DDE">
      <w:pPr>
        <w:pStyle w:val="Ttulo1"/>
        <w:spacing w:line="360" w:lineRule="auto"/>
      </w:pPr>
      <w:r w:rsidRPr="0097618A">
        <w:t>ANTECEDENTES</w:t>
      </w:r>
    </w:p>
    <w:p w14:paraId="3240130E" w14:textId="77777777" w:rsidR="006A19C2" w:rsidRPr="0097618A" w:rsidRDefault="006A19C2" w:rsidP="004F7588">
      <w:pPr>
        <w:spacing w:line="360" w:lineRule="auto"/>
      </w:pPr>
    </w:p>
    <w:p w14:paraId="55617177" w14:textId="77777777" w:rsidR="00336FEE" w:rsidRPr="0097618A" w:rsidRDefault="00ED589D" w:rsidP="004F7588">
      <w:pPr>
        <w:pStyle w:val="Prrafodelista"/>
        <w:numPr>
          <w:ilvl w:val="1"/>
          <w:numId w:val="23"/>
        </w:numPr>
        <w:spacing w:line="360" w:lineRule="auto"/>
        <w:ind w:left="0" w:firstLine="0"/>
      </w:pPr>
      <w:r w:rsidRPr="0097618A">
        <w:rPr>
          <w:b/>
          <w:bCs/>
        </w:rPr>
        <w:t>Administración municipal 2024-2027</w:t>
      </w:r>
      <w:r w:rsidRPr="0097618A">
        <w:t>. El uno de septiembre de dos mil veinticuatro, el Ayuntamiento de Epitacio Huerta, Michoacán, inició sus funciones.</w:t>
      </w:r>
    </w:p>
    <w:p w14:paraId="5405B4F8" w14:textId="77777777" w:rsidR="002D2FE3" w:rsidRPr="0097618A" w:rsidRDefault="002D2FE3" w:rsidP="002D2FE3">
      <w:pPr>
        <w:pStyle w:val="Prrafodelista"/>
        <w:spacing w:line="360" w:lineRule="auto"/>
        <w:ind w:left="0"/>
      </w:pPr>
    </w:p>
    <w:p w14:paraId="2A219E2C" w14:textId="339EB476" w:rsidR="002D2FE3" w:rsidRPr="0082440A" w:rsidRDefault="002D2FE3" w:rsidP="00FC49BA">
      <w:pPr>
        <w:pStyle w:val="Prrafodelista"/>
        <w:numPr>
          <w:ilvl w:val="1"/>
          <w:numId w:val="23"/>
        </w:numPr>
        <w:spacing w:line="360" w:lineRule="auto"/>
        <w:ind w:left="0" w:firstLine="0"/>
      </w:pPr>
      <w:r w:rsidRPr="0082440A">
        <w:rPr>
          <w:b/>
        </w:rPr>
        <w:t>Acto Impugnado.</w:t>
      </w:r>
      <w:r w:rsidRPr="0082440A">
        <w:t xml:space="preserve"> El veintisiete de abril, la autoridad responsable llevó a cabo la Sesión Ordinaria 009</w:t>
      </w:r>
      <w:r w:rsidR="00C953C9" w:rsidRPr="0082440A">
        <w:t xml:space="preserve"> </w:t>
      </w:r>
      <w:r w:rsidRPr="0082440A">
        <w:t>en la que de</w:t>
      </w:r>
      <w:r w:rsidR="00BD7035" w:rsidRPr="0082440A">
        <w:t xml:space="preserve">claró </w:t>
      </w:r>
      <w:r w:rsidRPr="0082440A">
        <w:t xml:space="preserve">la inexistencia material en </w:t>
      </w:r>
      <w:r w:rsidRPr="0082440A">
        <w:lastRenderedPageBreak/>
        <w:t>archivos</w:t>
      </w:r>
      <w:r w:rsidR="000266D8" w:rsidRPr="0082440A">
        <w:t xml:space="preserve"> </w:t>
      </w:r>
      <w:r w:rsidRPr="0082440A">
        <w:t>de</w:t>
      </w:r>
      <w:r w:rsidR="000266D8" w:rsidRPr="0082440A">
        <w:t xml:space="preserve"> </w:t>
      </w:r>
      <w:r w:rsidRPr="0082440A">
        <w:t>los juicios laborales en los que es parte</w:t>
      </w:r>
      <w:r w:rsidR="006850C2" w:rsidRPr="0082440A">
        <w:rPr>
          <w:rStyle w:val="Refdenotaalpie"/>
        </w:rPr>
        <w:footnoteReference w:id="4"/>
      </w:r>
      <w:r w:rsidRPr="0082440A">
        <w:t>.</w:t>
      </w:r>
    </w:p>
    <w:p w14:paraId="4BDBB32F" w14:textId="77777777" w:rsidR="00336FEE" w:rsidRPr="0097618A" w:rsidRDefault="00336FEE" w:rsidP="004F7588">
      <w:pPr>
        <w:spacing w:line="360" w:lineRule="auto"/>
      </w:pPr>
    </w:p>
    <w:p w14:paraId="0C649B57" w14:textId="07B86AF1" w:rsidR="00336FEE" w:rsidRPr="0082440A" w:rsidRDefault="00ED589D" w:rsidP="004F7588">
      <w:pPr>
        <w:pStyle w:val="Prrafodelista"/>
        <w:numPr>
          <w:ilvl w:val="1"/>
          <w:numId w:val="23"/>
        </w:numPr>
        <w:spacing w:line="360" w:lineRule="auto"/>
        <w:ind w:left="0" w:firstLine="0"/>
      </w:pPr>
      <w:r w:rsidRPr="0097618A">
        <w:rPr>
          <w:b/>
          <w:bCs/>
        </w:rPr>
        <w:t>Juicio de la ciudadanía.</w:t>
      </w:r>
      <w:r w:rsidRPr="0097618A">
        <w:t xml:space="preserve"> El </w:t>
      </w:r>
      <w:r w:rsidR="00B14119" w:rsidRPr="0097618A">
        <w:t>cuatro de mayo</w:t>
      </w:r>
      <w:r w:rsidRPr="0097618A">
        <w:t xml:space="preserve">, </w:t>
      </w:r>
      <w:r w:rsidR="00B14119" w:rsidRPr="0097618A">
        <w:t>la</w:t>
      </w:r>
      <w:r w:rsidRPr="0097618A">
        <w:t xml:space="preserve"> promovente demandó a</w:t>
      </w:r>
      <w:r w:rsidR="00B14119" w:rsidRPr="0097618A">
        <w:t xml:space="preserve"> la autoridad responsable ante este </w:t>
      </w:r>
      <w:r w:rsidR="00143EEE" w:rsidRPr="0082440A">
        <w:t>Tribunal Electoral</w:t>
      </w:r>
      <w:r w:rsidR="00B14119" w:rsidRPr="0097618A">
        <w:t xml:space="preserve">, por </w:t>
      </w:r>
      <w:r w:rsidR="00B14119" w:rsidRPr="0082440A">
        <w:t xml:space="preserve">la </w:t>
      </w:r>
      <w:r w:rsidR="008138A2" w:rsidRPr="0082440A">
        <w:t xml:space="preserve">referida </w:t>
      </w:r>
      <w:r w:rsidR="00B14119" w:rsidRPr="0082440A">
        <w:t>declaració</w:t>
      </w:r>
      <w:r w:rsidR="008138A2" w:rsidRPr="0082440A">
        <w:t>n</w:t>
      </w:r>
      <w:r w:rsidR="00B14119" w:rsidRPr="0082440A">
        <w:t>.</w:t>
      </w:r>
    </w:p>
    <w:p w14:paraId="0AA8032B" w14:textId="77777777" w:rsidR="00336FEE" w:rsidRPr="0097618A" w:rsidRDefault="00336FEE" w:rsidP="004F7588">
      <w:pPr>
        <w:spacing w:line="360" w:lineRule="auto"/>
      </w:pPr>
    </w:p>
    <w:p w14:paraId="0D288F63" w14:textId="59683148" w:rsidR="00087704" w:rsidRPr="0097618A" w:rsidRDefault="00ED589D" w:rsidP="004F7588">
      <w:pPr>
        <w:pStyle w:val="Prrafodelista"/>
        <w:numPr>
          <w:ilvl w:val="1"/>
          <w:numId w:val="23"/>
        </w:numPr>
        <w:spacing w:line="360" w:lineRule="auto"/>
        <w:ind w:left="0" w:firstLine="0"/>
      </w:pPr>
      <w:r w:rsidRPr="0097618A">
        <w:rPr>
          <w:b/>
          <w:bCs/>
        </w:rPr>
        <w:t>Radicación y trámite de ley.</w:t>
      </w:r>
      <w:r w:rsidRPr="0097618A">
        <w:t xml:space="preserve"> El </w:t>
      </w:r>
      <w:r w:rsidR="007E45A5" w:rsidRPr="0097618A">
        <w:t>seis</w:t>
      </w:r>
      <w:r w:rsidRPr="0097618A">
        <w:t xml:space="preserve"> de </w:t>
      </w:r>
      <w:r w:rsidR="007E45A5" w:rsidRPr="0097618A">
        <w:t>mayo</w:t>
      </w:r>
      <w:r w:rsidRPr="0097618A">
        <w:t xml:space="preserve">, se radicó el asunto y se requirió a la autoridad responsable llevar a cabo el trámite de ley; lo que, mediante proveído </w:t>
      </w:r>
      <w:r w:rsidR="00153302" w:rsidRPr="0097618A">
        <w:t xml:space="preserve">de </w:t>
      </w:r>
      <w:r w:rsidR="00EF2A0C" w:rsidRPr="0097618A">
        <w:t>diecinueve de mayo</w:t>
      </w:r>
      <w:r w:rsidR="00153302" w:rsidRPr="0097618A">
        <w:t xml:space="preserve">, </w:t>
      </w:r>
      <w:r w:rsidRPr="0097618A">
        <w:t>se tuvo cumplido y se ordenó dar vista a</w:t>
      </w:r>
      <w:r w:rsidR="007E45A5" w:rsidRPr="0097618A">
        <w:t xml:space="preserve"> </w:t>
      </w:r>
      <w:r w:rsidRPr="0097618A">
        <w:t>l</w:t>
      </w:r>
      <w:r w:rsidR="007E45A5" w:rsidRPr="0097618A">
        <w:t>a</w:t>
      </w:r>
      <w:r w:rsidRPr="0097618A">
        <w:t xml:space="preserve"> promovente para que, de considerarlo oportuno, manifestara a lo que su interés legal conviniera.</w:t>
      </w:r>
    </w:p>
    <w:p w14:paraId="681170C0" w14:textId="77777777" w:rsidR="00087704" w:rsidRPr="0097618A" w:rsidRDefault="00087704" w:rsidP="004F7588">
      <w:pPr>
        <w:spacing w:line="360" w:lineRule="auto"/>
      </w:pPr>
    </w:p>
    <w:p w14:paraId="39E5A42E" w14:textId="385EE5B1" w:rsidR="00087704" w:rsidRPr="00B31B66" w:rsidRDefault="005231B8" w:rsidP="004F7588">
      <w:pPr>
        <w:pStyle w:val="Prrafodelista"/>
        <w:numPr>
          <w:ilvl w:val="1"/>
          <w:numId w:val="23"/>
        </w:numPr>
        <w:spacing w:line="360" w:lineRule="auto"/>
        <w:ind w:left="0" w:firstLine="0"/>
      </w:pPr>
      <w:r w:rsidRPr="0097618A">
        <w:rPr>
          <w:b/>
          <w:bCs/>
        </w:rPr>
        <w:t>D</w:t>
      </w:r>
      <w:r w:rsidR="008202E3" w:rsidRPr="0097618A">
        <w:rPr>
          <w:b/>
          <w:bCs/>
        </w:rPr>
        <w:t xml:space="preserve">esahogo </w:t>
      </w:r>
      <w:r w:rsidR="00ED589D" w:rsidRPr="0097618A">
        <w:rPr>
          <w:b/>
          <w:bCs/>
        </w:rPr>
        <w:t>de vista.</w:t>
      </w:r>
      <w:r w:rsidR="00ED589D" w:rsidRPr="0097618A">
        <w:t xml:space="preserve"> Mediante acuerdo de</w:t>
      </w:r>
      <w:r w:rsidR="00153302" w:rsidRPr="0097618A">
        <w:t xml:space="preserve"> </w:t>
      </w:r>
      <w:r w:rsidR="4ECD89DB" w:rsidRPr="0097618A">
        <w:t>v</w:t>
      </w:r>
      <w:r w:rsidR="001D3F18" w:rsidRPr="0097618A">
        <w:t>eintiuno de mayo</w:t>
      </w:r>
      <w:r w:rsidR="00ED589D" w:rsidRPr="0097618A">
        <w:t xml:space="preserve"> se tuvo </w:t>
      </w:r>
      <w:r w:rsidR="007154D5" w:rsidRPr="0097618A">
        <w:t xml:space="preserve">a la actora desahogando la vista </w:t>
      </w:r>
      <w:r w:rsidR="00E56B89" w:rsidRPr="00B31B66">
        <w:t>concedida</w:t>
      </w:r>
      <w:r w:rsidR="00ED589D" w:rsidRPr="00B31B66">
        <w:t>.</w:t>
      </w:r>
    </w:p>
    <w:p w14:paraId="6A8BA22B" w14:textId="77777777" w:rsidR="007E45A5" w:rsidRPr="0097618A" w:rsidRDefault="007E45A5" w:rsidP="00991DDE">
      <w:pPr>
        <w:spacing w:line="360" w:lineRule="auto"/>
      </w:pPr>
    </w:p>
    <w:p w14:paraId="7AF9A9BE" w14:textId="5200A420" w:rsidR="006A19C2" w:rsidRPr="0097618A" w:rsidRDefault="006A19C2" w:rsidP="00991DDE">
      <w:pPr>
        <w:pStyle w:val="Ttulo1"/>
        <w:spacing w:line="360" w:lineRule="auto"/>
      </w:pPr>
      <w:r w:rsidRPr="0097618A">
        <w:t>COMPETENCIA</w:t>
      </w:r>
    </w:p>
    <w:p w14:paraId="56F1D143" w14:textId="69C2DF97" w:rsidR="006A19C2" w:rsidRPr="0097618A" w:rsidRDefault="006A19C2" w:rsidP="00991DDE">
      <w:pPr>
        <w:spacing w:line="360" w:lineRule="auto"/>
      </w:pPr>
    </w:p>
    <w:bookmarkEnd w:id="0"/>
    <w:p w14:paraId="01375497" w14:textId="73274ADE" w:rsidR="007E45A5" w:rsidRPr="0097618A" w:rsidRDefault="007E45A5" w:rsidP="004F7588">
      <w:pPr>
        <w:pStyle w:val="Prrafodelista"/>
        <w:numPr>
          <w:ilvl w:val="1"/>
          <w:numId w:val="27"/>
        </w:numPr>
        <w:spacing w:line="360" w:lineRule="auto"/>
        <w:ind w:left="0" w:firstLine="0"/>
        <w:rPr>
          <w:b/>
          <w:bCs/>
        </w:rPr>
      </w:pPr>
      <w:r w:rsidRPr="0097618A">
        <w:rPr>
          <w:b/>
          <w:bCs/>
        </w:rPr>
        <w:t>Competencia formal</w:t>
      </w:r>
    </w:p>
    <w:p w14:paraId="36CDC736" w14:textId="77777777" w:rsidR="007E45A5" w:rsidRPr="0097618A" w:rsidRDefault="007E45A5" w:rsidP="00991DDE">
      <w:pPr>
        <w:spacing w:line="360" w:lineRule="auto"/>
      </w:pPr>
    </w:p>
    <w:p w14:paraId="2E9149EA" w14:textId="1BA3B6F9" w:rsidR="007E45A5" w:rsidRPr="0097618A" w:rsidRDefault="007E45A5" w:rsidP="00991DDE">
      <w:pPr>
        <w:spacing w:line="360" w:lineRule="auto"/>
      </w:pPr>
      <w:r w:rsidRPr="0097618A">
        <w:t>Este Tribunal Electoral es competente formalmente para conocer y resolver el presente medio de impugnación, ello de conformidad con los artículos 98 A de la Constitución Política del Estado Libre y Soberano de Michoacán de Ocampo</w:t>
      </w:r>
      <w:r w:rsidRPr="0097618A">
        <w:rPr>
          <w:rStyle w:val="Refdenotaalpie"/>
          <w:sz w:val="26"/>
          <w:szCs w:val="26"/>
        </w:rPr>
        <w:footnoteReference w:id="5"/>
      </w:r>
      <w:r w:rsidRPr="0097618A">
        <w:t>;</w:t>
      </w:r>
      <w:r w:rsidR="0040622C" w:rsidRPr="0097618A">
        <w:t xml:space="preserve"> </w:t>
      </w:r>
      <w:r w:rsidRPr="0082440A">
        <w:t>60</w:t>
      </w:r>
      <w:r w:rsidRPr="0097618A">
        <w:t>, 64</w:t>
      </w:r>
      <w:r w:rsidR="000935EC" w:rsidRPr="0097618A">
        <w:t xml:space="preserve"> -</w:t>
      </w:r>
      <w:r w:rsidRPr="0097618A">
        <w:t>fracción XIII</w:t>
      </w:r>
      <w:r w:rsidR="000935EC" w:rsidRPr="0097618A">
        <w:t>-</w:t>
      </w:r>
      <w:r w:rsidRPr="0097618A">
        <w:t xml:space="preserve"> y 66 </w:t>
      </w:r>
      <w:r w:rsidR="000935EC" w:rsidRPr="0097618A">
        <w:t>-</w:t>
      </w:r>
      <w:r w:rsidRPr="0097618A">
        <w:t>fracciones II y III</w:t>
      </w:r>
      <w:r w:rsidR="000935EC" w:rsidRPr="0097618A">
        <w:t>-</w:t>
      </w:r>
      <w:r w:rsidRPr="0097618A">
        <w:t xml:space="preserve"> del Código Electoral del Estado de Michoacán</w:t>
      </w:r>
      <w:r w:rsidR="00E04151" w:rsidRPr="0097618A">
        <w:t xml:space="preserve"> </w:t>
      </w:r>
      <w:r w:rsidR="00E04151" w:rsidRPr="0082440A">
        <w:t>de Ocampo</w:t>
      </w:r>
      <w:r w:rsidR="006210E2" w:rsidRPr="0082440A">
        <w:t>;</w:t>
      </w:r>
      <w:r w:rsidRPr="0082440A">
        <w:t xml:space="preserve"> 1</w:t>
      </w:r>
      <w:r w:rsidRPr="0097618A">
        <w:t>, 4, 5, 73, y 74</w:t>
      </w:r>
      <w:r w:rsidR="006210E2" w:rsidRPr="0097618A">
        <w:t xml:space="preserve"> </w:t>
      </w:r>
      <w:r w:rsidR="000935EC" w:rsidRPr="0097618A">
        <w:t>-</w:t>
      </w:r>
      <w:r w:rsidRPr="0097618A">
        <w:t>inciso c</w:t>
      </w:r>
      <w:r w:rsidR="000935EC" w:rsidRPr="0097618A">
        <w:t>-</w:t>
      </w:r>
      <w:r w:rsidRPr="0097618A">
        <w:t xml:space="preserve"> de la Ley de Justicia en Materia Electoral y de </w:t>
      </w:r>
      <w:r w:rsidR="00806334" w:rsidRPr="0097618A">
        <w:t>P</w:t>
      </w:r>
      <w:r w:rsidRPr="0097618A">
        <w:t>articipación Ciudadana del Estado de Michoacán de Ocampo</w:t>
      </w:r>
      <w:r w:rsidRPr="0097618A">
        <w:rPr>
          <w:rStyle w:val="Refdenotaalpie"/>
          <w:sz w:val="26"/>
          <w:szCs w:val="26"/>
        </w:rPr>
        <w:footnoteReference w:id="6"/>
      </w:r>
      <w:r w:rsidRPr="0097618A">
        <w:t>.</w:t>
      </w:r>
    </w:p>
    <w:p w14:paraId="16CD72EC" w14:textId="77777777" w:rsidR="007E45A5" w:rsidRPr="0097618A" w:rsidRDefault="007E45A5" w:rsidP="00991DDE">
      <w:pPr>
        <w:spacing w:line="360" w:lineRule="auto"/>
      </w:pPr>
    </w:p>
    <w:p w14:paraId="62BE8433" w14:textId="15285ADD" w:rsidR="007E45A5" w:rsidRPr="0097618A" w:rsidRDefault="007E45A5" w:rsidP="00991DDE">
      <w:pPr>
        <w:spacing w:line="360" w:lineRule="auto"/>
        <w:rPr>
          <w:bCs/>
        </w:rPr>
      </w:pPr>
      <w:r w:rsidRPr="0097618A">
        <w:t xml:space="preserve">Lo anterior, en virtud de que se trata de un </w:t>
      </w:r>
      <w:r w:rsidRPr="0082440A">
        <w:t>juicio promovido</w:t>
      </w:r>
      <w:r w:rsidRPr="0097618A">
        <w:t xml:space="preserve"> por un</w:t>
      </w:r>
      <w:r w:rsidR="00873CFA" w:rsidRPr="0097618A">
        <w:t>a</w:t>
      </w:r>
      <w:r w:rsidRPr="0097618A">
        <w:t xml:space="preserve"> ciudadan</w:t>
      </w:r>
      <w:r w:rsidR="009A0BB1" w:rsidRPr="0097618A">
        <w:t>a</w:t>
      </w:r>
      <w:r w:rsidRPr="0097618A">
        <w:t xml:space="preserve"> por propio derecho, en su carácter de </w:t>
      </w:r>
      <w:r w:rsidR="009A0BB1" w:rsidRPr="0097618A">
        <w:t xml:space="preserve">regidora </w:t>
      </w:r>
      <w:r w:rsidRPr="0097618A">
        <w:t>del Ayuntamiento de</w:t>
      </w:r>
      <w:r w:rsidR="009A0BB1" w:rsidRPr="0097618A">
        <w:t xml:space="preserve"> Epitacio Huerta</w:t>
      </w:r>
      <w:r w:rsidRPr="0097618A">
        <w:t>, Michoacán, mediante el cual reclama la violación a sus derechos político</w:t>
      </w:r>
      <w:r w:rsidR="00FD4B7C" w:rsidRPr="0097618A">
        <w:t>-</w:t>
      </w:r>
      <w:r w:rsidRPr="0097618A">
        <w:t>electorales de ser votad</w:t>
      </w:r>
      <w:r w:rsidR="009A0BB1" w:rsidRPr="0097618A">
        <w:t>a</w:t>
      </w:r>
      <w:r w:rsidRPr="0097618A">
        <w:t xml:space="preserve"> en la vertiente de desempeño del cargo, por</w:t>
      </w:r>
      <w:r w:rsidR="009A0BB1" w:rsidRPr="0097618A">
        <w:t xml:space="preserve"> “</w:t>
      </w:r>
      <w:r w:rsidR="009A0BB1" w:rsidRPr="0097618A">
        <w:rPr>
          <w:bCs/>
        </w:rPr>
        <w:t xml:space="preserve">la determinación de declaración formal de la inexistencia material en los archivos, registros y sistemas administrativos de las constancias relativas a los expedientes de los juicios laborales en los que es parte el </w:t>
      </w:r>
      <w:r w:rsidR="004F1B91" w:rsidRPr="0097618A">
        <w:rPr>
          <w:bCs/>
        </w:rPr>
        <w:t>Ayuntamiento</w:t>
      </w:r>
      <w:r w:rsidR="009A0BB1" w:rsidRPr="0097618A">
        <w:rPr>
          <w:bCs/>
        </w:rPr>
        <w:t>, aprobada en la sesión ordinaria de veintisiete de abril</w:t>
      </w:r>
      <w:r w:rsidR="00806334" w:rsidRPr="0097618A">
        <w:rPr>
          <w:bCs/>
        </w:rPr>
        <w:t>”</w:t>
      </w:r>
      <w:r w:rsidR="009A0BB1" w:rsidRPr="0097618A">
        <w:rPr>
          <w:bCs/>
        </w:rPr>
        <w:t>.</w:t>
      </w:r>
    </w:p>
    <w:p w14:paraId="41E288C5" w14:textId="77777777" w:rsidR="007E45A5" w:rsidRPr="0097618A" w:rsidRDefault="007E45A5" w:rsidP="00991DDE">
      <w:pPr>
        <w:spacing w:line="360" w:lineRule="auto"/>
      </w:pPr>
    </w:p>
    <w:p w14:paraId="2AA5CB27" w14:textId="19A556C7" w:rsidR="007E45A5" w:rsidRPr="0097618A" w:rsidRDefault="00E00B9F" w:rsidP="004F7588">
      <w:pPr>
        <w:pStyle w:val="Prrafodelista"/>
        <w:numPr>
          <w:ilvl w:val="1"/>
          <w:numId w:val="27"/>
        </w:numPr>
        <w:spacing w:line="360" w:lineRule="auto"/>
        <w:ind w:left="0" w:firstLine="0"/>
        <w:rPr>
          <w:b/>
          <w:lang w:val="es-ES"/>
        </w:rPr>
      </w:pPr>
      <w:r w:rsidRPr="0097618A">
        <w:rPr>
          <w:b/>
          <w:lang w:val="es-ES"/>
        </w:rPr>
        <w:t>Inc</w:t>
      </w:r>
      <w:r w:rsidR="007E45A5" w:rsidRPr="0097618A">
        <w:rPr>
          <w:b/>
          <w:lang w:val="es-ES"/>
        </w:rPr>
        <w:t>ompetencia material</w:t>
      </w:r>
    </w:p>
    <w:p w14:paraId="356F6BFD" w14:textId="77777777" w:rsidR="007E45A5" w:rsidRPr="0097618A" w:rsidRDefault="007E45A5" w:rsidP="00991DDE">
      <w:pPr>
        <w:spacing w:line="360" w:lineRule="auto"/>
      </w:pPr>
    </w:p>
    <w:p w14:paraId="0E8E9411" w14:textId="319FEF99" w:rsidR="007E45A5" w:rsidRPr="0097618A" w:rsidRDefault="00B972E1" w:rsidP="00991DDE">
      <w:pPr>
        <w:spacing w:line="360" w:lineRule="auto"/>
      </w:pPr>
      <w:r w:rsidRPr="0097618A">
        <w:t>Toda vez que la competencia constituye un presupuesto procesal indispensable para la validez de los actos emitidos por una autoridad jurisdiccional, su análisis reviste carácter preferente y de orden público, por lo que debe realizarse de manera oficiosa. En consecuencia, si el órgano jurisdiccional carece de competencia, se encuentra jurídicamente impedido para conocer y resolver el asunto sometido a su consideración, pues, de hacerlo, sus actuaciones serían nulas de pleno derecho</w:t>
      </w:r>
      <w:r w:rsidR="0058249F" w:rsidRPr="0097618A">
        <w:rPr>
          <w:rStyle w:val="Refdenotaalpie"/>
          <w:sz w:val="26"/>
          <w:szCs w:val="26"/>
        </w:rPr>
        <w:footnoteReference w:id="7"/>
      </w:r>
      <w:r w:rsidR="007E45A5" w:rsidRPr="0097618A">
        <w:t>.</w:t>
      </w:r>
    </w:p>
    <w:p w14:paraId="09B78355" w14:textId="77777777" w:rsidR="00FF25DB" w:rsidRPr="0097618A" w:rsidRDefault="00FF25DB" w:rsidP="00991DDE">
      <w:pPr>
        <w:spacing w:line="360" w:lineRule="auto"/>
      </w:pPr>
    </w:p>
    <w:p w14:paraId="0ED30AC6" w14:textId="24A4DC78" w:rsidR="007E45A5" w:rsidRPr="0097618A" w:rsidRDefault="00B972E1" w:rsidP="00991DDE">
      <w:pPr>
        <w:spacing w:line="360" w:lineRule="auto"/>
      </w:pPr>
      <w:r w:rsidRPr="0097618A">
        <w:t>En ese sentido, para asumir competencia material resulta necesario analizar si los actos impugnados inciden en el ámbito de la materia electoral</w:t>
      </w:r>
      <w:r w:rsidRPr="0097618A">
        <w:rPr>
          <w:rStyle w:val="Refdenotaalpie"/>
          <w:sz w:val="26"/>
          <w:szCs w:val="26"/>
        </w:rPr>
        <w:footnoteReference w:id="8"/>
      </w:r>
      <w:r w:rsidRPr="0097618A">
        <w:t>, atendiendo a su naturaleza jurídica, a efecto de determinar si son susceptibles de tutela mediante alguno de los medios de impugnación previstos en la normativa electoral local</w:t>
      </w:r>
      <w:r w:rsidR="00B74C84" w:rsidRPr="0097618A">
        <w:t>.</w:t>
      </w:r>
    </w:p>
    <w:p w14:paraId="4D3FB625" w14:textId="77777777" w:rsidR="00B972E1" w:rsidRPr="0097618A" w:rsidRDefault="00B972E1" w:rsidP="00991DDE">
      <w:pPr>
        <w:spacing w:line="360" w:lineRule="auto"/>
      </w:pPr>
    </w:p>
    <w:p w14:paraId="3F774292" w14:textId="0E897172" w:rsidR="00B972E1" w:rsidRPr="0082440A" w:rsidRDefault="00B972E1" w:rsidP="00991DDE">
      <w:pPr>
        <w:spacing w:line="360" w:lineRule="auto"/>
      </w:pPr>
      <w:r w:rsidRPr="0097618A">
        <w:t xml:space="preserve">Bajo esa premisa, corresponde a este órgano jurisdiccional efectuar un análisis preliminar de cada asunto sometido a su conocimiento, con la finalidad de determinar la naturaleza del acto controvertido y establecer si se actualiza la competencia </w:t>
      </w:r>
      <w:r w:rsidRPr="0082440A">
        <w:t>material.</w:t>
      </w:r>
    </w:p>
    <w:p w14:paraId="28DA13CB" w14:textId="77777777" w:rsidR="00B972E1" w:rsidRPr="0097618A" w:rsidRDefault="00B972E1" w:rsidP="00991DDE">
      <w:pPr>
        <w:spacing w:line="360" w:lineRule="auto"/>
      </w:pPr>
    </w:p>
    <w:p w14:paraId="00ABDE65" w14:textId="781FC804" w:rsidR="009E4B2F" w:rsidRPr="0097618A" w:rsidRDefault="00B972E1" w:rsidP="00991DDE">
      <w:pPr>
        <w:spacing w:line="360" w:lineRule="auto"/>
      </w:pPr>
      <w:r w:rsidRPr="0097618A">
        <w:t xml:space="preserve">Precisado lo anterior, este órgano jurisdiccional advierte que no se encuentra en posibilidad de </w:t>
      </w:r>
      <w:r w:rsidRPr="0082440A">
        <w:t>conocer la</w:t>
      </w:r>
      <w:r w:rsidRPr="0097618A">
        <w:t xml:space="preserve"> determinación adoptada por la autoridad responsable, en virtud de que la controversia planteada no corresponde a la materia electoral, </w:t>
      </w:r>
      <w:r w:rsidRPr="0082440A">
        <w:t>sino al ámbito de organización interna del Ayuntamiento</w:t>
      </w:r>
      <w:r w:rsidR="001516E1" w:rsidRPr="0097618A">
        <w:rPr>
          <w:rStyle w:val="Refdenotaalpie"/>
          <w:sz w:val="26"/>
          <w:szCs w:val="26"/>
        </w:rPr>
        <w:footnoteReference w:id="9"/>
      </w:r>
      <w:r w:rsidRPr="0097618A">
        <w:t>.</w:t>
      </w:r>
    </w:p>
    <w:p w14:paraId="6BD2C108" w14:textId="77777777" w:rsidR="00B972E1" w:rsidRPr="0097618A" w:rsidRDefault="00B972E1" w:rsidP="00991DDE">
      <w:pPr>
        <w:spacing w:line="360" w:lineRule="auto"/>
      </w:pPr>
    </w:p>
    <w:p w14:paraId="3A81981A" w14:textId="56BC77C9" w:rsidR="007A5B8E" w:rsidRPr="0097618A" w:rsidRDefault="00B972E1" w:rsidP="00991DDE">
      <w:pPr>
        <w:spacing w:line="360" w:lineRule="auto"/>
      </w:pPr>
      <w:r w:rsidRPr="0097618A">
        <w:t>Al respecto, la Sala Superior ha sostenido que el derecho de ser votada comprende, entre otros aspectos:</w:t>
      </w:r>
    </w:p>
    <w:p w14:paraId="0F7C948A" w14:textId="77777777" w:rsidR="001F40C7" w:rsidRPr="0082440A" w:rsidRDefault="001F40C7" w:rsidP="34E05699">
      <w:pPr>
        <w:spacing w:line="360" w:lineRule="auto"/>
      </w:pPr>
    </w:p>
    <w:p w14:paraId="62FCA319" w14:textId="4D1CE812" w:rsidR="0023359B" w:rsidRPr="0097618A" w:rsidRDefault="00334D3A" w:rsidP="001B62DE">
      <w:pPr>
        <w:pStyle w:val="Prrafodelista"/>
        <w:numPr>
          <w:ilvl w:val="0"/>
          <w:numId w:val="28"/>
        </w:numPr>
        <w:spacing w:line="360" w:lineRule="auto"/>
        <w:ind w:left="850" w:hanging="425"/>
      </w:pPr>
      <w:r w:rsidRPr="0097618A">
        <w:lastRenderedPageBreak/>
        <w:t>E</w:t>
      </w:r>
      <w:r w:rsidR="007E45A5" w:rsidRPr="0097618A">
        <w:t xml:space="preserve">l derecho a ocupar el cargo, permanecer en él por todo el período para el cual </w:t>
      </w:r>
      <w:r w:rsidR="007E45A5" w:rsidRPr="00895249">
        <w:t>fue</w:t>
      </w:r>
      <w:r w:rsidR="0007740A" w:rsidRPr="00895249">
        <w:t xml:space="preserve"> </w:t>
      </w:r>
      <w:r w:rsidR="007E45A5" w:rsidRPr="00895249">
        <w:t>elect</w:t>
      </w:r>
      <w:r w:rsidR="0007740A" w:rsidRPr="00895249">
        <w:t>a</w:t>
      </w:r>
      <w:r w:rsidR="007E45A5" w:rsidRPr="0097618A">
        <w:t xml:space="preserve"> y el de desempeñar las funciones que le son inherentes</w:t>
      </w:r>
      <w:r w:rsidR="007E45A5" w:rsidRPr="0097618A">
        <w:rPr>
          <w:rStyle w:val="Refdenotaalpie"/>
          <w:sz w:val="26"/>
          <w:szCs w:val="26"/>
        </w:rPr>
        <w:footnoteReference w:id="10"/>
      </w:r>
      <w:r w:rsidR="0058249F" w:rsidRPr="0097618A">
        <w:t>.</w:t>
      </w:r>
    </w:p>
    <w:p w14:paraId="18502663" w14:textId="16FBBF17" w:rsidR="007E45A5" w:rsidRPr="0097618A" w:rsidRDefault="0023359B" w:rsidP="001B62DE">
      <w:pPr>
        <w:pStyle w:val="Prrafodelista"/>
        <w:numPr>
          <w:ilvl w:val="0"/>
          <w:numId w:val="28"/>
        </w:numPr>
        <w:spacing w:line="360" w:lineRule="auto"/>
        <w:ind w:left="850" w:hanging="425"/>
        <w:rPr>
          <w:bCs/>
        </w:rPr>
      </w:pPr>
      <w:r w:rsidRPr="0097618A">
        <w:t>E</w:t>
      </w:r>
      <w:r w:rsidR="007E45A5" w:rsidRPr="0097618A">
        <w:t xml:space="preserve">l derecho a una </w:t>
      </w:r>
      <w:r w:rsidR="007E45A5" w:rsidRPr="00895249">
        <w:t>remuneración</w:t>
      </w:r>
      <w:r w:rsidR="007E45A5" w:rsidRPr="0097618A">
        <w:rPr>
          <w:rStyle w:val="Refdenotaalpie"/>
          <w:sz w:val="26"/>
          <w:szCs w:val="26"/>
        </w:rPr>
        <w:footnoteReference w:id="11"/>
      </w:r>
      <w:r w:rsidR="0058249F" w:rsidRPr="0097618A">
        <w:t>.</w:t>
      </w:r>
    </w:p>
    <w:p w14:paraId="55DD56EA" w14:textId="77777777" w:rsidR="007E45A5" w:rsidRPr="0097618A" w:rsidRDefault="007E45A5" w:rsidP="00991DDE">
      <w:pPr>
        <w:spacing w:line="360" w:lineRule="auto"/>
      </w:pPr>
    </w:p>
    <w:p w14:paraId="649F06E8" w14:textId="6CEABBB0" w:rsidR="00B972E1" w:rsidRPr="0097618A" w:rsidRDefault="00B972E1" w:rsidP="00991DDE">
      <w:pPr>
        <w:spacing w:line="360" w:lineRule="auto"/>
      </w:pPr>
      <w:r w:rsidRPr="0097618A">
        <w:t xml:space="preserve">Dichos derechos son tutelables a través del </w:t>
      </w:r>
      <w:r w:rsidR="00DE193E" w:rsidRPr="0082440A">
        <w:t xml:space="preserve">Juicio </w:t>
      </w:r>
      <w:r w:rsidRPr="0082440A">
        <w:t xml:space="preserve">de la </w:t>
      </w:r>
      <w:r w:rsidR="00DE193E" w:rsidRPr="0082440A">
        <w:t>Ciudadanía</w:t>
      </w:r>
      <w:r w:rsidRPr="0097618A">
        <w:t>, al constituir la vía idónea para controvertir presuntas violaciones a los derechos de votar, ser votado y aquellos derechos humanos indispensables para el ejercicio efectivo del cargo</w:t>
      </w:r>
      <w:r w:rsidRPr="0097618A">
        <w:rPr>
          <w:rStyle w:val="Refdenotaalpie"/>
          <w:sz w:val="26"/>
          <w:szCs w:val="26"/>
        </w:rPr>
        <w:footnoteReference w:id="12"/>
      </w:r>
      <w:r w:rsidRPr="0097618A">
        <w:t>.</w:t>
      </w:r>
    </w:p>
    <w:p w14:paraId="2F6111FB" w14:textId="77777777" w:rsidR="0090295F" w:rsidRPr="0097618A" w:rsidRDefault="0090295F" w:rsidP="00991DDE">
      <w:pPr>
        <w:spacing w:line="360" w:lineRule="auto"/>
      </w:pPr>
    </w:p>
    <w:p w14:paraId="4D0E463D" w14:textId="46A461F0" w:rsidR="00B972E1" w:rsidRPr="0097618A" w:rsidRDefault="00B972E1" w:rsidP="00991DDE">
      <w:pPr>
        <w:spacing w:line="360" w:lineRule="auto"/>
      </w:pPr>
      <w:r w:rsidRPr="0097618A">
        <w:t>No obstante, la propia Sala Superior</w:t>
      </w:r>
      <w:r w:rsidRPr="0097618A">
        <w:rPr>
          <w:rStyle w:val="Refdenotaalpie"/>
          <w:bCs/>
          <w:sz w:val="26"/>
          <w:szCs w:val="26"/>
        </w:rPr>
        <w:footnoteReference w:id="13"/>
      </w:r>
      <w:r w:rsidRPr="0097618A">
        <w:t xml:space="preserve"> ha establecido que cuando las presuntas violaciones se relacionan exclusivamente con la forma o alcances del ejercicio de la función pública -sin constituir un obstáculo real para el desempeño del cargo- y derivan de aspectos propios de la vida orgánica del Ayuntamiento, la controversia escapa del ámbito electoral y se ubica en el terreno del derecho administrativo municipal.</w:t>
      </w:r>
    </w:p>
    <w:p w14:paraId="70D63D82" w14:textId="77777777" w:rsidR="00B972E1" w:rsidRPr="0097618A" w:rsidRDefault="00B972E1" w:rsidP="00991DDE">
      <w:pPr>
        <w:spacing w:line="360" w:lineRule="auto"/>
      </w:pPr>
    </w:p>
    <w:p w14:paraId="6812A138" w14:textId="2E172947" w:rsidR="008366EA" w:rsidRPr="0097618A" w:rsidRDefault="00B972E1" w:rsidP="00991DDE">
      <w:pPr>
        <w:spacing w:line="360" w:lineRule="auto"/>
      </w:pPr>
      <w:r w:rsidRPr="0097618A">
        <w:t>Ello obedece a que los ayuntamientos, atendiendo a su naturaleza constitucional</w:t>
      </w:r>
      <w:r w:rsidR="00071B53" w:rsidRPr="0097618A">
        <w:rPr>
          <w:rStyle w:val="Refdenotaalpie"/>
          <w:sz w:val="26"/>
          <w:szCs w:val="26"/>
        </w:rPr>
        <w:footnoteReference w:id="14"/>
      </w:r>
      <w:r w:rsidRPr="0097618A">
        <w:t xml:space="preserve">, cuentan con facultades de </w:t>
      </w:r>
      <w:r w:rsidR="008F0960" w:rsidRPr="0097618A">
        <w:t>autoorganización</w:t>
      </w:r>
      <w:r w:rsidRPr="0097618A">
        <w:t xml:space="preserve"> para regular su funcionamiento interno y garantizar el adecuado desarrollo de sus fines, dentro de los márgenes establecidos por la ley.</w:t>
      </w:r>
    </w:p>
    <w:p w14:paraId="5BA8C692" w14:textId="77777777" w:rsidR="00B972E1" w:rsidRPr="0097618A" w:rsidRDefault="00B972E1" w:rsidP="00991DDE">
      <w:pPr>
        <w:spacing w:line="360" w:lineRule="auto"/>
      </w:pPr>
    </w:p>
    <w:p w14:paraId="5590C939" w14:textId="2B9DB155" w:rsidR="00B972E1" w:rsidRPr="0097618A" w:rsidRDefault="00B972E1" w:rsidP="00991DDE">
      <w:pPr>
        <w:spacing w:line="360" w:lineRule="auto"/>
      </w:pPr>
      <w:r w:rsidRPr="0097618A">
        <w:t xml:space="preserve">En consecuencia, no todos los actos emitidos por una autoridad municipal en ejercicio de sus atribuciones pueden ser objeto de control jurisdiccional electoral, pues algunos se relacionan exclusivamente con la dinámica interna y organizacional del Ayuntamiento, </w:t>
      </w:r>
      <w:r w:rsidRPr="0082440A">
        <w:t>sin incidir de manera directa en el ejercicio de derechos político-electorales</w:t>
      </w:r>
      <w:r w:rsidRPr="0097618A">
        <w:t>.</w:t>
      </w:r>
    </w:p>
    <w:p w14:paraId="3EAF7C99" w14:textId="77777777" w:rsidR="00AB2835" w:rsidRPr="0097618A" w:rsidRDefault="00AB2835" w:rsidP="00991DDE">
      <w:pPr>
        <w:spacing w:line="360" w:lineRule="auto"/>
      </w:pPr>
    </w:p>
    <w:p w14:paraId="710B9A08" w14:textId="061A6C0A" w:rsidR="00AB2835" w:rsidRPr="0097618A" w:rsidRDefault="00AB2835" w:rsidP="00991DDE">
      <w:pPr>
        <w:spacing w:line="360" w:lineRule="auto"/>
      </w:pPr>
      <w:r w:rsidRPr="0097618A">
        <w:lastRenderedPageBreak/>
        <w:t>Asimismo, debe analizarse si la afectación alegada posee una dimensión real, objetiva y trascendente que pueda traducirse en una vulneración efectiva de derechos político-electorales y, en consecuencia, justificar la intervención de la jurisdicción electoral. Lo anterior, porque no resulta jurídicamente válido sostener que cualquier acto relacionado con el ejercicio del cargo actualiza, de manera automática, una afectación tutelable en esta materia.</w:t>
      </w:r>
    </w:p>
    <w:p w14:paraId="0E00EA2E" w14:textId="77777777" w:rsidR="00AB2835" w:rsidRPr="0097618A" w:rsidRDefault="00AB2835" w:rsidP="00991DDE">
      <w:pPr>
        <w:spacing w:line="360" w:lineRule="auto"/>
      </w:pPr>
    </w:p>
    <w:p w14:paraId="40DC1479" w14:textId="0F6030C2" w:rsidR="00AB2835" w:rsidRPr="0097618A" w:rsidRDefault="00AB2835" w:rsidP="00991DDE">
      <w:pPr>
        <w:spacing w:line="360" w:lineRule="auto"/>
      </w:pPr>
      <w:r w:rsidRPr="0097618A">
        <w:t xml:space="preserve">Asumir una postura en ese </w:t>
      </w:r>
      <w:r w:rsidRPr="0082440A">
        <w:t>sentido</w:t>
      </w:r>
      <w:r w:rsidR="00413B56" w:rsidRPr="0082440A">
        <w:t>,</w:t>
      </w:r>
      <w:r w:rsidRPr="0097618A">
        <w:t xml:space="preserve"> tal como ha sido referido por la Sala Superior</w:t>
      </w:r>
      <w:r w:rsidRPr="0097618A">
        <w:rPr>
          <w:rStyle w:val="Refdenotaalpie"/>
          <w:sz w:val="26"/>
          <w:szCs w:val="26"/>
        </w:rPr>
        <w:footnoteReference w:id="15"/>
      </w:r>
      <w:r w:rsidRPr="0097618A">
        <w:t>, implicaría una expansión desmedida de la jurisdicción electoral sobre el ámbito de organización y funcionamiento interno de los ayuntamientos, al considerar que toda decisión adoptada en el contexto de la dinámica municipal genera, por sí misma, una afectación trascendente a derechos político-electorales. Tal interpretación resultaría incompatible con el orden constitucional sustentado en el principio de división de poderes y en la autonomía funcional de los órganos de gobierno.</w:t>
      </w:r>
    </w:p>
    <w:p w14:paraId="1DDC96D9" w14:textId="77777777" w:rsidR="00AB2835" w:rsidRPr="0097618A" w:rsidRDefault="00AB2835" w:rsidP="00991DDE">
      <w:pPr>
        <w:spacing w:line="360" w:lineRule="auto"/>
      </w:pPr>
    </w:p>
    <w:p w14:paraId="560A4E68" w14:textId="68AD23E3" w:rsidR="00AB2835" w:rsidRPr="0097618A" w:rsidRDefault="00AB2835" w:rsidP="00991DDE">
      <w:pPr>
        <w:spacing w:line="360" w:lineRule="auto"/>
      </w:pPr>
      <w:r w:rsidRPr="0097618A">
        <w:t xml:space="preserve">Por ello, corresponde a los órganos jurisdiccionales electorales realizar un análisis integral y casuístico de las circunstancias de cada asunto, a fin de determinar si los hechos sometidos a consideración revelan, de manera objetiva y material, una afectación </w:t>
      </w:r>
      <w:r w:rsidRPr="0082440A">
        <w:t>real</w:t>
      </w:r>
      <w:r w:rsidR="008A67EA" w:rsidRPr="0082440A">
        <w:t xml:space="preserve"> y directa</w:t>
      </w:r>
      <w:r w:rsidRPr="0097618A">
        <w:t xml:space="preserve"> a derechos político-electorales o si, por el contrario, se trata de actos regidos por un ámbito normativo diverso, sin que se actualice la competencia electoral.</w:t>
      </w:r>
    </w:p>
    <w:p w14:paraId="426754FB" w14:textId="77777777" w:rsidR="00AB2835" w:rsidRPr="0097618A" w:rsidRDefault="00AB2835" w:rsidP="00991DDE">
      <w:pPr>
        <w:spacing w:line="360" w:lineRule="auto"/>
      </w:pPr>
    </w:p>
    <w:p w14:paraId="646ECD90" w14:textId="376CC058" w:rsidR="00AB2835" w:rsidRPr="0097618A" w:rsidRDefault="00AB2835" w:rsidP="00991DDE">
      <w:pPr>
        <w:spacing w:line="360" w:lineRule="auto"/>
      </w:pPr>
      <w:r w:rsidRPr="0097618A">
        <w:t xml:space="preserve">De ahí que, frente a la necesidad de tutelar el ejercicio efectivo del cargo y, simultáneamente, </w:t>
      </w:r>
      <w:r w:rsidRPr="0082440A">
        <w:rPr>
          <w:b/>
        </w:rPr>
        <w:t>respetar la capacidad autoorganizativa del</w:t>
      </w:r>
      <w:r w:rsidR="00673D64" w:rsidRPr="0082440A">
        <w:rPr>
          <w:b/>
        </w:rPr>
        <w:t xml:space="preserve"> </w:t>
      </w:r>
      <w:r w:rsidR="00035376" w:rsidRPr="0082440A">
        <w:rPr>
          <w:b/>
        </w:rPr>
        <w:t>Ayuntamiento</w:t>
      </w:r>
      <w:r w:rsidRPr="0097618A">
        <w:t xml:space="preserve">, este Tribunal debe efectuar un análisis preliminar sobre la naturaleza del </w:t>
      </w:r>
      <w:r w:rsidRPr="0082440A">
        <w:t>acto</w:t>
      </w:r>
      <w:r w:rsidRPr="0097618A">
        <w:t xml:space="preserve"> impugnado, a fin de verificar si existen elementos que permitan advertir, de manera evidente, una afectación absoluta y definitiva al ejercicio del cargo que justifique la intervención de esta jurisdicción.</w:t>
      </w:r>
    </w:p>
    <w:p w14:paraId="11B64C6A" w14:textId="77777777" w:rsidR="00AB2835" w:rsidRPr="0097618A" w:rsidRDefault="00AB2835" w:rsidP="00991DDE">
      <w:pPr>
        <w:spacing w:line="360" w:lineRule="auto"/>
      </w:pPr>
    </w:p>
    <w:p w14:paraId="09D0E8BB" w14:textId="78FF57D3" w:rsidR="00AB2835" w:rsidRPr="0097618A" w:rsidRDefault="00AB2835" w:rsidP="00991DDE">
      <w:pPr>
        <w:spacing w:line="360" w:lineRule="auto"/>
      </w:pPr>
      <w:r w:rsidRPr="0097618A">
        <w:t xml:space="preserve">En el caso concreto, el acto controvertido consiste en la determinación adoptada por </w:t>
      </w:r>
      <w:r w:rsidR="009476A1" w:rsidRPr="0097618A">
        <w:t xml:space="preserve">la autoridad responsable </w:t>
      </w:r>
      <w:r w:rsidR="00780182" w:rsidRPr="0082440A">
        <w:t xml:space="preserve">en el </w:t>
      </w:r>
      <w:r w:rsidR="006A7BE6" w:rsidRPr="0082440A">
        <w:t>punto de a</w:t>
      </w:r>
      <w:r w:rsidR="00780182" w:rsidRPr="0082440A">
        <w:t>cuerdo 09 de la Sesión Ordinaria 009</w:t>
      </w:r>
      <w:r w:rsidR="00780182" w:rsidRPr="0097618A">
        <w:t xml:space="preserve"> </w:t>
      </w:r>
      <w:r w:rsidRPr="0097618A">
        <w:t xml:space="preserve">relativa a </w:t>
      </w:r>
      <w:r w:rsidR="00B22976" w:rsidRPr="0097618A">
        <w:t xml:space="preserve">la </w:t>
      </w:r>
      <w:r w:rsidR="005B5729" w:rsidRPr="0097618A">
        <w:t xml:space="preserve">emisión de </w:t>
      </w:r>
      <w:r w:rsidRPr="0097618A">
        <w:t xml:space="preserve">la </w:t>
      </w:r>
      <w:r w:rsidR="00105A12" w:rsidRPr="0097618A">
        <w:t>declarativa</w:t>
      </w:r>
      <w:r w:rsidRPr="0097618A">
        <w:t xml:space="preserve"> formal de inexistencia material, en archivos, registros y sistemas administrativos, de las constancias vinculadas con expedientes de juicios laborales en los que dicho ente </w:t>
      </w:r>
      <w:r w:rsidRPr="0097618A">
        <w:lastRenderedPageBreak/>
        <w:t xml:space="preserve">municipal es parte, aprobada en sesión ordinaria de </w:t>
      </w:r>
      <w:r w:rsidRPr="0082440A">
        <w:t>veintisiete de abril</w:t>
      </w:r>
      <w:r w:rsidR="008911D9" w:rsidRPr="0082440A">
        <w:rPr>
          <w:rStyle w:val="Refdenotaalpie"/>
        </w:rPr>
        <w:footnoteReference w:id="16"/>
      </w:r>
      <w:r w:rsidRPr="0097618A">
        <w:t>.</w:t>
      </w:r>
    </w:p>
    <w:p w14:paraId="686E59FF" w14:textId="77777777" w:rsidR="00AB2835" w:rsidRPr="0097618A" w:rsidRDefault="00AB2835" w:rsidP="00991DDE">
      <w:pPr>
        <w:spacing w:line="360" w:lineRule="auto"/>
      </w:pPr>
    </w:p>
    <w:p w14:paraId="2E7CF220" w14:textId="68C16B8F" w:rsidR="00AB2835" w:rsidRPr="0097618A" w:rsidRDefault="00AB2835" w:rsidP="00991DDE">
      <w:pPr>
        <w:spacing w:line="360" w:lineRule="auto"/>
      </w:pPr>
      <w:r w:rsidRPr="0097618A">
        <w:t xml:space="preserve">Si bien la actora sostiene que tal determinación vulnera sus derechos de acceso a la información pública, rendición de cuentas y transparencia gubernamental, al estimar que </w:t>
      </w:r>
      <w:r w:rsidR="009476A1" w:rsidRPr="0097618A">
        <w:t>la autoridad responsable</w:t>
      </w:r>
      <w:r w:rsidRPr="0097618A">
        <w:t xml:space="preserve"> </w:t>
      </w:r>
      <w:r w:rsidRPr="0082440A">
        <w:t>pretende sostener indebidamente la inexistencia de dicha informació</w:t>
      </w:r>
      <w:r w:rsidR="00E878B2" w:rsidRPr="0082440A">
        <w:t>n</w:t>
      </w:r>
      <w:r w:rsidRPr="0097618A">
        <w:t>.</w:t>
      </w:r>
    </w:p>
    <w:p w14:paraId="71BA8494" w14:textId="77777777" w:rsidR="00AB2835" w:rsidRPr="0097618A" w:rsidRDefault="00AB2835" w:rsidP="00991DDE">
      <w:pPr>
        <w:spacing w:line="360" w:lineRule="auto"/>
      </w:pPr>
    </w:p>
    <w:p w14:paraId="0A618534" w14:textId="7EBF7494" w:rsidR="00AB2835" w:rsidRPr="0097618A" w:rsidRDefault="00AB2835" w:rsidP="00991DDE">
      <w:pPr>
        <w:spacing w:line="360" w:lineRule="auto"/>
      </w:pPr>
      <w:r w:rsidRPr="0097618A">
        <w:t>Incluso supliendo la deficiencia del agravio, en términos del artículo 33 de la Ley de Justicia Electoral, y analizarlo como refiere</w:t>
      </w:r>
      <w:r w:rsidR="003C0325" w:rsidRPr="0097618A">
        <w:t>,</w:t>
      </w:r>
      <w:r w:rsidRPr="0097618A">
        <w:t xml:space="preserve"> </w:t>
      </w:r>
      <w:r w:rsidR="00390749" w:rsidRPr="0097618A">
        <w:t>es decir, como</w:t>
      </w:r>
      <w:r w:rsidRPr="0097618A">
        <w:t xml:space="preserve"> una determinación contraria a los principios </w:t>
      </w:r>
      <w:r w:rsidR="009476A1" w:rsidRPr="0097618A">
        <w:t xml:space="preserve">de </w:t>
      </w:r>
      <w:r w:rsidRPr="0097618A">
        <w:t>transparencia</w:t>
      </w:r>
      <w:r w:rsidR="009476A1" w:rsidRPr="0097618A">
        <w:t>,</w:t>
      </w:r>
      <w:r w:rsidRPr="0097618A">
        <w:t xml:space="preserve"> este Tribunal se encuentra jurídicamente imposibilitado para analizar la legalidad de la determinación impugnada, pues </w:t>
      </w:r>
      <w:r w:rsidRPr="0082440A">
        <w:t xml:space="preserve">la controversia guarda relación con aspectos inherentes a la organización interna y funcionamiento administrativo del </w:t>
      </w:r>
      <w:r w:rsidR="009476A1" w:rsidRPr="0082440A">
        <w:t xml:space="preserve">referido </w:t>
      </w:r>
      <w:r w:rsidRPr="0082440A">
        <w:t>Ayuntamiento</w:t>
      </w:r>
      <w:r w:rsidR="001847E2" w:rsidRPr="0097618A">
        <w:t xml:space="preserve">, </w:t>
      </w:r>
      <w:r w:rsidR="00164FFE">
        <w:t>toda vez que</w:t>
      </w:r>
      <w:r w:rsidR="001847E2" w:rsidRPr="0097618A">
        <w:t xml:space="preserve"> la decisión colegiada fue emitida </w:t>
      </w:r>
      <w:r w:rsidR="007C7E65" w:rsidRPr="0082440A">
        <w:t>para</w:t>
      </w:r>
      <w:r w:rsidR="001847E2" w:rsidRPr="0097618A">
        <w:t xml:space="preserve"> poder determinar los actos administrativos municipales para recabar </w:t>
      </w:r>
      <w:r w:rsidR="008202E3" w:rsidRPr="0097618A">
        <w:t xml:space="preserve">cierta </w:t>
      </w:r>
      <w:r w:rsidR="001847E2" w:rsidRPr="0097618A">
        <w:t>información.</w:t>
      </w:r>
    </w:p>
    <w:p w14:paraId="2B0B7327" w14:textId="77777777" w:rsidR="00AB2835" w:rsidRPr="0097618A" w:rsidRDefault="00AB2835" w:rsidP="00991DDE">
      <w:pPr>
        <w:spacing w:line="360" w:lineRule="auto"/>
      </w:pPr>
    </w:p>
    <w:p w14:paraId="5A3FCB9E" w14:textId="7488E649" w:rsidR="00AB2835" w:rsidRPr="0097618A" w:rsidRDefault="00AB2835" w:rsidP="00991DDE">
      <w:pPr>
        <w:spacing w:line="360" w:lineRule="auto"/>
      </w:pPr>
      <w:r w:rsidRPr="0097618A">
        <w:t xml:space="preserve">En efecto, el artículo 115 de la Constitución </w:t>
      </w:r>
      <w:r w:rsidR="00BC5628" w:rsidRPr="0097618A">
        <w:t>Federal</w:t>
      </w:r>
      <w:r w:rsidRPr="0097618A">
        <w:t xml:space="preserve"> reconoce a los municipios autonomía para regular su funcionamiento interno y distribuir las funciones necesarias para el cumplimiento de sus fines.</w:t>
      </w:r>
    </w:p>
    <w:p w14:paraId="40F4D842" w14:textId="77777777" w:rsidR="00AB2835" w:rsidRPr="0097618A" w:rsidRDefault="00AB2835" w:rsidP="00991DDE">
      <w:pPr>
        <w:spacing w:line="360" w:lineRule="auto"/>
      </w:pPr>
    </w:p>
    <w:p w14:paraId="47DFE6AA" w14:textId="24E4AF73" w:rsidR="00C273D1" w:rsidRPr="0097618A" w:rsidRDefault="00AB2835" w:rsidP="00991DDE">
      <w:pPr>
        <w:spacing w:line="360" w:lineRule="auto"/>
      </w:pPr>
      <w:r w:rsidRPr="0097618A">
        <w:t>De igual manera, la Ley Orgánica Municipal</w:t>
      </w:r>
      <w:r w:rsidR="009476A1" w:rsidRPr="0097618A">
        <w:t xml:space="preserve"> del Estado de Michoacán de Ocampo</w:t>
      </w:r>
      <w:r w:rsidR="009476A1" w:rsidRPr="0097618A">
        <w:rPr>
          <w:rStyle w:val="Refdenotaalpie"/>
          <w:sz w:val="26"/>
          <w:szCs w:val="26"/>
        </w:rPr>
        <w:footnoteReference w:id="17"/>
      </w:r>
      <w:r w:rsidR="009476A1" w:rsidRPr="0097618A">
        <w:t xml:space="preserve"> </w:t>
      </w:r>
      <w:r w:rsidRPr="0097618A">
        <w:t>prevé, en su artículo 40</w:t>
      </w:r>
      <w:r w:rsidR="000935EC" w:rsidRPr="0097618A">
        <w:t xml:space="preserve"> -</w:t>
      </w:r>
      <w:r w:rsidRPr="0097618A">
        <w:t>inciso f</w:t>
      </w:r>
      <w:r w:rsidR="000935EC" w:rsidRPr="0097618A">
        <w:t>-</w:t>
      </w:r>
      <w:r w:rsidRPr="0097618A">
        <w:t xml:space="preserve"> como atribución de</w:t>
      </w:r>
      <w:r w:rsidR="009476A1" w:rsidRPr="0097618A">
        <w:t xml:space="preserve"> los ayuntamientos</w:t>
      </w:r>
      <w:r w:rsidRPr="0097618A">
        <w:t xml:space="preserve"> en materia de transparencia, la de expedir los reglamentos y </w:t>
      </w:r>
      <w:r w:rsidRPr="0097618A">
        <w:rPr>
          <w:bCs/>
        </w:rPr>
        <w:t>acuerdos necesarios</w:t>
      </w:r>
      <w:r w:rsidRPr="0097618A">
        <w:t xml:space="preserve"> para fortalecer la transparencia, la rendición de cuentas y el acceso a la información pública.</w:t>
      </w:r>
    </w:p>
    <w:p w14:paraId="1B58C773" w14:textId="77777777" w:rsidR="0004666C" w:rsidRPr="0097618A" w:rsidRDefault="0004666C" w:rsidP="00991DDE">
      <w:pPr>
        <w:spacing w:line="360" w:lineRule="auto"/>
      </w:pPr>
    </w:p>
    <w:p w14:paraId="1BB2B1C7" w14:textId="391C1AC6" w:rsidR="00AB2835" w:rsidRPr="0097618A" w:rsidRDefault="4D2F7A5E" w:rsidP="00991DDE">
      <w:pPr>
        <w:spacing w:line="360" w:lineRule="auto"/>
      </w:pPr>
      <w:r w:rsidRPr="0097618A">
        <w:t>E</w:t>
      </w:r>
      <w:r w:rsidR="00C273D1" w:rsidRPr="0097618A">
        <w:t>n</w:t>
      </w:r>
      <w:r w:rsidR="00EB2345" w:rsidRPr="0097618A">
        <w:t xml:space="preserve"> el mismo numeral</w:t>
      </w:r>
      <w:r w:rsidR="00C273D1" w:rsidRPr="0097618A">
        <w:t xml:space="preserve"> </w:t>
      </w:r>
      <w:r w:rsidR="000935EC" w:rsidRPr="0097618A">
        <w:t>-</w:t>
      </w:r>
      <w:r w:rsidR="00C273D1" w:rsidRPr="0097618A">
        <w:t>fracción</w:t>
      </w:r>
      <w:r w:rsidR="00C1028D" w:rsidRPr="0097618A">
        <w:t xml:space="preserve"> XIV y</w:t>
      </w:r>
      <w:r w:rsidR="00C273D1" w:rsidRPr="0097618A">
        <w:t xml:space="preserve"> XV</w:t>
      </w:r>
      <w:r w:rsidR="000935EC" w:rsidRPr="0097618A">
        <w:t>-</w:t>
      </w:r>
      <w:r w:rsidR="00136C04" w:rsidRPr="0097618A">
        <w:t>,</w:t>
      </w:r>
      <w:r w:rsidR="00EB2345" w:rsidRPr="0097618A">
        <w:t xml:space="preserve"> se encuentra previsto como atribuciones de los ayuntamiento</w:t>
      </w:r>
      <w:r w:rsidR="00C273D1" w:rsidRPr="0097618A">
        <w:t>s</w:t>
      </w:r>
      <w:r w:rsidR="00EB2345" w:rsidRPr="0097618A">
        <w:t>, el organizar, conservar y actualizar los archivos históricos municipales; así como</w:t>
      </w:r>
      <w:r w:rsidR="00C273D1" w:rsidRPr="0097618A">
        <w:t xml:space="preserve"> </w:t>
      </w:r>
      <w:r w:rsidR="00EB2345" w:rsidRPr="0097618A">
        <w:t>promover, fomentar, difundir e institucionalizar la cultura de la transparencia, acceso</w:t>
      </w:r>
      <w:r w:rsidR="00C273D1" w:rsidRPr="0097618A">
        <w:t xml:space="preserve"> </w:t>
      </w:r>
      <w:r w:rsidR="00EB2345" w:rsidRPr="0097618A">
        <w:t>a la información pública y rendición de cuentas, gobierno abierto, la participación</w:t>
      </w:r>
      <w:r w:rsidR="00C273D1" w:rsidRPr="0097618A">
        <w:t xml:space="preserve"> </w:t>
      </w:r>
      <w:r w:rsidR="00EB2345" w:rsidRPr="0097618A">
        <w:t>ciudadana, la accesibilidad y la innovación tecnológica</w:t>
      </w:r>
      <w:r w:rsidR="00C273D1" w:rsidRPr="0097618A">
        <w:t>.</w:t>
      </w:r>
    </w:p>
    <w:p w14:paraId="5BDE0325" w14:textId="77777777" w:rsidR="00C273D1" w:rsidRPr="0097618A" w:rsidRDefault="00C273D1" w:rsidP="00991DDE">
      <w:pPr>
        <w:spacing w:line="360" w:lineRule="auto"/>
      </w:pPr>
    </w:p>
    <w:p w14:paraId="51681525" w14:textId="2607EC3B" w:rsidR="00AB2835" w:rsidRPr="0097618A" w:rsidRDefault="00AB2835" w:rsidP="00991DDE">
      <w:pPr>
        <w:spacing w:line="360" w:lineRule="auto"/>
      </w:pPr>
      <w:r w:rsidRPr="0097618A">
        <w:t>Bajo esa lógica, las determinaciones vinculadas con la materia de transparencia constituyen, en principio, actos de naturaleza administrativa y organizacional derivados de la potestad autoorganizativa del órgano municipal</w:t>
      </w:r>
      <w:r w:rsidR="00136C04" w:rsidRPr="0097618A">
        <w:t xml:space="preserve"> señaladas en los citados artículos de la Ley Orgánica</w:t>
      </w:r>
      <w:r w:rsidRPr="0097618A">
        <w:t xml:space="preserve">, por lo que no toda inconformidad relacionada con dichas decisiones actualiza, por sí misma, una afectación susceptible de tutela mediante el juicio </w:t>
      </w:r>
      <w:r w:rsidR="00136C04" w:rsidRPr="0097618A">
        <w:t xml:space="preserve">de la </w:t>
      </w:r>
      <w:r w:rsidRPr="0097618A">
        <w:t>ciudadan</w:t>
      </w:r>
      <w:r w:rsidR="00136C04" w:rsidRPr="0097618A">
        <w:t>ía</w:t>
      </w:r>
      <w:r w:rsidRPr="0097618A">
        <w:t>.</w:t>
      </w:r>
    </w:p>
    <w:p w14:paraId="05C7708F" w14:textId="77777777" w:rsidR="00AB2835" w:rsidRPr="0097618A" w:rsidRDefault="00AB2835" w:rsidP="00991DDE">
      <w:pPr>
        <w:spacing w:line="360" w:lineRule="auto"/>
      </w:pPr>
    </w:p>
    <w:p w14:paraId="21000E4D" w14:textId="164B7A3D" w:rsidR="00AB2835" w:rsidRPr="0097618A" w:rsidRDefault="00AB2835" w:rsidP="00991DDE">
      <w:pPr>
        <w:spacing w:line="360" w:lineRule="auto"/>
      </w:pPr>
      <w:r w:rsidRPr="0097618A">
        <w:t xml:space="preserve">En efecto, conforme a los artículos 41 </w:t>
      </w:r>
      <w:r w:rsidR="000935EC" w:rsidRPr="0097618A">
        <w:t>-</w:t>
      </w:r>
      <w:r w:rsidRPr="0097618A">
        <w:t>Base VI</w:t>
      </w:r>
      <w:r w:rsidR="005A6362" w:rsidRPr="0097618A">
        <w:t>-</w:t>
      </w:r>
      <w:r w:rsidRPr="0097618A">
        <w:t xml:space="preserve"> y 99 </w:t>
      </w:r>
      <w:r w:rsidR="005A6362" w:rsidRPr="0097618A">
        <w:t>-</w:t>
      </w:r>
      <w:r w:rsidRPr="0097618A">
        <w:t>fracción V</w:t>
      </w:r>
      <w:r w:rsidR="005A6362" w:rsidRPr="0097618A">
        <w:t>-</w:t>
      </w:r>
      <w:r w:rsidRPr="0097618A">
        <w:t xml:space="preserve"> de la Constitución Federal, así como al artículo 73 de la Ley de Justicia Electoral, la jurisdicción electoral tutela exclusivamente actos y resoluciones que </w:t>
      </w:r>
      <w:r w:rsidRPr="0097618A">
        <w:rPr>
          <w:b/>
          <w:bCs/>
        </w:rPr>
        <w:t>incidan de manera directa</w:t>
      </w:r>
      <w:r w:rsidRPr="0097618A">
        <w:t xml:space="preserve"> en el ejercicio de los derechos político-electorales de la ciudadanía.</w:t>
      </w:r>
    </w:p>
    <w:p w14:paraId="628FE8AE" w14:textId="77777777" w:rsidR="009476A1" w:rsidRPr="0097618A" w:rsidRDefault="009476A1" w:rsidP="00991DDE">
      <w:pPr>
        <w:spacing w:line="360" w:lineRule="auto"/>
      </w:pPr>
    </w:p>
    <w:p w14:paraId="52E09A0F" w14:textId="230B1F89" w:rsidR="00071B53" w:rsidRPr="0097618A" w:rsidRDefault="00071B53" w:rsidP="00991DDE">
      <w:pPr>
        <w:spacing w:line="360" w:lineRule="auto"/>
      </w:pPr>
      <w:r w:rsidRPr="0082440A">
        <w:t xml:space="preserve">En </w:t>
      </w:r>
      <w:r w:rsidR="00152712" w:rsidRPr="0082440A">
        <w:t>la especie</w:t>
      </w:r>
      <w:r w:rsidRPr="0082440A">
        <w:t>, la p</w:t>
      </w:r>
      <w:r w:rsidR="009476A1" w:rsidRPr="0082440A">
        <w:t>romovente</w:t>
      </w:r>
      <w:r w:rsidRPr="0082440A">
        <w:t xml:space="preserve"> no controvierte una privación absoluta del ejercicio del cargo ni aduce una restricción que le impida desempeñar las funciones inherentes a este. Por el contrario, su pretensión se limita a cuestionar una determinación adoptada en el ámbito interno del </w:t>
      </w:r>
      <w:r w:rsidR="009476A1" w:rsidRPr="0082440A">
        <w:t xml:space="preserve">citado </w:t>
      </w:r>
      <w:r w:rsidRPr="0082440A">
        <w:t>Ayuntamiento, relacionada con aspectos administrativos y organizacionales.</w:t>
      </w:r>
    </w:p>
    <w:p w14:paraId="7ED5C864" w14:textId="77777777" w:rsidR="00071B53" w:rsidRPr="0097618A" w:rsidRDefault="00071B53" w:rsidP="00991DDE">
      <w:pPr>
        <w:spacing w:line="360" w:lineRule="auto"/>
      </w:pPr>
    </w:p>
    <w:p w14:paraId="055FA2FF" w14:textId="1DABEDF5" w:rsidR="00004EB3" w:rsidRPr="0097618A" w:rsidRDefault="00004EB3" w:rsidP="00991DDE">
      <w:pPr>
        <w:spacing w:line="360" w:lineRule="auto"/>
      </w:pPr>
      <w:r w:rsidRPr="0097618A">
        <w:t xml:space="preserve">De ahí que no resulte jurídicamente </w:t>
      </w:r>
      <w:r w:rsidRPr="0082440A">
        <w:t xml:space="preserve">viable </w:t>
      </w:r>
      <w:r w:rsidR="00873CFA" w:rsidRPr="0082440A">
        <w:t>analizar</w:t>
      </w:r>
      <w:r w:rsidR="00873CFA" w:rsidRPr="0097618A">
        <w:t xml:space="preserve"> el acto impugnado</w:t>
      </w:r>
      <w:r w:rsidRPr="0097618A">
        <w:t>, pues dicha circunstancia no genera una afectación a sus funciones, ya que, como se señaló, el acto impugnado se encuentra inmerso en aspectos relativos a la organización interna del órgano de gobierno municipal, derivados de la aprobación de realizar los actos tendentes a obtener la información cuya inexistencia fue previamente determinada.</w:t>
      </w:r>
    </w:p>
    <w:p w14:paraId="4D6F2383" w14:textId="77777777" w:rsidR="00004EB3" w:rsidRPr="0097618A" w:rsidRDefault="00004EB3" w:rsidP="00991DDE">
      <w:pPr>
        <w:spacing w:line="360" w:lineRule="auto"/>
      </w:pPr>
    </w:p>
    <w:p w14:paraId="700B76DF" w14:textId="355A315F" w:rsidR="00D63A3A" w:rsidRDefault="00CC2CF6" w:rsidP="34E05699">
      <w:pPr>
        <w:spacing w:line="360" w:lineRule="auto"/>
      </w:pPr>
      <w:r>
        <w:t>Por tanto</w:t>
      </w:r>
      <w:r w:rsidR="00AB2835" w:rsidRPr="34E05699">
        <w:t xml:space="preserve">, </w:t>
      </w:r>
      <w:r w:rsidR="00AB2835" w:rsidRPr="0082440A">
        <w:t>al advertirse únicamente una inconformidad</w:t>
      </w:r>
      <w:r w:rsidR="00AB2835" w:rsidRPr="34E05699">
        <w:t xml:space="preserve"> vinculada con la organización interna del </w:t>
      </w:r>
      <w:r w:rsidR="00A309DB" w:rsidRPr="34E05699">
        <w:t xml:space="preserve">referido </w:t>
      </w:r>
      <w:r w:rsidR="00AB2835" w:rsidRPr="34E05699">
        <w:t>Ayuntamiento</w:t>
      </w:r>
      <w:r w:rsidR="00163E86" w:rsidRPr="34E05699">
        <w:t>,</w:t>
      </w:r>
      <w:r w:rsidR="00AB2835" w:rsidRPr="34E05699">
        <w:t xml:space="preserve"> se concluye que el acto impugnado escapa del ámbito de competencia de este Tribunal Electoral</w:t>
      </w:r>
      <w:r>
        <w:t>; en consecuencia,</w:t>
      </w:r>
      <w:r w:rsidR="00FF0A95">
        <w:t xml:space="preserve"> </w:t>
      </w:r>
      <w:r w:rsidR="00D63A3A" w:rsidRPr="00D63A3A">
        <w:rPr>
          <w:b/>
          <w:bCs/>
        </w:rPr>
        <w:t>se dejan a salvo los derechos</w:t>
      </w:r>
      <w:r w:rsidR="00FF0A95">
        <w:t xml:space="preserve"> </w:t>
      </w:r>
      <w:r w:rsidR="00D63A3A" w:rsidRPr="00D63A3A">
        <w:t>de la</w:t>
      </w:r>
      <w:r w:rsidR="00FF0A95">
        <w:t xml:space="preserve"> </w:t>
      </w:r>
      <w:r w:rsidR="00FF0A95" w:rsidRPr="00FF0A95">
        <w:t>promovente</w:t>
      </w:r>
      <w:r w:rsidR="00D63A3A" w:rsidRPr="00FF0A95">
        <w:t xml:space="preserve"> </w:t>
      </w:r>
      <w:r w:rsidR="00D63A3A" w:rsidRPr="00D63A3A">
        <w:t>para que, de estimarlo, los haga valer por la vía e instancia procedente, ante las autoridades que resulten competentes y mediante los procedimientos establecidos que determinen las leyes aplicables.</w:t>
      </w:r>
    </w:p>
    <w:p w14:paraId="5D534591" w14:textId="77777777" w:rsidR="009476A1" w:rsidRPr="0097618A" w:rsidRDefault="009476A1" w:rsidP="00991DDE">
      <w:pPr>
        <w:spacing w:line="360" w:lineRule="auto"/>
      </w:pPr>
    </w:p>
    <w:p w14:paraId="774668F9" w14:textId="13E8D4C9" w:rsidR="009476A1" w:rsidRPr="0097618A" w:rsidRDefault="009476A1" w:rsidP="00991DDE">
      <w:pPr>
        <w:spacing w:line="360" w:lineRule="auto"/>
      </w:pPr>
      <w:r w:rsidRPr="0097618A">
        <w:t>Por lo expuesto y fundado, se</w:t>
      </w:r>
      <w:r w:rsidR="00EB2345" w:rsidRPr="0097618A">
        <w:t xml:space="preserve"> resuelve</w:t>
      </w:r>
      <w:r w:rsidRPr="0097618A">
        <w:t xml:space="preserve">: </w:t>
      </w:r>
    </w:p>
    <w:p w14:paraId="3F90806D" w14:textId="77777777" w:rsidR="007A5B8E" w:rsidRPr="0097618A" w:rsidRDefault="007A5B8E" w:rsidP="00991DDE">
      <w:pPr>
        <w:spacing w:line="360" w:lineRule="auto"/>
      </w:pPr>
    </w:p>
    <w:p w14:paraId="63360E05" w14:textId="3F3F1F18" w:rsidR="009476A1" w:rsidRPr="0097618A" w:rsidRDefault="009476A1" w:rsidP="00991DDE">
      <w:pPr>
        <w:pStyle w:val="Ttulo1"/>
        <w:spacing w:line="360" w:lineRule="auto"/>
      </w:pPr>
      <w:r w:rsidRPr="0097618A">
        <w:lastRenderedPageBreak/>
        <w:t>RESOLUTIVOS</w:t>
      </w:r>
    </w:p>
    <w:p w14:paraId="2BC4AF82" w14:textId="77777777" w:rsidR="009476A1" w:rsidRPr="0097618A" w:rsidRDefault="009476A1" w:rsidP="00991DDE">
      <w:pPr>
        <w:spacing w:line="360" w:lineRule="auto"/>
      </w:pPr>
    </w:p>
    <w:p w14:paraId="62BCABFF" w14:textId="335F7AA7" w:rsidR="009476A1" w:rsidRPr="0097618A" w:rsidRDefault="009476A1" w:rsidP="00991DDE">
      <w:pPr>
        <w:spacing w:line="360" w:lineRule="auto"/>
        <w:rPr>
          <w:bCs/>
        </w:rPr>
      </w:pPr>
      <w:r w:rsidRPr="0097618A">
        <w:rPr>
          <w:b/>
          <w:bCs/>
        </w:rPr>
        <w:t>ÚNICO.</w:t>
      </w:r>
      <w:r w:rsidR="007A5B8E" w:rsidRPr="0097618A">
        <w:t xml:space="preserve"> </w:t>
      </w:r>
      <w:r w:rsidRPr="0097618A">
        <w:rPr>
          <w:bCs/>
        </w:rPr>
        <w:t xml:space="preserve">Este </w:t>
      </w:r>
      <w:r w:rsidRPr="0097618A">
        <w:t>Tribunal Electoral es materialmente incompetente para</w:t>
      </w:r>
      <w:r w:rsidR="007A5B8E" w:rsidRPr="0097618A">
        <w:t xml:space="preserve"> </w:t>
      </w:r>
      <w:r w:rsidRPr="0097618A">
        <w:t>resolver el fondo del presente medio de impugnación.</w:t>
      </w:r>
    </w:p>
    <w:p w14:paraId="6EFC273D" w14:textId="77777777" w:rsidR="009476A1" w:rsidRPr="0097618A" w:rsidRDefault="009476A1" w:rsidP="00991DDE">
      <w:pPr>
        <w:spacing w:line="360" w:lineRule="auto"/>
      </w:pPr>
    </w:p>
    <w:p w14:paraId="7B1F4979" w14:textId="4DE503C0" w:rsidR="009476A1" w:rsidRPr="0097618A" w:rsidRDefault="00F066B0" w:rsidP="004872F3">
      <w:pPr>
        <w:spacing w:line="276" w:lineRule="auto"/>
      </w:pPr>
      <w:r w:rsidRPr="0097618A">
        <w:rPr>
          <w:b/>
          <w:bCs/>
        </w:rPr>
        <w:t>NOTIFÍQUESE.</w:t>
      </w:r>
      <w:r w:rsidRPr="0097618A">
        <w:t xml:space="preserve"> </w:t>
      </w:r>
      <w:r w:rsidR="009476A1" w:rsidRPr="0097618A">
        <w:rPr>
          <w:b/>
          <w:bCs/>
        </w:rPr>
        <w:t>Personalmente</w:t>
      </w:r>
      <w:r w:rsidR="009476A1" w:rsidRPr="0097618A">
        <w:t xml:space="preserve"> a la parte actora; </w:t>
      </w:r>
      <w:r w:rsidR="009476A1" w:rsidRPr="0097618A">
        <w:rPr>
          <w:b/>
          <w:bCs/>
        </w:rPr>
        <w:t>por oficio</w:t>
      </w:r>
      <w:r w:rsidR="009476A1" w:rsidRPr="0097618A">
        <w:t xml:space="preserve"> </w:t>
      </w:r>
      <w:r w:rsidR="009476A1" w:rsidRPr="0097618A">
        <w:rPr>
          <w:bCs/>
        </w:rPr>
        <w:t>a</w:t>
      </w:r>
      <w:r w:rsidR="00EB2345" w:rsidRPr="0097618A">
        <w:rPr>
          <w:bCs/>
        </w:rPr>
        <w:t xml:space="preserve"> la autoridad responsable</w:t>
      </w:r>
      <w:r w:rsidR="009476A1" w:rsidRPr="0097618A">
        <w:t xml:space="preserve">; y, </w:t>
      </w:r>
      <w:r w:rsidR="009476A1" w:rsidRPr="0097618A">
        <w:rPr>
          <w:b/>
          <w:bCs/>
        </w:rPr>
        <w:t>por estrados</w:t>
      </w:r>
      <w:r w:rsidR="009476A1" w:rsidRPr="0097618A">
        <w:t>, a los demás interesados.</w:t>
      </w:r>
      <w:r w:rsidR="00E20BBA" w:rsidRPr="0097618A">
        <w:t xml:space="preserve"> </w:t>
      </w:r>
      <w:r w:rsidR="009476A1" w:rsidRPr="0097618A">
        <w:t xml:space="preserve">Lo anterior, con fundamento en los artículos 37 </w:t>
      </w:r>
      <w:r w:rsidR="005A6362" w:rsidRPr="0097618A">
        <w:t>-</w:t>
      </w:r>
      <w:r w:rsidR="009476A1" w:rsidRPr="0097618A">
        <w:t>fracciones I, II y III</w:t>
      </w:r>
      <w:r w:rsidR="005A6362" w:rsidRPr="0097618A">
        <w:t>-,</w:t>
      </w:r>
      <w:r w:rsidR="009476A1" w:rsidRPr="0097618A">
        <w:t xml:space="preserve"> 38 y 39 de la </w:t>
      </w:r>
      <w:r w:rsidR="009476A1" w:rsidRPr="00315D4F">
        <w:t xml:space="preserve">Ley de Justicia </w:t>
      </w:r>
      <w:r w:rsidR="00322101" w:rsidRPr="00315D4F">
        <w:t>en Materia Electoral y de Participación Ciudadana del Estado de Michoacán de Ocampo</w:t>
      </w:r>
      <w:r w:rsidR="009476A1" w:rsidRPr="0097618A">
        <w:t>; así como en los diversos 137, 139 y 140, del Reglamento Interior del Tribunal Electoral del Estado de Michoacán.</w:t>
      </w:r>
    </w:p>
    <w:p w14:paraId="10DCC432" w14:textId="77777777" w:rsidR="00B410B8" w:rsidRPr="0097618A" w:rsidRDefault="00B410B8" w:rsidP="00AD0B90">
      <w:pPr>
        <w:spacing w:line="360" w:lineRule="auto"/>
      </w:pPr>
    </w:p>
    <w:p w14:paraId="599B0B98" w14:textId="12DA2763" w:rsidR="007B578B" w:rsidRDefault="00851833" w:rsidP="00AD0B90">
      <w:pPr>
        <w:spacing w:line="360" w:lineRule="auto"/>
        <w:rPr>
          <w:rFonts w:eastAsia="Calibri"/>
          <w:sz w:val="22"/>
          <w:szCs w:val="22"/>
          <w:lang w:eastAsia="en-US"/>
        </w:rPr>
      </w:pPr>
      <w:r w:rsidRPr="00851833">
        <w:rPr>
          <w:rFonts w:eastAsia="Calibri"/>
          <w:sz w:val="22"/>
          <w:szCs w:val="22"/>
          <w:lang w:eastAsia="en-US"/>
        </w:rPr>
        <w:t xml:space="preserve">Así, en sesión pública celebrada el día de hoy, a las </w:t>
      </w:r>
      <w:r>
        <w:rPr>
          <w:rFonts w:eastAsia="Calibri"/>
          <w:sz w:val="22"/>
          <w:szCs w:val="22"/>
          <w:lang w:eastAsia="en-US"/>
        </w:rPr>
        <w:t>diez</w:t>
      </w:r>
      <w:r w:rsidRPr="00851833">
        <w:rPr>
          <w:rFonts w:eastAsia="Calibri"/>
          <w:sz w:val="22"/>
          <w:szCs w:val="22"/>
          <w:lang w:eastAsia="en-US"/>
        </w:rPr>
        <w:t xml:space="preserve"> horas con </w:t>
      </w:r>
      <w:r>
        <w:rPr>
          <w:rFonts w:eastAsia="Calibri"/>
          <w:sz w:val="22"/>
          <w:szCs w:val="22"/>
          <w:lang w:eastAsia="en-US"/>
        </w:rPr>
        <w:t>dieciséis</w:t>
      </w:r>
      <w:r w:rsidRPr="00851833">
        <w:rPr>
          <w:rFonts w:eastAsia="Calibri"/>
          <w:sz w:val="22"/>
          <w:szCs w:val="22"/>
          <w:lang w:eastAsia="en-US"/>
        </w:rPr>
        <w:t xml:space="preserve"> minutos, por unanimidad de votos, lo resolvieron y firman las Magistraturas integrantes del Pleno del Tribunal Electoral del Estado, la Magistrada Presidenta Amelí Gissel Navarro Lepe, las Magistradas </w:t>
      </w:r>
      <w:proofErr w:type="spellStart"/>
      <w:r w:rsidRPr="00851833">
        <w:rPr>
          <w:rFonts w:eastAsia="Calibri"/>
          <w:sz w:val="22"/>
          <w:szCs w:val="22"/>
          <w:lang w:eastAsia="en-US"/>
        </w:rPr>
        <w:t>Yurisha</w:t>
      </w:r>
      <w:proofErr w:type="spellEnd"/>
      <w:r w:rsidRPr="00851833">
        <w:rPr>
          <w:rFonts w:eastAsia="Calibri"/>
          <w:sz w:val="22"/>
          <w:szCs w:val="22"/>
          <w:lang w:eastAsia="en-US"/>
        </w:rPr>
        <w:t xml:space="preserve"> Andrade Morales y Alma Rosa Bahena Villalobos, así como los Magistrados Adrián</w:t>
      </w:r>
      <w:r>
        <w:rPr>
          <w:rFonts w:eastAsia="Calibri"/>
          <w:sz w:val="22"/>
          <w:szCs w:val="22"/>
          <w:lang w:eastAsia="en-US"/>
        </w:rPr>
        <w:t xml:space="preserve"> </w:t>
      </w:r>
      <w:r w:rsidRPr="00851833">
        <w:rPr>
          <w:rFonts w:eastAsia="Calibri"/>
          <w:sz w:val="22"/>
          <w:szCs w:val="22"/>
          <w:lang w:eastAsia="en-US"/>
        </w:rPr>
        <w:t>Hernández Pinedo y Eric López Villaseñor</w:t>
      </w:r>
      <w:r>
        <w:rPr>
          <w:rFonts w:eastAsia="Calibri"/>
          <w:sz w:val="22"/>
          <w:szCs w:val="22"/>
          <w:lang w:eastAsia="en-US"/>
        </w:rPr>
        <w:t xml:space="preserve"> </w:t>
      </w:r>
      <w:r w:rsidRPr="00851833">
        <w:rPr>
          <w:rFonts w:eastAsia="Calibri"/>
          <w:sz w:val="22"/>
          <w:szCs w:val="22"/>
          <w:lang w:eastAsia="en-US"/>
        </w:rPr>
        <w:t>-quien fue ponente-, ante el Secretario General de Acuerdos, Víctor Hugo Arroyo Sandoval, quien autoriza y da fe.</w:t>
      </w:r>
    </w:p>
    <w:p w14:paraId="6CAD998F" w14:textId="77777777" w:rsidR="00851833" w:rsidRDefault="00851833" w:rsidP="00AD0B90">
      <w:pPr>
        <w:spacing w:line="360" w:lineRule="auto"/>
      </w:pPr>
    </w:p>
    <w:p w14:paraId="5DC4FACE" w14:textId="77777777" w:rsidR="00F3670F" w:rsidRDefault="00F3670F" w:rsidP="00AD0B90">
      <w:pPr>
        <w:spacing w:line="360" w:lineRule="auto"/>
      </w:pPr>
    </w:p>
    <w:p w14:paraId="4318E52B" w14:textId="77777777" w:rsidR="00F3670F" w:rsidRPr="0097618A" w:rsidRDefault="00F3670F" w:rsidP="00AD0B90">
      <w:pPr>
        <w:spacing w:line="360" w:lineRule="auto"/>
      </w:pPr>
    </w:p>
    <w:tbl>
      <w:tblPr>
        <w:tblW w:w="8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2"/>
        <w:gridCol w:w="4232"/>
      </w:tblGrid>
      <w:tr w:rsidR="0034748E" w:rsidRPr="0097618A" w14:paraId="13F7F110" w14:textId="77777777" w:rsidTr="004872F3">
        <w:trPr>
          <w:trHeight w:val="300"/>
          <w:jc w:val="center"/>
        </w:trPr>
        <w:tc>
          <w:tcPr>
            <w:tcW w:w="8364" w:type="dxa"/>
            <w:gridSpan w:val="2"/>
            <w:tcBorders>
              <w:top w:val="nil"/>
              <w:left w:val="nil"/>
              <w:bottom w:val="nil"/>
              <w:right w:val="nil"/>
            </w:tcBorders>
            <w:vAlign w:val="center"/>
            <w:hideMark/>
          </w:tcPr>
          <w:p w14:paraId="4A6BD87A" w14:textId="77777777" w:rsidR="0034748E" w:rsidRPr="0097618A" w:rsidRDefault="0034748E" w:rsidP="004872F3">
            <w:pPr>
              <w:pStyle w:val="TABLA"/>
              <w:rPr>
                <w:lang w:val="it-IT"/>
              </w:rPr>
            </w:pPr>
            <w:r w:rsidRPr="0097618A">
              <w:rPr>
                <w:lang w:val="it-IT"/>
              </w:rPr>
              <w:t>MAGISTRADA PRESIDENTA</w:t>
            </w:r>
          </w:p>
          <w:p w14:paraId="265CAEFE" w14:textId="77777777" w:rsidR="0034748E" w:rsidRPr="0097618A" w:rsidRDefault="0034748E" w:rsidP="004872F3">
            <w:pPr>
              <w:pStyle w:val="TABLA"/>
            </w:pPr>
          </w:p>
          <w:p w14:paraId="4CB2049D" w14:textId="77777777" w:rsidR="0034748E" w:rsidRPr="0097618A" w:rsidRDefault="0034748E" w:rsidP="004872F3">
            <w:pPr>
              <w:pStyle w:val="TABLA"/>
            </w:pPr>
          </w:p>
          <w:p w14:paraId="6467D9AB" w14:textId="77777777" w:rsidR="0034748E" w:rsidRPr="0097618A" w:rsidRDefault="0034748E" w:rsidP="004872F3">
            <w:pPr>
              <w:pStyle w:val="TABLA"/>
            </w:pPr>
          </w:p>
          <w:p w14:paraId="2D7A6770" w14:textId="77777777" w:rsidR="00AD0B90" w:rsidRPr="0097618A" w:rsidRDefault="00AD0B90" w:rsidP="004872F3">
            <w:pPr>
              <w:pStyle w:val="TABLA"/>
            </w:pPr>
          </w:p>
          <w:p w14:paraId="183E89C1" w14:textId="77777777" w:rsidR="0034748E" w:rsidRPr="0097618A" w:rsidRDefault="0034748E" w:rsidP="004872F3">
            <w:pPr>
              <w:pStyle w:val="TABLA"/>
            </w:pPr>
          </w:p>
          <w:p w14:paraId="01820DF7" w14:textId="77777777" w:rsidR="0034748E" w:rsidRDefault="0034748E" w:rsidP="004872F3">
            <w:pPr>
              <w:pStyle w:val="TABLA"/>
              <w:rPr>
                <w:lang w:val="it-IT"/>
              </w:rPr>
            </w:pPr>
            <w:r w:rsidRPr="0097618A">
              <w:rPr>
                <w:lang w:val="it-IT"/>
              </w:rPr>
              <w:t>AMELÍ GISSEL NAVARRO LEPE</w:t>
            </w:r>
          </w:p>
          <w:p w14:paraId="437C2D7F" w14:textId="77777777" w:rsidR="00851833" w:rsidRDefault="00851833" w:rsidP="004872F3">
            <w:pPr>
              <w:pStyle w:val="TABLA"/>
              <w:rPr>
                <w:lang w:val="it-IT"/>
              </w:rPr>
            </w:pPr>
          </w:p>
          <w:p w14:paraId="32377107" w14:textId="77777777" w:rsidR="00851833" w:rsidRPr="0097618A" w:rsidRDefault="00851833" w:rsidP="004872F3">
            <w:pPr>
              <w:pStyle w:val="TABLA"/>
              <w:rPr>
                <w:lang w:val="it-IT"/>
              </w:rPr>
            </w:pPr>
          </w:p>
        </w:tc>
      </w:tr>
      <w:tr w:rsidR="0034748E" w:rsidRPr="0097618A" w14:paraId="107B09C0" w14:textId="77777777" w:rsidTr="004872F3">
        <w:trPr>
          <w:trHeight w:val="300"/>
          <w:jc w:val="center"/>
        </w:trPr>
        <w:tc>
          <w:tcPr>
            <w:tcW w:w="4132" w:type="dxa"/>
            <w:tcBorders>
              <w:top w:val="nil"/>
              <w:left w:val="nil"/>
              <w:bottom w:val="nil"/>
              <w:right w:val="nil"/>
            </w:tcBorders>
            <w:vAlign w:val="center"/>
            <w:hideMark/>
          </w:tcPr>
          <w:p w14:paraId="37C92C36" w14:textId="77777777" w:rsidR="0034748E" w:rsidRDefault="0034748E" w:rsidP="004872F3">
            <w:pPr>
              <w:pStyle w:val="TABLA"/>
            </w:pPr>
          </w:p>
          <w:p w14:paraId="37C2F958" w14:textId="77777777" w:rsidR="00F3670F" w:rsidRDefault="00F3670F" w:rsidP="004872F3">
            <w:pPr>
              <w:pStyle w:val="TABLA"/>
            </w:pPr>
          </w:p>
          <w:p w14:paraId="1533160F" w14:textId="77777777" w:rsidR="00F3670F" w:rsidRDefault="00F3670F" w:rsidP="004872F3">
            <w:pPr>
              <w:pStyle w:val="TABLA"/>
            </w:pPr>
          </w:p>
          <w:p w14:paraId="4FB6D5D5" w14:textId="77777777" w:rsidR="00F3670F" w:rsidRPr="0097618A" w:rsidRDefault="00F3670F" w:rsidP="004872F3">
            <w:pPr>
              <w:pStyle w:val="TABLA"/>
            </w:pPr>
          </w:p>
          <w:p w14:paraId="3BB1D63B" w14:textId="688B21BE" w:rsidR="0034748E" w:rsidRPr="0097618A" w:rsidRDefault="00CC7950" w:rsidP="004872F3">
            <w:pPr>
              <w:pStyle w:val="TABLA"/>
              <w:rPr>
                <w:lang w:val="en-US"/>
              </w:rPr>
            </w:pPr>
            <w:r w:rsidRPr="0097618A">
              <w:rPr>
                <w:lang w:val="en-US"/>
              </w:rPr>
              <w:t>MAGISTRADA</w:t>
            </w:r>
          </w:p>
          <w:p w14:paraId="30745B45" w14:textId="77777777" w:rsidR="0034748E" w:rsidRPr="0097618A" w:rsidRDefault="0034748E" w:rsidP="004872F3">
            <w:pPr>
              <w:pStyle w:val="TABLA"/>
              <w:rPr>
                <w:lang w:val="en-US"/>
              </w:rPr>
            </w:pPr>
          </w:p>
          <w:p w14:paraId="7ADE24A1" w14:textId="77777777" w:rsidR="0034748E" w:rsidRPr="0097618A" w:rsidRDefault="0034748E" w:rsidP="004872F3">
            <w:pPr>
              <w:pStyle w:val="TABLA"/>
              <w:rPr>
                <w:lang w:val="en-US"/>
              </w:rPr>
            </w:pPr>
          </w:p>
          <w:p w14:paraId="4D7C71FA" w14:textId="77777777" w:rsidR="0034748E" w:rsidRPr="0097618A" w:rsidRDefault="0034748E" w:rsidP="004872F3">
            <w:pPr>
              <w:pStyle w:val="TABLA"/>
              <w:rPr>
                <w:lang w:val="en-US"/>
              </w:rPr>
            </w:pPr>
          </w:p>
          <w:p w14:paraId="420EFFA7" w14:textId="77777777" w:rsidR="00AD0B90" w:rsidRPr="0097618A" w:rsidRDefault="00AD0B90" w:rsidP="004872F3">
            <w:pPr>
              <w:pStyle w:val="TABLA"/>
              <w:rPr>
                <w:lang w:val="en-US"/>
              </w:rPr>
            </w:pPr>
          </w:p>
          <w:p w14:paraId="3A2D7111" w14:textId="77777777" w:rsidR="0034748E" w:rsidRPr="0097618A" w:rsidRDefault="0034748E" w:rsidP="004872F3">
            <w:pPr>
              <w:pStyle w:val="TABLA"/>
              <w:rPr>
                <w:lang w:val="en-US"/>
              </w:rPr>
            </w:pPr>
          </w:p>
          <w:p w14:paraId="7C576C91" w14:textId="77777777" w:rsidR="0034748E" w:rsidRPr="0097618A" w:rsidRDefault="0034748E" w:rsidP="004872F3">
            <w:pPr>
              <w:pStyle w:val="TABLA"/>
              <w:rPr>
                <w:lang w:val="en-US"/>
              </w:rPr>
            </w:pPr>
            <w:r w:rsidRPr="0097618A">
              <w:rPr>
                <w:lang w:val="en-US"/>
              </w:rPr>
              <w:t>YURISHA ANDRADE MORALES</w:t>
            </w:r>
          </w:p>
        </w:tc>
        <w:tc>
          <w:tcPr>
            <w:tcW w:w="4232" w:type="dxa"/>
            <w:tcBorders>
              <w:top w:val="nil"/>
              <w:left w:val="nil"/>
              <w:bottom w:val="nil"/>
              <w:right w:val="nil"/>
            </w:tcBorders>
            <w:vAlign w:val="center"/>
            <w:hideMark/>
          </w:tcPr>
          <w:p w14:paraId="5911AD8B" w14:textId="77777777" w:rsidR="00914933" w:rsidRDefault="00914933" w:rsidP="004872F3">
            <w:pPr>
              <w:pStyle w:val="TABLA"/>
            </w:pPr>
          </w:p>
          <w:p w14:paraId="1AC9F683" w14:textId="77777777" w:rsidR="00F3670F" w:rsidRDefault="00F3670F" w:rsidP="004872F3">
            <w:pPr>
              <w:pStyle w:val="TABLA"/>
            </w:pPr>
          </w:p>
          <w:p w14:paraId="719EEDB2" w14:textId="77777777" w:rsidR="00F3670F" w:rsidRPr="0097618A" w:rsidRDefault="00F3670F" w:rsidP="004872F3">
            <w:pPr>
              <w:pStyle w:val="TABLA"/>
            </w:pPr>
          </w:p>
          <w:p w14:paraId="248A645B" w14:textId="77777777" w:rsidR="00F3670F" w:rsidRDefault="00F3670F" w:rsidP="004872F3">
            <w:pPr>
              <w:pStyle w:val="TABLA"/>
            </w:pPr>
          </w:p>
          <w:p w14:paraId="7666A93D" w14:textId="09DDFEF3" w:rsidR="0034748E" w:rsidRPr="0097618A" w:rsidRDefault="00CC7950" w:rsidP="004872F3">
            <w:pPr>
              <w:pStyle w:val="TABLA"/>
            </w:pPr>
            <w:r w:rsidRPr="0097618A">
              <w:t>MAGISTRADA</w:t>
            </w:r>
          </w:p>
          <w:p w14:paraId="5B77773A" w14:textId="77777777" w:rsidR="0034748E" w:rsidRPr="0097618A" w:rsidRDefault="0034748E" w:rsidP="004872F3">
            <w:pPr>
              <w:pStyle w:val="TABLA"/>
            </w:pPr>
          </w:p>
          <w:p w14:paraId="1125E5D5" w14:textId="77777777" w:rsidR="0034748E" w:rsidRPr="0097618A" w:rsidRDefault="0034748E" w:rsidP="004872F3">
            <w:pPr>
              <w:pStyle w:val="TABLA"/>
            </w:pPr>
          </w:p>
          <w:p w14:paraId="48D29C66" w14:textId="77777777" w:rsidR="00AD0B90" w:rsidRPr="0097618A" w:rsidRDefault="00AD0B90" w:rsidP="004872F3">
            <w:pPr>
              <w:pStyle w:val="TABLA"/>
            </w:pPr>
          </w:p>
          <w:p w14:paraId="3690979B" w14:textId="77777777" w:rsidR="0034748E" w:rsidRPr="0097618A" w:rsidRDefault="0034748E" w:rsidP="004872F3">
            <w:pPr>
              <w:pStyle w:val="TABLA"/>
            </w:pPr>
          </w:p>
          <w:p w14:paraId="0B16EF10" w14:textId="77777777" w:rsidR="00F3670F" w:rsidRDefault="00F3670F" w:rsidP="004872F3">
            <w:pPr>
              <w:pStyle w:val="TABLA"/>
              <w:rPr>
                <w:lang w:val="es-ES"/>
              </w:rPr>
            </w:pPr>
          </w:p>
          <w:p w14:paraId="6414E3FB" w14:textId="68D694CA" w:rsidR="0034748E" w:rsidRPr="0097618A" w:rsidRDefault="0034748E" w:rsidP="004872F3">
            <w:pPr>
              <w:pStyle w:val="TABLA"/>
              <w:rPr>
                <w:lang w:val="es-ES"/>
              </w:rPr>
            </w:pPr>
            <w:r w:rsidRPr="0097618A">
              <w:rPr>
                <w:lang w:val="es-ES"/>
              </w:rPr>
              <w:t>ALMA ROSA BAHENA VILLALOBOS</w:t>
            </w:r>
          </w:p>
        </w:tc>
      </w:tr>
      <w:tr w:rsidR="00851833" w:rsidRPr="0097618A" w14:paraId="12EC02AF" w14:textId="77777777" w:rsidTr="004872F3">
        <w:trPr>
          <w:trHeight w:val="300"/>
          <w:jc w:val="center"/>
        </w:trPr>
        <w:tc>
          <w:tcPr>
            <w:tcW w:w="4132" w:type="dxa"/>
            <w:tcBorders>
              <w:top w:val="nil"/>
              <w:left w:val="nil"/>
              <w:bottom w:val="nil"/>
              <w:right w:val="nil"/>
            </w:tcBorders>
            <w:vAlign w:val="center"/>
          </w:tcPr>
          <w:p w14:paraId="55D7F304" w14:textId="77777777" w:rsidR="00851833" w:rsidRDefault="00851833" w:rsidP="004872F3">
            <w:pPr>
              <w:pStyle w:val="TABLA"/>
            </w:pPr>
          </w:p>
          <w:p w14:paraId="777245A0" w14:textId="77777777" w:rsidR="00851833" w:rsidRPr="0097618A" w:rsidRDefault="00851833" w:rsidP="004872F3">
            <w:pPr>
              <w:pStyle w:val="TABLA"/>
            </w:pPr>
          </w:p>
        </w:tc>
        <w:tc>
          <w:tcPr>
            <w:tcW w:w="4232" w:type="dxa"/>
            <w:tcBorders>
              <w:top w:val="nil"/>
              <w:left w:val="nil"/>
              <w:bottom w:val="nil"/>
              <w:right w:val="nil"/>
            </w:tcBorders>
            <w:vAlign w:val="center"/>
          </w:tcPr>
          <w:p w14:paraId="75E5FB71" w14:textId="77777777" w:rsidR="00851833" w:rsidRPr="0097618A" w:rsidRDefault="00851833" w:rsidP="004872F3">
            <w:pPr>
              <w:pStyle w:val="TABLA"/>
            </w:pPr>
          </w:p>
        </w:tc>
      </w:tr>
      <w:tr w:rsidR="0034748E" w:rsidRPr="0097618A" w14:paraId="0DA949AB" w14:textId="77777777" w:rsidTr="004872F3">
        <w:trPr>
          <w:trHeight w:val="300"/>
          <w:jc w:val="center"/>
        </w:trPr>
        <w:tc>
          <w:tcPr>
            <w:tcW w:w="4132" w:type="dxa"/>
            <w:tcBorders>
              <w:top w:val="nil"/>
              <w:left w:val="nil"/>
              <w:bottom w:val="nil"/>
              <w:right w:val="nil"/>
            </w:tcBorders>
            <w:vAlign w:val="center"/>
            <w:hideMark/>
          </w:tcPr>
          <w:p w14:paraId="04ECFDA1" w14:textId="77777777" w:rsidR="00914933" w:rsidRDefault="00914933" w:rsidP="004872F3">
            <w:pPr>
              <w:pStyle w:val="TABLA"/>
            </w:pPr>
          </w:p>
          <w:p w14:paraId="387F173A" w14:textId="77777777" w:rsidR="00F3670F" w:rsidRDefault="00F3670F" w:rsidP="004872F3">
            <w:pPr>
              <w:pStyle w:val="TABLA"/>
            </w:pPr>
          </w:p>
          <w:p w14:paraId="6E322246" w14:textId="77777777" w:rsidR="00F3670F" w:rsidRDefault="00F3670F" w:rsidP="004872F3">
            <w:pPr>
              <w:pStyle w:val="TABLA"/>
            </w:pPr>
          </w:p>
          <w:p w14:paraId="56338DB4" w14:textId="77777777" w:rsidR="00F3670F" w:rsidRDefault="00F3670F" w:rsidP="004872F3">
            <w:pPr>
              <w:pStyle w:val="TABLA"/>
            </w:pPr>
          </w:p>
          <w:p w14:paraId="53551AE3" w14:textId="77777777" w:rsidR="00F3670F" w:rsidRDefault="00F3670F" w:rsidP="004872F3">
            <w:pPr>
              <w:pStyle w:val="TABLA"/>
            </w:pPr>
          </w:p>
          <w:p w14:paraId="1AF950C6" w14:textId="77777777" w:rsidR="00F3670F" w:rsidRDefault="00F3670F" w:rsidP="004872F3">
            <w:pPr>
              <w:pStyle w:val="TABLA"/>
            </w:pPr>
          </w:p>
          <w:p w14:paraId="339B583D" w14:textId="77777777" w:rsidR="00F3670F" w:rsidRPr="0097618A" w:rsidRDefault="00F3670F" w:rsidP="004872F3">
            <w:pPr>
              <w:pStyle w:val="TABLA"/>
            </w:pPr>
          </w:p>
          <w:p w14:paraId="6DC67CBD" w14:textId="044A2DCC" w:rsidR="0034748E" w:rsidRPr="0097618A" w:rsidRDefault="00CC7950" w:rsidP="004872F3">
            <w:pPr>
              <w:pStyle w:val="TABLA"/>
              <w:rPr>
                <w:lang w:val="en-US"/>
              </w:rPr>
            </w:pPr>
            <w:r w:rsidRPr="0097618A">
              <w:rPr>
                <w:lang w:val="en-US"/>
              </w:rPr>
              <w:t>MAGISTRADO</w:t>
            </w:r>
          </w:p>
          <w:p w14:paraId="72AC521F" w14:textId="77777777" w:rsidR="0034748E" w:rsidRPr="0097618A" w:rsidRDefault="0034748E" w:rsidP="004872F3">
            <w:pPr>
              <w:pStyle w:val="TABLA"/>
              <w:rPr>
                <w:lang w:val="en-US"/>
              </w:rPr>
            </w:pPr>
          </w:p>
          <w:p w14:paraId="57D76C04" w14:textId="77777777" w:rsidR="0034748E" w:rsidRPr="0097618A" w:rsidRDefault="0034748E" w:rsidP="004872F3">
            <w:pPr>
              <w:pStyle w:val="TABLA"/>
              <w:rPr>
                <w:lang w:val="en-US"/>
              </w:rPr>
            </w:pPr>
          </w:p>
          <w:p w14:paraId="076AC536" w14:textId="77777777" w:rsidR="0034748E" w:rsidRPr="0097618A" w:rsidRDefault="0034748E" w:rsidP="004872F3">
            <w:pPr>
              <w:pStyle w:val="TABLA"/>
              <w:rPr>
                <w:lang w:val="en-US"/>
              </w:rPr>
            </w:pPr>
          </w:p>
          <w:p w14:paraId="6F7A54ED" w14:textId="77777777" w:rsidR="00AD0B90" w:rsidRPr="0097618A" w:rsidRDefault="00AD0B90" w:rsidP="004872F3">
            <w:pPr>
              <w:pStyle w:val="TABLA"/>
              <w:rPr>
                <w:lang w:val="en-US"/>
              </w:rPr>
            </w:pPr>
          </w:p>
          <w:p w14:paraId="261C617D" w14:textId="77777777" w:rsidR="0034748E" w:rsidRPr="0097618A" w:rsidRDefault="0034748E" w:rsidP="004872F3">
            <w:pPr>
              <w:pStyle w:val="TABLA"/>
              <w:rPr>
                <w:lang w:val="en-US"/>
              </w:rPr>
            </w:pPr>
          </w:p>
          <w:p w14:paraId="29D4CD15" w14:textId="77777777" w:rsidR="0034748E" w:rsidRPr="0097618A" w:rsidRDefault="0034748E" w:rsidP="004872F3">
            <w:pPr>
              <w:pStyle w:val="TABLA"/>
              <w:rPr>
                <w:lang w:val="es-ES"/>
              </w:rPr>
            </w:pPr>
            <w:r w:rsidRPr="0097618A">
              <w:rPr>
                <w:lang w:val="es-ES"/>
              </w:rPr>
              <w:t>ADRIÁN HERNÁNDEZ PINEDO</w:t>
            </w:r>
          </w:p>
        </w:tc>
        <w:tc>
          <w:tcPr>
            <w:tcW w:w="4232" w:type="dxa"/>
            <w:tcBorders>
              <w:top w:val="nil"/>
              <w:left w:val="nil"/>
              <w:bottom w:val="nil"/>
              <w:right w:val="nil"/>
            </w:tcBorders>
            <w:vAlign w:val="center"/>
            <w:hideMark/>
          </w:tcPr>
          <w:p w14:paraId="46D3BDBD" w14:textId="77777777" w:rsidR="00914933" w:rsidRDefault="00914933" w:rsidP="004872F3">
            <w:pPr>
              <w:pStyle w:val="TABLA"/>
            </w:pPr>
          </w:p>
          <w:p w14:paraId="118EBC9C" w14:textId="77777777" w:rsidR="00F3670F" w:rsidRDefault="00F3670F" w:rsidP="004872F3">
            <w:pPr>
              <w:pStyle w:val="TABLA"/>
            </w:pPr>
          </w:p>
          <w:p w14:paraId="3E76B553" w14:textId="77777777" w:rsidR="00F3670F" w:rsidRDefault="00F3670F" w:rsidP="004872F3">
            <w:pPr>
              <w:pStyle w:val="TABLA"/>
            </w:pPr>
          </w:p>
          <w:p w14:paraId="6CF9905C" w14:textId="77777777" w:rsidR="00F3670F" w:rsidRDefault="00F3670F" w:rsidP="004872F3">
            <w:pPr>
              <w:pStyle w:val="TABLA"/>
            </w:pPr>
          </w:p>
          <w:p w14:paraId="28F88EEA" w14:textId="77777777" w:rsidR="00F3670F" w:rsidRDefault="00F3670F" w:rsidP="004872F3">
            <w:pPr>
              <w:pStyle w:val="TABLA"/>
            </w:pPr>
          </w:p>
          <w:p w14:paraId="32ED9D6F" w14:textId="77777777" w:rsidR="00F3670F" w:rsidRDefault="00F3670F" w:rsidP="004872F3">
            <w:pPr>
              <w:pStyle w:val="TABLA"/>
            </w:pPr>
          </w:p>
          <w:p w14:paraId="7E6DDFDD" w14:textId="77777777" w:rsidR="00F3670F" w:rsidRPr="0097618A" w:rsidRDefault="00F3670F" w:rsidP="004872F3">
            <w:pPr>
              <w:pStyle w:val="TABLA"/>
            </w:pPr>
          </w:p>
          <w:p w14:paraId="52C5B8DC" w14:textId="34EBCE03" w:rsidR="0034748E" w:rsidRPr="0097618A" w:rsidRDefault="00CC7950" w:rsidP="004872F3">
            <w:pPr>
              <w:pStyle w:val="TABLA"/>
            </w:pPr>
            <w:r w:rsidRPr="0097618A">
              <w:t>MAGISTRADO</w:t>
            </w:r>
          </w:p>
          <w:p w14:paraId="0651A87E" w14:textId="77777777" w:rsidR="0034748E" w:rsidRPr="0097618A" w:rsidRDefault="0034748E" w:rsidP="004872F3">
            <w:pPr>
              <w:pStyle w:val="TABLA"/>
            </w:pPr>
          </w:p>
          <w:p w14:paraId="05B991B7" w14:textId="77777777" w:rsidR="0034748E" w:rsidRPr="0097618A" w:rsidRDefault="0034748E" w:rsidP="004872F3">
            <w:pPr>
              <w:pStyle w:val="TABLA"/>
            </w:pPr>
          </w:p>
          <w:p w14:paraId="2E9788E7" w14:textId="77777777" w:rsidR="00AD0B90" w:rsidRPr="0097618A" w:rsidRDefault="00AD0B90" w:rsidP="004872F3">
            <w:pPr>
              <w:pStyle w:val="TABLA"/>
            </w:pPr>
          </w:p>
          <w:p w14:paraId="1A0D90F7" w14:textId="77777777" w:rsidR="0034748E" w:rsidRPr="0097618A" w:rsidRDefault="0034748E" w:rsidP="004872F3">
            <w:pPr>
              <w:pStyle w:val="TABLA"/>
            </w:pPr>
          </w:p>
          <w:p w14:paraId="157F0EA1" w14:textId="77777777" w:rsidR="0034748E" w:rsidRPr="0097618A" w:rsidRDefault="0034748E" w:rsidP="004872F3">
            <w:pPr>
              <w:pStyle w:val="TABLA"/>
            </w:pPr>
          </w:p>
          <w:p w14:paraId="0FFBF82F" w14:textId="77777777" w:rsidR="0034748E" w:rsidRDefault="0034748E" w:rsidP="004872F3">
            <w:pPr>
              <w:pStyle w:val="TABLA"/>
              <w:rPr>
                <w:lang w:val="es-ES"/>
              </w:rPr>
            </w:pPr>
            <w:r w:rsidRPr="0097618A">
              <w:rPr>
                <w:lang w:val="es-ES"/>
              </w:rPr>
              <w:t>ERIC LÓPEZ VILLASEÑOR</w:t>
            </w:r>
          </w:p>
          <w:p w14:paraId="4660E11F" w14:textId="77777777" w:rsidR="00851833" w:rsidRPr="0097618A" w:rsidRDefault="00851833" w:rsidP="004872F3">
            <w:pPr>
              <w:pStyle w:val="TABLA"/>
              <w:rPr>
                <w:lang w:val="es-ES"/>
              </w:rPr>
            </w:pPr>
          </w:p>
        </w:tc>
      </w:tr>
      <w:tr w:rsidR="0034748E" w:rsidRPr="0097618A" w14:paraId="0CB977C8" w14:textId="77777777" w:rsidTr="004872F3">
        <w:trPr>
          <w:trHeight w:val="300"/>
          <w:jc w:val="center"/>
        </w:trPr>
        <w:tc>
          <w:tcPr>
            <w:tcW w:w="8364" w:type="dxa"/>
            <w:gridSpan w:val="2"/>
            <w:tcBorders>
              <w:top w:val="nil"/>
              <w:left w:val="nil"/>
              <w:bottom w:val="nil"/>
              <w:right w:val="nil"/>
            </w:tcBorders>
            <w:vAlign w:val="center"/>
            <w:hideMark/>
          </w:tcPr>
          <w:p w14:paraId="327BCBB6" w14:textId="77777777" w:rsidR="0034748E" w:rsidRPr="0097618A" w:rsidRDefault="0034748E" w:rsidP="004872F3">
            <w:pPr>
              <w:pStyle w:val="TABLA"/>
              <w:rPr>
                <w:lang w:val="es-ES"/>
              </w:rPr>
            </w:pPr>
          </w:p>
          <w:p w14:paraId="5654AB89" w14:textId="77777777" w:rsidR="00F3670F" w:rsidRDefault="00F3670F" w:rsidP="004872F3">
            <w:pPr>
              <w:pStyle w:val="TABLA"/>
              <w:rPr>
                <w:lang w:val="es-ES"/>
              </w:rPr>
            </w:pPr>
          </w:p>
          <w:p w14:paraId="491C0116" w14:textId="77777777" w:rsidR="00F3670F" w:rsidRDefault="00F3670F" w:rsidP="004872F3">
            <w:pPr>
              <w:pStyle w:val="TABLA"/>
              <w:rPr>
                <w:lang w:val="es-ES"/>
              </w:rPr>
            </w:pPr>
          </w:p>
          <w:p w14:paraId="299AE789" w14:textId="77777777" w:rsidR="00F3670F" w:rsidRDefault="00F3670F" w:rsidP="004872F3">
            <w:pPr>
              <w:pStyle w:val="TABLA"/>
              <w:rPr>
                <w:lang w:val="es-ES"/>
              </w:rPr>
            </w:pPr>
          </w:p>
          <w:p w14:paraId="45A4CA18" w14:textId="77777777" w:rsidR="00F3670F" w:rsidRDefault="00F3670F" w:rsidP="004872F3">
            <w:pPr>
              <w:pStyle w:val="TABLA"/>
              <w:rPr>
                <w:lang w:val="es-ES"/>
              </w:rPr>
            </w:pPr>
          </w:p>
          <w:p w14:paraId="6C58DCF7" w14:textId="77777777" w:rsidR="00F3670F" w:rsidRDefault="00F3670F" w:rsidP="004872F3">
            <w:pPr>
              <w:pStyle w:val="TABLA"/>
              <w:rPr>
                <w:lang w:val="es-ES"/>
              </w:rPr>
            </w:pPr>
          </w:p>
          <w:p w14:paraId="67D26CCE" w14:textId="5DE9C5DF" w:rsidR="0034748E" w:rsidRPr="0097618A" w:rsidRDefault="0034748E" w:rsidP="004872F3">
            <w:pPr>
              <w:pStyle w:val="TABLA"/>
              <w:rPr>
                <w:lang w:val="es-ES"/>
              </w:rPr>
            </w:pPr>
            <w:r w:rsidRPr="0097618A">
              <w:rPr>
                <w:lang w:val="es-ES"/>
              </w:rPr>
              <w:t>SECRETARIO GENERAL DE ACUERDOS</w:t>
            </w:r>
          </w:p>
          <w:p w14:paraId="0EA51BB7" w14:textId="77777777" w:rsidR="0034748E" w:rsidRPr="0097618A" w:rsidRDefault="0034748E" w:rsidP="004872F3">
            <w:pPr>
              <w:pStyle w:val="TABLA"/>
            </w:pPr>
          </w:p>
          <w:p w14:paraId="7B7364C4" w14:textId="77777777" w:rsidR="004872F3" w:rsidRPr="004872F3" w:rsidRDefault="004872F3" w:rsidP="004872F3">
            <w:pPr>
              <w:pStyle w:val="TABLA"/>
            </w:pPr>
          </w:p>
          <w:p w14:paraId="327742B0" w14:textId="77777777" w:rsidR="00AD0B90" w:rsidRDefault="00AD0B90" w:rsidP="004872F3">
            <w:pPr>
              <w:pStyle w:val="TABLA"/>
            </w:pPr>
          </w:p>
          <w:p w14:paraId="5D5943F3" w14:textId="77777777" w:rsidR="004872F3" w:rsidRPr="0097618A" w:rsidRDefault="004872F3" w:rsidP="004872F3">
            <w:pPr>
              <w:pStyle w:val="TABLA"/>
            </w:pPr>
          </w:p>
          <w:p w14:paraId="14EDBA01" w14:textId="77777777" w:rsidR="0034748E" w:rsidRPr="0097618A" w:rsidRDefault="0034748E" w:rsidP="004872F3">
            <w:pPr>
              <w:pStyle w:val="TABLA"/>
            </w:pPr>
          </w:p>
          <w:p w14:paraId="7F056325" w14:textId="77777777" w:rsidR="0034748E" w:rsidRPr="0097618A" w:rsidRDefault="0034748E" w:rsidP="004872F3">
            <w:pPr>
              <w:pStyle w:val="TABLA"/>
              <w:rPr>
                <w:lang w:val="es-ES"/>
              </w:rPr>
            </w:pPr>
            <w:r w:rsidRPr="0097618A">
              <w:rPr>
                <w:lang w:val="es-ES"/>
              </w:rPr>
              <w:t>VÍCTOR HUGO ARROYO SANDOVAL</w:t>
            </w:r>
          </w:p>
        </w:tc>
      </w:tr>
    </w:tbl>
    <w:p w14:paraId="0052E7B7" w14:textId="77777777" w:rsidR="00620E0C" w:rsidRPr="0097618A" w:rsidRDefault="00620E0C" w:rsidP="004F7588">
      <w:pPr>
        <w:spacing w:line="360" w:lineRule="auto"/>
      </w:pPr>
    </w:p>
    <w:p w14:paraId="34EB7F57" w14:textId="2E6D9A7B" w:rsidR="009476A1" w:rsidRDefault="00851833" w:rsidP="00851833">
      <w:pPr>
        <w:pStyle w:val="Sinespaciado"/>
        <w:rPr>
          <w:rFonts w:ascii="Arial Narrow" w:hAnsi="Arial Narrow"/>
          <w:sz w:val="20"/>
          <w:szCs w:val="20"/>
        </w:rPr>
      </w:pPr>
      <w:r w:rsidRPr="00851833">
        <w:rPr>
          <w:rFonts w:ascii="Arial Narrow" w:hAnsi="Arial Narrow"/>
          <w:sz w:val="20"/>
          <w:szCs w:val="20"/>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a la sentencia emitida por el Pleno del Tribunal Electoral del Estado, en sesión pública celebrada el veinti</w:t>
      </w:r>
      <w:r>
        <w:rPr>
          <w:rFonts w:ascii="Arial Narrow" w:hAnsi="Arial Narrow"/>
          <w:sz w:val="20"/>
          <w:szCs w:val="20"/>
        </w:rPr>
        <w:t>ocho</w:t>
      </w:r>
      <w:r w:rsidRPr="00851833">
        <w:rPr>
          <w:rFonts w:ascii="Arial Narrow" w:hAnsi="Arial Narrow"/>
          <w:sz w:val="20"/>
          <w:szCs w:val="20"/>
        </w:rPr>
        <w:t xml:space="preserve"> de mayo de dos mil veintiséis, en el Juicio para la Protección de los Derechos Político Electorales del Ciudadano identificado con la clave </w:t>
      </w:r>
      <w:r w:rsidRPr="00851833">
        <w:rPr>
          <w:rFonts w:ascii="Arial Narrow" w:hAnsi="Arial Narrow"/>
          <w:b/>
          <w:bCs/>
          <w:sz w:val="20"/>
          <w:szCs w:val="20"/>
        </w:rPr>
        <w:t>TEEM-JDC-037/2026</w:t>
      </w:r>
      <w:r w:rsidRPr="00851833">
        <w:rPr>
          <w:rFonts w:ascii="Arial Narrow" w:hAnsi="Arial Narrow"/>
          <w:sz w:val="20"/>
          <w:szCs w:val="20"/>
        </w:rPr>
        <w:t>; documento que consta de nueve páginas, incluida la presente; mismo que se firma de manera electrónica. Doy fe.</w:t>
      </w:r>
    </w:p>
    <w:p w14:paraId="6218040B" w14:textId="77777777" w:rsidR="00851833" w:rsidRPr="00851833" w:rsidRDefault="00851833" w:rsidP="00851833">
      <w:pPr>
        <w:pStyle w:val="Sinespaciado"/>
        <w:rPr>
          <w:rFonts w:ascii="Arial Narrow" w:hAnsi="Arial Narrow"/>
          <w:sz w:val="20"/>
          <w:szCs w:val="20"/>
        </w:rPr>
      </w:pPr>
    </w:p>
    <w:p w14:paraId="0E1245E9" w14:textId="35596419" w:rsidR="009476A1" w:rsidRPr="00851833" w:rsidRDefault="009476A1" w:rsidP="00163E86">
      <w:pPr>
        <w:pStyle w:val="Sinespaciado"/>
        <w:rPr>
          <w:rFonts w:ascii="Arial Narrow" w:hAnsi="Arial Narrow"/>
          <w:sz w:val="20"/>
          <w:szCs w:val="20"/>
        </w:rPr>
      </w:pPr>
      <w:r w:rsidRPr="00851833">
        <w:rPr>
          <w:rFonts w:ascii="Arial Narrow" w:hAnsi="Arial Narrow"/>
          <w:b/>
          <w:bCs/>
          <w:sz w:val="20"/>
          <w:szCs w:val="20"/>
        </w:rPr>
        <w:t>Este documento es una representación gráfica autorizada mediante firmas electrónicas certificadas, el cual tiene plena validez jurídica de conformidad con el numeral tercero y cuarto del</w:t>
      </w:r>
      <w:r w:rsidR="004F7588" w:rsidRPr="00851833">
        <w:rPr>
          <w:rFonts w:ascii="Arial Narrow" w:hAnsi="Arial Narrow"/>
          <w:b/>
          <w:bCs/>
          <w:sz w:val="20"/>
          <w:szCs w:val="20"/>
        </w:rPr>
        <w:t xml:space="preserve">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r w:rsidR="006631D1" w:rsidRPr="00851833">
        <w:rPr>
          <w:rFonts w:ascii="Arial Narrow" w:hAnsi="Arial Narrow"/>
          <w:sz w:val="20"/>
          <w:szCs w:val="20"/>
        </w:rPr>
        <w:t>.</w:t>
      </w:r>
    </w:p>
    <w:sectPr w:rsidR="009476A1" w:rsidRPr="00851833" w:rsidSect="00851833">
      <w:headerReference w:type="default" r:id="rId11"/>
      <w:footerReference w:type="even" r:id="rId12"/>
      <w:footerReference w:type="default" r:id="rId13"/>
      <w:headerReference w:type="first" r:id="rId14"/>
      <w:pgSz w:w="12240" w:h="18720" w:code="14"/>
      <w:pgMar w:top="1985" w:right="1134" w:bottom="1134" w:left="2835" w:header="851" w:footer="42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D9B7" w14:textId="77777777" w:rsidR="00F448F0" w:rsidRDefault="00F448F0" w:rsidP="00991DDE">
      <w:r>
        <w:separator/>
      </w:r>
    </w:p>
  </w:endnote>
  <w:endnote w:type="continuationSeparator" w:id="0">
    <w:p w14:paraId="6C6E3C6B" w14:textId="77777777" w:rsidR="00F448F0" w:rsidRDefault="00F448F0" w:rsidP="0099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9721" w14:textId="77777777" w:rsidR="007A7DD5" w:rsidRDefault="0076525F" w:rsidP="00991DDE">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14:paraId="1044759A" w14:textId="77777777" w:rsidR="007A7DD5" w:rsidRDefault="007A7DD5" w:rsidP="00991D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151256"/>
      <w:docPartObj>
        <w:docPartGallery w:val="Page Numbers (Bottom of Page)"/>
        <w:docPartUnique/>
      </w:docPartObj>
    </w:sdtPr>
    <w:sdtContent>
      <w:p w14:paraId="411461BD" w14:textId="0ABA13B0" w:rsidR="007A7DD5" w:rsidRDefault="00FD206E" w:rsidP="00063F73">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62A8" w14:textId="77777777" w:rsidR="00F448F0" w:rsidRDefault="00F448F0" w:rsidP="00991DDE">
      <w:r>
        <w:separator/>
      </w:r>
    </w:p>
  </w:footnote>
  <w:footnote w:type="continuationSeparator" w:id="0">
    <w:p w14:paraId="16F4E4A2" w14:textId="77777777" w:rsidR="00F448F0" w:rsidRDefault="00F448F0" w:rsidP="00991DDE">
      <w:r>
        <w:continuationSeparator/>
      </w:r>
    </w:p>
  </w:footnote>
  <w:footnote w:id="1">
    <w:p w14:paraId="396C1989" w14:textId="3A8DCF8A" w:rsidR="004F43AA" w:rsidRPr="00BD56C6" w:rsidRDefault="004F43AA" w:rsidP="00991DDE">
      <w:pPr>
        <w:pStyle w:val="Textonotapie"/>
      </w:pPr>
      <w:r w:rsidRPr="00BD56C6">
        <w:rPr>
          <w:rStyle w:val="Refdenotaalpie"/>
        </w:rPr>
        <w:footnoteRef/>
      </w:r>
      <w:r w:rsidRPr="00BD56C6">
        <w:t xml:space="preserve"> En adelante, </w:t>
      </w:r>
      <w:r w:rsidRPr="00BD56C6">
        <w:rPr>
          <w:lang w:val="es-ES"/>
        </w:rPr>
        <w:t>las fechas que se citen corresponden a</w:t>
      </w:r>
      <w:r w:rsidR="00DB143B">
        <w:rPr>
          <w:lang w:val="es-ES"/>
        </w:rPr>
        <w:t xml:space="preserve"> </w:t>
      </w:r>
      <w:r w:rsidRPr="00BD56C6">
        <w:rPr>
          <w:lang w:val="es-ES"/>
        </w:rPr>
        <w:t xml:space="preserve">dos mil </w:t>
      </w:r>
      <w:r w:rsidR="00B14119" w:rsidRPr="00BD56C6">
        <w:rPr>
          <w:lang w:val="es-ES"/>
        </w:rPr>
        <w:t>veint</w:t>
      </w:r>
      <w:r w:rsidR="00B14119">
        <w:rPr>
          <w:lang w:val="es-ES"/>
        </w:rPr>
        <w:t>iséis</w:t>
      </w:r>
      <w:r w:rsidRPr="00BD56C6">
        <w:rPr>
          <w:lang w:val="es-ES"/>
        </w:rPr>
        <w:t>, salvo señalamiento expreso.</w:t>
      </w:r>
    </w:p>
  </w:footnote>
  <w:footnote w:id="2">
    <w:p w14:paraId="39F7F170" w14:textId="77777777" w:rsidR="00806334" w:rsidRPr="00426CF6" w:rsidRDefault="00806334" w:rsidP="00991DDE">
      <w:pPr>
        <w:pStyle w:val="Textonotapie"/>
      </w:pPr>
      <w:r w:rsidRPr="00426CF6">
        <w:rPr>
          <w:rStyle w:val="Refdenotaalpie"/>
        </w:rPr>
        <w:footnoteRef/>
      </w:r>
      <w:r w:rsidRPr="00426CF6">
        <w:t xml:space="preserve"> </w:t>
      </w:r>
      <w:r w:rsidRPr="00426CF6">
        <w:rPr>
          <w:lang w:eastAsia="es-ES"/>
        </w:rPr>
        <w:t xml:space="preserve">En adelante, </w:t>
      </w:r>
      <w:r>
        <w:rPr>
          <w:lang w:eastAsia="es-ES"/>
        </w:rPr>
        <w:t>J</w:t>
      </w:r>
      <w:r w:rsidRPr="00426CF6">
        <w:rPr>
          <w:lang w:eastAsia="es-ES"/>
        </w:rPr>
        <w:t>uicio</w:t>
      </w:r>
      <w:r>
        <w:rPr>
          <w:lang w:eastAsia="es-ES"/>
        </w:rPr>
        <w:t xml:space="preserve"> de la</w:t>
      </w:r>
      <w:r w:rsidRPr="00426CF6">
        <w:rPr>
          <w:lang w:eastAsia="es-ES"/>
        </w:rPr>
        <w:t xml:space="preserve"> </w:t>
      </w:r>
      <w:r>
        <w:rPr>
          <w:lang w:eastAsia="es-ES"/>
        </w:rPr>
        <w:t>C</w:t>
      </w:r>
      <w:r w:rsidRPr="00426CF6">
        <w:rPr>
          <w:lang w:eastAsia="es-ES"/>
        </w:rPr>
        <w:t>iudadan</w:t>
      </w:r>
      <w:r>
        <w:rPr>
          <w:lang w:eastAsia="es-ES"/>
        </w:rPr>
        <w:t>ía</w:t>
      </w:r>
      <w:r w:rsidRPr="00426CF6">
        <w:rPr>
          <w:lang w:eastAsia="es-ES"/>
        </w:rPr>
        <w:t>.</w:t>
      </w:r>
    </w:p>
  </w:footnote>
  <w:footnote w:id="3">
    <w:p w14:paraId="5525D073" w14:textId="2488CE1A" w:rsidR="00063D20" w:rsidRDefault="00063D20" w:rsidP="00991DDE">
      <w:pPr>
        <w:pStyle w:val="Textonotapie"/>
      </w:pPr>
      <w:r>
        <w:rPr>
          <w:rStyle w:val="Refdenotaalpie"/>
        </w:rPr>
        <w:footnoteRef/>
      </w:r>
      <w:r>
        <w:t xml:space="preserve"> En adelante, promovente o actora.</w:t>
      </w:r>
    </w:p>
  </w:footnote>
  <w:footnote w:id="4">
    <w:p w14:paraId="6A7DD64D" w14:textId="10AB0A90" w:rsidR="006850C2" w:rsidRPr="0097618A" w:rsidRDefault="006850C2" w:rsidP="006850C2">
      <w:pPr>
        <w:pStyle w:val="Textonotapie"/>
      </w:pPr>
      <w:r w:rsidRPr="00B178D0">
        <w:rPr>
          <w:rStyle w:val="Refdenotaalpie"/>
        </w:rPr>
        <w:footnoteRef/>
      </w:r>
      <w:r w:rsidRPr="00B178D0">
        <w:t xml:space="preserve"> </w:t>
      </w:r>
      <w:r w:rsidR="003557F9" w:rsidRPr="00B178D0">
        <w:t>Punto de</w:t>
      </w:r>
      <w:r w:rsidRPr="00B178D0">
        <w:t xml:space="preserve"> Acuerdo 9</w:t>
      </w:r>
      <w:r w:rsidR="00D72CDD" w:rsidRPr="00B178D0">
        <w:t xml:space="preserve">. Visible en fojas </w:t>
      </w:r>
      <w:r w:rsidR="008138A2" w:rsidRPr="00B178D0">
        <w:t>019 a 021.</w:t>
      </w:r>
    </w:p>
  </w:footnote>
  <w:footnote w:id="5">
    <w:p w14:paraId="01F7B10F" w14:textId="3DE1DBB8" w:rsidR="007E45A5" w:rsidRPr="0097618A" w:rsidRDefault="007E45A5" w:rsidP="00991DDE">
      <w:pPr>
        <w:pStyle w:val="Textonotapie"/>
      </w:pPr>
      <w:r w:rsidRPr="0097618A">
        <w:rPr>
          <w:rStyle w:val="Refdenotaalpie"/>
        </w:rPr>
        <w:footnoteRef/>
      </w:r>
      <w:r w:rsidRPr="0097618A">
        <w:t xml:space="preserve"> En adelante</w:t>
      </w:r>
      <w:r w:rsidR="00845E9B" w:rsidRPr="0097618A">
        <w:t>,</w:t>
      </w:r>
      <w:r w:rsidRPr="0097618A">
        <w:t xml:space="preserve"> </w:t>
      </w:r>
      <w:r w:rsidR="00967463" w:rsidRPr="0097618A">
        <w:t>Constitución Local</w:t>
      </w:r>
      <w:r w:rsidRPr="0097618A">
        <w:t>.</w:t>
      </w:r>
    </w:p>
  </w:footnote>
  <w:footnote w:id="6">
    <w:p w14:paraId="659E4394" w14:textId="1CB70846" w:rsidR="007E45A5" w:rsidRDefault="007E45A5" w:rsidP="00991DDE">
      <w:pPr>
        <w:pStyle w:val="Textonotapie"/>
      </w:pPr>
      <w:r w:rsidRPr="0097618A">
        <w:rPr>
          <w:rStyle w:val="Refdenotaalpie"/>
        </w:rPr>
        <w:footnoteRef/>
      </w:r>
      <w:r w:rsidRPr="0097618A">
        <w:t xml:space="preserve"> En adelante</w:t>
      </w:r>
      <w:r w:rsidR="00845E9B" w:rsidRPr="0097618A">
        <w:t>,</w:t>
      </w:r>
      <w:r w:rsidRPr="0097618A">
        <w:t xml:space="preserve"> </w:t>
      </w:r>
      <w:r w:rsidR="00967463" w:rsidRPr="0097618A">
        <w:t>L</w:t>
      </w:r>
      <w:r w:rsidRPr="0097618A">
        <w:t xml:space="preserve">ey de </w:t>
      </w:r>
      <w:r w:rsidR="00967463" w:rsidRPr="0097618A">
        <w:t>J</w:t>
      </w:r>
      <w:r w:rsidRPr="0097618A">
        <w:t xml:space="preserve">usticia </w:t>
      </w:r>
      <w:r w:rsidR="00967463" w:rsidRPr="0097618A">
        <w:t>E</w:t>
      </w:r>
      <w:r w:rsidRPr="0097618A">
        <w:t>lectoral</w:t>
      </w:r>
      <w:r>
        <w:t>.</w:t>
      </w:r>
    </w:p>
  </w:footnote>
  <w:footnote w:id="7">
    <w:p w14:paraId="5FB78956" w14:textId="3FE16FF8" w:rsidR="0058249F" w:rsidRPr="0097618A" w:rsidRDefault="0058249F" w:rsidP="00991DDE">
      <w:pPr>
        <w:pStyle w:val="Textonotapie"/>
      </w:pPr>
      <w:r w:rsidRPr="007A5B8E">
        <w:rPr>
          <w:rStyle w:val="Refdenotaalpie"/>
        </w:rPr>
        <w:footnoteRef/>
      </w:r>
      <w:r w:rsidRPr="007A5B8E">
        <w:t xml:space="preserve"> Resultan </w:t>
      </w:r>
      <w:r w:rsidRPr="0097618A">
        <w:t xml:space="preserve">aplicables las razones esenciales de la </w:t>
      </w:r>
      <w:r w:rsidR="00E06698" w:rsidRPr="00895249">
        <w:t>j</w:t>
      </w:r>
      <w:r w:rsidRPr="00895249">
        <w:t>urisprudencia 1/2013</w:t>
      </w:r>
      <w:r w:rsidRPr="0097618A">
        <w:t xml:space="preserve"> </w:t>
      </w:r>
      <w:r w:rsidR="00845E9B" w:rsidRPr="0097618A">
        <w:t>de la Sala Superior del Poder Judicial de la Federaci</w:t>
      </w:r>
      <w:r w:rsidR="00602875" w:rsidRPr="0097618A">
        <w:t xml:space="preserve">ón </w:t>
      </w:r>
      <w:r w:rsidR="00FC5D82" w:rsidRPr="0097618A">
        <w:t xml:space="preserve">(en adelante, Sala Superior) </w:t>
      </w:r>
      <w:r w:rsidRPr="0097618A">
        <w:t>de rubro</w:t>
      </w:r>
      <w:r w:rsidR="00602875" w:rsidRPr="0097618A">
        <w:t xml:space="preserve"> “</w:t>
      </w:r>
      <w:r w:rsidR="00163E86" w:rsidRPr="0097618A">
        <w:rPr>
          <w:smallCaps/>
        </w:rPr>
        <w:t xml:space="preserve">competencia. su </w:t>
      </w:r>
      <w:r w:rsidR="00374316" w:rsidRPr="0097618A">
        <w:rPr>
          <w:smallCaps/>
        </w:rPr>
        <w:t>estudio respecto de la autoridad responsable debe ser realizado de oficio por las salas del tribunal electoral del poder judicial de la federación</w:t>
      </w:r>
      <w:r w:rsidR="00602875" w:rsidRPr="0097618A">
        <w:t>”</w:t>
      </w:r>
      <w:r w:rsidRPr="0097618A">
        <w:t xml:space="preserve">, así como el criterio </w:t>
      </w:r>
      <w:r w:rsidR="00967463" w:rsidRPr="0097618A">
        <w:t xml:space="preserve">de la </w:t>
      </w:r>
      <w:r w:rsidR="00F52B87" w:rsidRPr="0097618A">
        <w:rPr>
          <w:b/>
          <w:bCs/>
        </w:rPr>
        <w:t>T</w:t>
      </w:r>
      <w:r w:rsidR="00967463" w:rsidRPr="0097618A">
        <w:rPr>
          <w:b/>
          <w:bCs/>
        </w:rPr>
        <w:t xml:space="preserve">esis </w:t>
      </w:r>
      <w:r w:rsidRPr="00895249">
        <w:t>CXCVI/2001</w:t>
      </w:r>
      <w:r w:rsidRPr="0097618A">
        <w:t xml:space="preserve"> de rubro </w:t>
      </w:r>
      <w:r w:rsidR="00967463" w:rsidRPr="0097618A">
        <w:t>“</w:t>
      </w:r>
      <w:r w:rsidR="00163E86" w:rsidRPr="0097618A">
        <w:rPr>
          <w:smallCaps/>
        </w:rPr>
        <w:t xml:space="preserve">autoridades incompetentes. sus </w:t>
      </w:r>
      <w:r w:rsidR="008E5FD3" w:rsidRPr="0097618A">
        <w:rPr>
          <w:smallCaps/>
        </w:rPr>
        <w:t>actos no producen efecto alguno</w:t>
      </w:r>
      <w:r w:rsidR="00967463" w:rsidRPr="0097618A">
        <w:t>” emitido por la Suprema Corte de Justicia de la Nación</w:t>
      </w:r>
      <w:r w:rsidRPr="0097618A">
        <w:t>.</w:t>
      </w:r>
    </w:p>
  </w:footnote>
  <w:footnote w:id="8">
    <w:p w14:paraId="6E9B9CB0" w14:textId="13DB5155" w:rsidR="00B972E1" w:rsidRPr="0097618A" w:rsidRDefault="00B972E1" w:rsidP="00991DDE">
      <w:pPr>
        <w:pStyle w:val="Textonotapie"/>
      </w:pPr>
      <w:r w:rsidRPr="0097618A">
        <w:rPr>
          <w:rStyle w:val="Refdenotaalpie"/>
        </w:rPr>
        <w:footnoteRef/>
      </w:r>
      <w:r w:rsidRPr="0097618A">
        <w:t xml:space="preserve"> Tal como lo ha sostenido este Tribunal </w:t>
      </w:r>
      <w:r w:rsidR="00950198" w:rsidRPr="0097618A">
        <w:t xml:space="preserve">por ejemplo </w:t>
      </w:r>
      <w:r w:rsidRPr="0097618A">
        <w:t xml:space="preserve">al resolver los </w:t>
      </w:r>
      <w:r w:rsidR="000C628D" w:rsidRPr="00895249">
        <w:t xml:space="preserve">Juicios </w:t>
      </w:r>
      <w:r w:rsidR="00E06698" w:rsidRPr="00895249">
        <w:t>de la Ciudadanía</w:t>
      </w:r>
      <w:r w:rsidR="000C628D" w:rsidRPr="0097618A">
        <w:rPr>
          <w:rFonts w:eastAsia="Cambria"/>
          <w:lang w:val="es-ES_tradnl" w:eastAsia="en-US"/>
        </w:rPr>
        <w:t xml:space="preserve"> </w:t>
      </w:r>
      <w:r w:rsidRPr="0097618A">
        <w:rPr>
          <w:lang w:val="es-ES_tradnl"/>
        </w:rPr>
        <w:t>TEEM-JDC-035/2026</w:t>
      </w:r>
      <w:r w:rsidR="000C628D" w:rsidRPr="0097618A">
        <w:rPr>
          <w:lang w:val="es-ES_tradnl"/>
        </w:rPr>
        <w:t>,</w:t>
      </w:r>
      <w:r w:rsidRPr="0097618A">
        <w:rPr>
          <w:lang w:val="es-ES_tradnl"/>
        </w:rPr>
        <w:t xml:space="preserve"> TEEM-JDC-029/2026</w:t>
      </w:r>
      <w:r w:rsidRPr="0097618A">
        <w:t xml:space="preserve"> y TEEM-JDC-187/2025.</w:t>
      </w:r>
    </w:p>
  </w:footnote>
  <w:footnote w:id="9">
    <w:p w14:paraId="7BF383D6" w14:textId="1E079374" w:rsidR="001516E1" w:rsidRPr="007A5B8E" w:rsidRDefault="001516E1" w:rsidP="00991DDE">
      <w:pPr>
        <w:pStyle w:val="Textonotapie"/>
      </w:pPr>
      <w:r w:rsidRPr="0097618A">
        <w:rPr>
          <w:rStyle w:val="Refdenotaalpie"/>
        </w:rPr>
        <w:footnoteRef/>
      </w:r>
      <w:r w:rsidRPr="0097618A">
        <w:t xml:space="preserve"> De conformidad con la </w:t>
      </w:r>
      <w:r w:rsidR="00252D45" w:rsidRPr="00895249">
        <w:t>j</w:t>
      </w:r>
      <w:r w:rsidRPr="00895249">
        <w:t>urisprudencia 6/2011</w:t>
      </w:r>
      <w:r w:rsidRPr="0097618A">
        <w:t xml:space="preserve"> de rubro: </w:t>
      </w:r>
      <w:r w:rsidR="00163E86" w:rsidRPr="0097618A">
        <w:rPr>
          <w:smallCaps/>
        </w:rPr>
        <w:t xml:space="preserve">ayuntamientos. los </w:t>
      </w:r>
      <w:r w:rsidR="008E5FD3" w:rsidRPr="0097618A">
        <w:rPr>
          <w:smallCaps/>
        </w:rPr>
        <w:t>actos relativos a su organización no son impugnables en el juicio para la protección de los derechos político-electorales del ciudadano</w:t>
      </w:r>
      <w:r w:rsidRPr="007A5B8E">
        <w:t>.</w:t>
      </w:r>
    </w:p>
  </w:footnote>
  <w:footnote w:id="10">
    <w:p w14:paraId="3DD3229D" w14:textId="634AD327" w:rsidR="007E45A5" w:rsidRPr="0097618A" w:rsidRDefault="007E45A5" w:rsidP="00991DDE">
      <w:pPr>
        <w:pStyle w:val="Textonotapie"/>
        <w:rPr>
          <w:i/>
        </w:rPr>
      </w:pPr>
      <w:r w:rsidRPr="007A5B8E">
        <w:rPr>
          <w:rStyle w:val="Refdenotaalpie"/>
        </w:rPr>
        <w:footnoteRef/>
      </w:r>
      <w:r w:rsidRPr="007A5B8E">
        <w:t xml:space="preserve"> Conforme a </w:t>
      </w:r>
      <w:r w:rsidRPr="0097618A">
        <w:t xml:space="preserve">la </w:t>
      </w:r>
      <w:r w:rsidR="009022D7" w:rsidRPr="00895249">
        <w:t>j</w:t>
      </w:r>
      <w:r w:rsidRPr="00895249">
        <w:t>urisprudencia 20/2010</w:t>
      </w:r>
      <w:r w:rsidRPr="0097618A">
        <w:t>, de rubro:</w:t>
      </w:r>
      <w:r w:rsidR="00C91B0E" w:rsidRPr="0097618A">
        <w:t xml:space="preserve"> </w:t>
      </w:r>
      <w:r w:rsidR="008E5FD3" w:rsidRPr="0097618A">
        <w:rPr>
          <w:smallCaps/>
        </w:rPr>
        <w:t>derecho político electoral a ser votado. incluye el derecho a ocupar y desempeñar el cargo</w:t>
      </w:r>
      <w:r w:rsidRPr="0097618A">
        <w:t>.</w:t>
      </w:r>
      <w:r w:rsidRPr="0097618A">
        <w:rPr>
          <w:i/>
        </w:rPr>
        <w:t xml:space="preserve"> </w:t>
      </w:r>
    </w:p>
  </w:footnote>
  <w:footnote w:id="11">
    <w:p w14:paraId="67E3AD89" w14:textId="6EB97049" w:rsidR="007E45A5" w:rsidRPr="0097618A" w:rsidRDefault="007E45A5" w:rsidP="00991DDE">
      <w:pPr>
        <w:pStyle w:val="Textonotapie"/>
      </w:pPr>
      <w:r w:rsidRPr="0097618A">
        <w:rPr>
          <w:rStyle w:val="Refdenotaalpie"/>
        </w:rPr>
        <w:footnoteRef/>
      </w:r>
      <w:r w:rsidRPr="0097618A">
        <w:t xml:space="preserve"> Conforme a la </w:t>
      </w:r>
      <w:r w:rsidR="00497536" w:rsidRPr="00895249">
        <w:t>j</w:t>
      </w:r>
      <w:r w:rsidR="00C91B0E" w:rsidRPr="00895249">
        <w:t xml:space="preserve">urisprudencia </w:t>
      </w:r>
      <w:r w:rsidRPr="00895249">
        <w:t>21/2011</w:t>
      </w:r>
      <w:r w:rsidRPr="0097618A">
        <w:t xml:space="preserve"> de rubro: </w:t>
      </w:r>
      <w:r w:rsidR="008E5FD3" w:rsidRPr="0097618A">
        <w:rPr>
          <w:smallCaps/>
        </w:rPr>
        <w:t xml:space="preserve">cargos de elección popular. la remuneración es un derecho inherente a su ejercicio (legislación </w:t>
      </w:r>
      <w:r w:rsidR="00163E86" w:rsidRPr="0097618A">
        <w:rPr>
          <w:smallCaps/>
        </w:rPr>
        <w:t xml:space="preserve">de </w:t>
      </w:r>
      <w:proofErr w:type="spellStart"/>
      <w:r w:rsidR="00163E86" w:rsidRPr="0097618A">
        <w:rPr>
          <w:smallCaps/>
        </w:rPr>
        <w:t>oaxaca</w:t>
      </w:r>
      <w:proofErr w:type="spellEnd"/>
      <w:r w:rsidR="008E5FD3" w:rsidRPr="0097618A">
        <w:rPr>
          <w:smallCaps/>
        </w:rPr>
        <w:t>)</w:t>
      </w:r>
      <w:r w:rsidR="00C91B0E" w:rsidRPr="0097618A">
        <w:t>.</w:t>
      </w:r>
    </w:p>
  </w:footnote>
  <w:footnote w:id="12">
    <w:p w14:paraId="6F56DFFD" w14:textId="27070249" w:rsidR="00B972E1" w:rsidRPr="007A5B8E" w:rsidRDefault="00B972E1" w:rsidP="00991DDE">
      <w:pPr>
        <w:pStyle w:val="Textonotapie"/>
      </w:pPr>
      <w:r w:rsidRPr="0097618A">
        <w:rPr>
          <w:rStyle w:val="Refdenotaalpie"/>
        </w:rPr>
        <w:footnoteRef/>
      </w:r>
      <w:r w:rsidRPr="0097618A">
        <w:t xml:space="preserve"> </w:t>
      </w:r>
      <w:r w:rsidR="00071B53" w:rsidRPr="00895249">
        <w:t>J</w:t>
      </w:r>
      <w:r w:rsidRPr="00895249">
        <w:t>urisprudencia 36/2002</w:t>
      </w:r>
      <w:r w:rsidRPr="0097618A">
        <w:t xml:space="preserve"> de rubro: </w:t>
      </w:r>
      <w:r w:rsidR="00C65302" w:rsidRPr="0097618A">
        <w:rPr>
          <w:smallCaps/>
        </w:rPr>
        <w:t xml:space="preserve">juicio para la protección de los derechos político-electorales del ciudadano. procede cuando se aduzcan </w:t>
      </w:r>
      <w:r w:rsidR="00C65302" w:rsidRPr="001B62DE">
        <w:rPr>
          <w:smallCaps/>
        </w:rPr>
        <w:t>violaciones a diversos derechos fundamentales vinculados con los derechos de votar, ser votado, de asociación y de afiliación</w:t>
      </w:r>
      <w:r w:rsidR="00071B53" w:rsidRPr="007A5B8E">
        <w:t>.</w:t>
      </w:r>
    </w:p>
  </w:footnote>
  <w:footnote w:id="13">
    <w:p w14:paraId="750EF16C" w14:textId="34B99764" w:rsidR="00B972E1" w:rsidRPr="007A5B8E" w:rsidRDefault="00B972E1" w:rsidP="00991DDE">
      <w:pPr>
        <w:pStyle w:val="Textonotapie"/>
      </w:pPr>
      <w:r w:rsidRPr="007A5B8E">
        <w:rPr>
          <w:rStyle w:val="Refdenotaalpie"/>
        </w:rPr>
        <w:footnoteRef/>
      </w:r>
      <w:r w:rsidRPr="007A5B8E">
        <w:t xml:space="preserve"> Al resolver los expedientes SUP-JDC-25/2010, SUP-JDC-67/2010 SUP-JDC-68/2010, </w:t>
      </w:r>
      <w:r w:rsidR="00C91B0E" w:rsidRPr="007A5B8E">
        <w:t xml:space="preserve">y </w:t>
      </w:r>
      <w:r w:rsidRPr="007A5B8E">
        <w:t>SUP-JDC-2238/2014</w:t>
      </w:r>
      <w:r w:rsidR="00C91B0E" w:rsidRPr="007A5B8E">
        <w:t>. R</w:t>
      </w:r>
      <w:r w:rsidRPr="007A5B8E">
        <w:t xml:space="preserve">eiterado por la Sala Regional Xalapa </w:t>
      </w:r>
      <w:r w:rsidR="002A0A60" w:rsidRPr="007A5B8E">
        <w:t>(</w:t>
      </w:r>
      <w:r w:rsidRPr="007A5B8E">
        <w:t xml:space="preserve">al resolver los </w:t>
      </w:r>
      <w:r w:rsidR="00C91B0E" w:rsidRPr="007A5B8E">
        <w:t>J</w:t>
      </w:r>
      <w:r w:rsidRPr="007A5B8E">
        <w:t xml:space="preserve">uicios </w:t>
      </w:r>
      <w:r w:rsidR="00C91B0E" w:rsidRPr="007A5B8E">
        <w:t>C</w:t>
      </w:r>
      <w:r w:rsidRPr="007A5B8E">
        <w:t>iudadanos SX-JDC-953/2015 y SX-JDC-10/2016</w:t>
      </w:r>
      <w:r w:rsidR="002A0A60" w:rsidRPr="007A5B8E">
        <w:t>)</w:t>
      </w:r>
      <w:r w:rsidR="00C91B0E" w:rsidRPr="007A5B8E">
        <w:t xml:space="preserve"> y </w:t>
      </w:r>
      <w:r w:rsidRPr="007A5B8E">
        <w:t xml:space="preserve">la Sala Regional Monterrey </w:t>
      </w:r>
      <w:r w:rsidR="000C628D" w:rsidRPr="007A5B8E">
        <w:t>(</w:t>
      </w:r>
      <w:r w:rsidRPr="007A5B8E">
        <w:t xml:space="preserve">en el </w:t>
      </w:r>
      <w:r w:rsidR="00396742">
        <w:t>J</w:t>
      </w:r>
      <w:r w:rsidRPr="007A5B8E">
        <w:t>uicio SM-JDC-26/2017</w:t>
      </w:r>
      <w:r w:rsidR="000C628D" w:rsidRPr="007A5B8E">
        <w:t>)</w:t>
      </w:r>
      <w:r w:rsidRPr="007A5B8E">
        <w:t>.</w:t>
      </w:r>
    </w:p>
  </w:footnote>
  <w:footnote w:id="14">
    <w:p w14:paraId="2CE8BF01" w14:textId="721C2460" w:rsidR="00071B53" w:rsidRDefault="00071B53" w:rsidP="00991DDE">
      <w:pPr>
        <w:pStyle w:val="Textonotapie"/>
      </w:pPr>
      <w:r w:rsidRPr="007A5B8E">
        <w:rPr>
          <w:rStyle w:val="Refdenotaalpie"/>
        </w:rPr>
        <w:footnoteRef/>
      </w:r>
      <w:r w:rsidRPr="007A5B8E">
        <w:t xml:space="preserve"> Artículo 115 de la Constitución Política de los Estados Unidos Mexicanos</w:t>
      </w:r>
      <w:r w:rsidR="00807A01">
        <w:t xml:space="preserve"> (</w:t>
      </w:r>
      <w:r w:rsidR="00D45384">
        <w:t>en adelante, Constitución Federal)</w:t>
      </w:r>
      <w:r w:rsidR="006F790C" w:rsidRPr="007A5B8E">
        <w:t>.</w:t>
      </w:r>
    </w:p>
  </w:footnote>
  <w:footnote w:id="15">
    <w:p w14:paraId="573A62A3" w14:textId="6F4CF2DC" w:rsidR="00AB2835" w:rsidRDefault="00AB2835" w:rsidP="00991DDE">
      <w:pPr>
        <w:pStyle w:val="Textonotapie"/>
      </w:pPr>
      <w:r>
        <w:rPr>
          <w:rStyle w:val="Refdenotaalpie"/>
        </w:rPr>
        <w:footnoteRef/>
      </w:r>
      <w:r>
        <w:t xml:space="preserve"> Al resolver la contradicción de criterios </w:t>
      </w:r>
      <w:r w:rsidRPr="00AB2835">
        <w:t>SUP-CDC-7/2024</w:t>
      </w:r>
      <w:r w:rsidR="006F790C">
        <w:t>.</w:t>
      </w:r>
    </w:p>
  </w:footnote>
  <w:footnote w:id="16">
    <w:p w14:paraId="0896B1DB" w14:textId="1613537B" w:rsidR="00934C6B" w:rsidRPr="0097618A" w:rsidRDefault="008911D9">
      <w:pPr>
        <w:pStyle w:val="Textonotapie"/>
      </w:pPr>
      <w:r w:rsidRPr="003920D6">
        <w:rPr>
          <w:rStyle w:val="Refdenotaalpie"/>
        </w:rPr>
        <w:footnoteRef/>
      </w:r>
      <w:r w:rsidRPr="003920D6">
        <w:t xml:space="preserve"> </w:t>
      </w:r>
      <w:r w:rsidR="0090160E" w:rsidRPr="003920D6">
        <w:t>Constancia</w:t>
      </w:r>
      <w:r w:rsidR="00897164" w:rsidRPr="003920D6">
        <w:t xml:space="preserve"> que </w:t>
      </w:r>
      <w:r w:rsidR="00E56230" w:rsidRPr="003920D6">
        <w:t>obra en autos</w:t>
      </w:r>
      <w:r w:rsidR="0090160E" w:rsidRPr="003920D6">
        <w:t xml:space="preserve"> en copia certificada remitida por la autoridad responsable</w:t>
      </w:r>
      <w:r w:rsidR="00E56230" w:rsidRPr="003920D6">
        <w:t xml:space="preserve"> </w:t>
      </w:r>
      <w:r w:rsidR="0090160E" w:rsidRPr="003920D6">
        <w:t>y que</w:t>
      </w:r>
      <w:r w:rsidR="007C6E3C" w:rsidRPr="003920D6">
        <w:t>,</w:t>
      </w:r>
      <w:r w:rsidR="0090160E" w:rsidRPr="003920D6">
        <w:t xml:space="preserve"> al tratarse de documental pública, cuentan con valor probatorio pleno, al haber sido emitidas por autoridades en ejercicio de sus facultades, de conformidad a lo previsto en los artículos 16 fracción I, 17 fracciones III y 22 fracción I, de la Ley de Justicia </w:t>
      </w:r>
      <w:r w:rsidR="00120E67" w:rsidRPr="003920D6">
        <w:t xml:space="preserve">en materia </w:t>
      </w:r>
      <w:r w:rsidR="0090160E" w:rsidRPr="003920D6">
        <w:t>Electoral</w:t>
      </w:r>
      <w:r w:rsidR="00120E67" w:rsidRPr="003920D6">
        <w:t xml:space="preserve"> y de Participación Ciudadana del Estado de Michoacán de Ocampo</w:t>
      </w:r>
      <w:r w:rsidR="00897164" w:rsidRPr="003920D6">
        <w:t>.</w:t>
      </w:r>
    </w:p>
  </w:footnote>
  <w:footnote w:id="17">
    <w:p w14:paraId="48640112" w14:textId="07B97AE4" w:rsidR="009476A1" w:rsidRDefault="009476A1" w:rsidP="00991DDE">
      <w:pPr>
        <w:pStyle w:val="Textonotapie"/>
      </w:pPr>
      <w:r w:rsidRPr="0097618A">
        <w:rPr>
          <w:rStyle w:val="Refdenotaalpie"/>
        </w:rPr>
        <w:footnoteRef/>
      </w:r>
      <w:r w:rsidRPr="0097618A">
        <w:t xml:space="preserve"> En adelante</w:t>
      </w:r>
      <w:r w:rsidR="0088286D" w:rsidRPr="0097618A">
        <w:t>,</w:t>
      </w:r>
      <w:r w:rsidRPr="0097618A">
        <w:t xml:space="preserve"> Ley Orgánica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5EDE" w14:textId="7930CAB3" w:rsidR="007A7DD5" w:rsidRDefault="0076525F" w:rsidP="00063F73">
    <w:pPr>
      <w:pStyle w:val="Encabezado"/>
      <w:jc w:val="right"/>
      <w:rPr>
        <w:noProof/>
      </w:rPr>
    </w:pPr>
    <w:r>
      <w:rPr>
        <w:noProof/>
      </w:rPr>
      <w:t>TEEM-</w:t>
    </w:r>
    <w:r w:rsidR="00E664C3">
      <w:rPr>
        <w:noProof/>
      </w:rPr>
      <w:t>JDC</w:t>
    </w:r>
    <w:r w:rsidR="00A828F2">
      <w:rPr>
        <w:noProof/>
      </w:rPr>
      <w:t>-</w:t>
    </w:r>
    <w:r w:rsidR="00ED589D">
      <w:rPr>
        <w:noProof/>
      </w:rPr>
      <w:t>037</w:t>
    </w:r>
    <w:r>
      <w:rPr>
        <w:noProof/>
      </w:rPr>
      <w:t>/202</w:t>
    </w:r>
    <w:r w:rsidR="00ED589D">
      <w:rPr>
        <w:noProof/>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CE94" w14:textId="0FCB2715" w:rsidR="007A7DD5" w:rsidRDefault="00B4633C" w:rsidP="00991DDE">
    <w:pPr>
      <w:pStyle w:val="Encabezado"/>
    </w:pPr>
    <w:r w:rsidRPr="00095C22">
      <w:rPr>
        <w:noProof/>
      </w:rPr>
      <w:drawing>
        <wp:inline distT="0" distB="0" distL="0" distR="0" wp14:anchorId="27ABF2DD" wp14:editId="26F44363">
          <wp:extent cx="2184405" cy="720000"/>
          <wp:effectExtent l="0" t="0" r="6350" b="4445"/>
          <wp:docPr id="108674609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526" t="9266" r="4554" b="12622"/>
                  <a:stretch/>
                </pic:blipFill>
                <pic:spPr bwMode="auto">
                  <a:xfrm>
                    <a:off x="0" y="0"/>
                    <a:ext cx="2184405" cy="72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6F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215FA"/>
    <w:multiLevelType w:val="hybridMultilevel"/>
    <w:tmpl w:val="527498C4"/>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1A927FA5"/>
    <w:multiLevelType w:val="hybridMultilevel"/>
    <w:tmpl w:val="7AEAC8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77642"/>
    <w:multiLevelType w:val="multilevel"/>
    <w:tmpl w:val="E722A7FE"/>
    <w:lvl w:ilvl="0">
      <w:start w:val="1"/>
      <w:numFmt w:val="upperRoman"/>
      <w:lvlText w:val="%1."/>
      <w:lvlJc w:val="right"/>
      <w:pPr>
        <w:ind w:left="72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D15EC4"/>
    <w:multiLevelType w:val="hybridMultilevel"/>
    <w:tmpl w:val="7C8C6668"/>
    <w:lvl w:ilvl="0" w:tplc="080A000F">
      <w:start w:val="1"/>
      <w:numFmt w:val="decimal"/>
      <w:lvlText w:val="%1."/>
      <w:lvlJc w:val="left"/>
      <w:pPr>
        <w:ind w:left="1070" w:hanging="360"/>
      </w:pPr>
    </w:lvl>
    <w:lvl w:ilvl="1" w:tplc="080A0019">
      <w:start w:val="1"/>
      <w:numFmt w:val="lowerLetter"/>
      <w:lvlText w:val="%2."/>
      <w:lvlJc w:val="left"/>
      <w:pPr>
        <w:ind w:left="3428" w:hanging="360"/>
      </w:pPr>
    </w:lvl>
    <w:lvl w:ilvl="2" w:tplc="080A001B">
      <w:start w:val="1"/>
      <w:numFmt w:val="lowerRoman"/>
      <w:lvlText w:val="%3."/>
      <w:lvlJc w:val="right"/>
      <w:pPr>
        <w:ind w:left="4148" w:hanging="180"/>
      </w:pPr>
    </w:lvl>
    <w:lvl w:ilvl="3" w:tplc="080A000F">
      <w:start w:val="1"/>
      <w:numFmt w:val="decimal"/>
      <w:lvlText w:val="%4."/>
      <w:lvlJc w:val="left"/>
      <w:pPr>
        <w:ind w:left="4868" w:hanging="360"/>
      </w:pPr>
    </w:lvl>
    <w:lvl w:ilvl="4" w:tplc="080A0019">
      <w:start w:val="1"/>
      <w:numFmt w:val="lowerLetter"/>
      <w:lvlText w:val="%5."/>
      <w:lvlJc w:val="left"/>
      <w:pPr>
        <w:ind w:left="5588" w:hanging="360"/>
      </w:pPr>
    </w:lvl>
    <w:lvl w:ilvl="5" w:tplc="080A001B">
      <w:start w:val="1"/>
      <w:numFmt w:val="lowerRoman"/>
      <w:lvlText w:val="%6."/>
      <w:lvlJc w:val="right"/>
      <w:pPr>
        <w:ind w:left="6308" w:hanging="180"/>
      </w:pPr>
    </w:lvl>
    <w:lvl w:ilvl="6" w:tplc="080A000F">
      <w:start w:val="1"/>
      <w:numFmt w:val="decimal"/>
      <w:lvlText w:val="%7."/>
      <w:lvlJc w:val="left"/>
      <w:pPr>
        <w:ind w:left="7028" w:hanging="360"/>
      </w:pPr>
    </w:lvl>
    <w:lvl w:ilvl="7" w:tplc="080A0019">
      <w:start w:val="1"/>
      <w:numFmt w:val="lowerLetter"/>
      <w:lvlText w:val="%8."/>
      <w:lvlJc w:val="left"/>
      <w:pPr>
        <w:ind w:left="7748" w:hanging="360"/>
      </w:pPr>
    </w:lvl>
    <w:lvl w:ilvl="8" w:tplc="080A001B">
      <w:start w:val="1"/>
      <w:numFmt w:val="lowerRoman"/>
      <w:lvlText w:val="%9."/>
      <w:lvlJc w:val="right"/>
      <w:pPr>
        <w:ind w:left="8468" w:hanging="180"/>
      </w:pPr>
    </w:lvl>
  </w:abstractNum>
  <w:abstractNum w:abstractNumId="5" w15:restartNumberingAfterBreak="0">
    <w:nsid w:val="251F3D46"/>
    <w:multiLevelType w:val="hybridMultilevel"/>
    <w:tmpl w:val="D2802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66634E"/>
    <w:multiLevelType w:val="hybridMultilevel"/>
    <w:tmpl w:val="8B745556"/>
    <w:lvl w:ilvl="0" w:tplc="362813A8">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0E5205"/>
    <w:multiLevelType w:val="hybridMultilevel"/>
    <w:tmpl w:val="8A22A9A4"/>
    <w:lvl w:ilvl="0" w:tplc="080A0001">
      <w:start w:val="1"/>
      <w:numFmt w:val="bullet"/>
      <w:lvlText w:val=""/>
      <w:lvlJc w:val="left"/>
      <w:pPr>
        <w:ind w:left="720" w:hanging="360"/>
      </w:pPr>
      <w:rPr>
        <w:rFonts w:ascii="Symbol" w:hAnsi="Symbol" w:hint="default"/>
      </w:rPr>
    </w:lvl>
    <w:lvl w:ilvl="1" w:tplc="64BAC882">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8D47AB"/>
    <w:multiLevelType w:val="hybridMultilevel"/>
    <w:tmpl w:val="4B06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2B6600"/>
    <w:multiLevelType w:val="hybridMultilevel"/>
    <w:tmpl w:val="B01C9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422F75"/>
    <w:multiLevelType w:val="multilevel"/>
    <w:tmpl w:val="AE403E5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EE01A0"/>
    <w:multiLevelType w:val="hybridMultilevel"/>
    <w:tmpl w:val="FE92EB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3137F51"/>
    <w:multiLevelType w:val="hybridMultilevel"/>
    <w:tmpl w:val="0C98A45C"/>
    <w:lvl w:ilvl="0" w:tplc="071C29DA">
      <w:start w:val="1"/>
      <w:numFmt w:val="upperRoman"/>
      <w:lvlText w:val="%1."/>
      <w:lvlJc w:val="left"/>
      <w:pPr>
        <w:ind w:left="1080" w:hanging="720"/>
      </w:pPr>
      <w:rPr>
        <w:b/>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39C01E9"/>
    <w:multiLevelType w:val="hybridMultilevel"/>
    <w:tmpl w:val="C12C5E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0C29E9"/>
    <w:multiLevelType w:val="hybridMultilevel"/>
    <w:tmpl w:val="29F4D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C128CB"/>
    <w:multiLevelType w:val="hybridMultilevel"/>
    <w:tmpl w:val="4258C0A0"/>
    <w:lvl w:ilvl="0" w:tplc="AD0C435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833505"/>
    <w:multiLevelType w:val="hybridMultilevel"/>
    <w:tmpl w:val="5E2E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4A1A38"/>
    <w:multiLevelType w:val="hybridMultilevel"/>
    <w:tmpl w:val="0C849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A74B22"/>
    <w:multiLevelType w:val="hybridMultilevel"/>
    <w:tmpl w:val="70807FCE"/>
    <w:lvl w:ilvl="0" w:tplc="E4E2436E">
      <w:start w:val="1"/>
      <w:numFmt w:val="decimal"/>
      <w:lvlText w:val="%1."/>
      <w:lvlJc w:val="left"/>
      <w:pPr>
        <w:ind w:left="9546" w:hanging="4867"/>
      </w:pPr>
      <w:rPr>
        <w:rFonts w:hint="default"/>
        <w:b/>
      </w:rPr>
    </w:lvl>
    <w:lvl w:ilvl="1" w:tplc="BB72BACA">
      <w:start w:val="1"/>
      <w:numFmt w:val="upperRoman"/>
      <w:lvlText w:val="%2."/>
      <w:lvlJc w:val="left"/>
      <w:pPr>
        <w:ind w:left="1800" w:hanging="720"/>
      </w:pPr>
      <w:rPr>
        <w:rFonts w:hint="default"/>
      </w:rPr>
    </w:lvl>
    <w:lvl w:ilvl="2" w:tplc="A43ABF44">
      <w:start w:val="1"/>
      <w:numFmt w:val="lowerLetter"/>
      <w:lvlText w:val="%3)"/>
      <w:lvlJc w:val="left"/>
      <w:pPr>
        <w:ind w:left="2430" w:hanging="45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B2445"/>
    <w:multiLevelType w:val="multilevel"/>
    <w:tmpl w:val="8180A146"/>
    <w:lvl w:ilvl="0">
      <w:start w:val="1"/>
      <w:numFmt w:val="upperRoman"/>
      <w:pStyle w:val="Ttulo1"/>
      <w:lvlText w:val="%1."/>
      <w:lvlJc w:val="right"/>
      <w:pPr>
        <w:ind w:left="72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5A68F3"/>
    <w:multiLevelType w:val="hybridMultilevel"/>
    <w:tmpl w:val="F4364C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5344A2"/>
    <w:multiLevelType w:val="hybridMultilevel"/>
    <w:tmpl w:val="8E8C0C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5B1096B"/>
    <w:multiLevelType w:val="hybridMultilevel"/>
    <w:tmpl w:val="3D6E2C4E"/>
    <w:lvl w:ilvl="0" w:tplc="F126F3FC">
      <w:start w:val="1"/>
      <w:numFmt w:val="lowerLetter"/>
      <w:lvlText w:val="%1)"/>
      <w:lvlJc w:val="left"/>
      <w:pPr>
        <w:ind w:left="1452" w:hanging="360"/>
      </w:pPr>
      <w:rPr>
        <w:rFonts w:hint="default"/>
        <w:b/>
      </w:rPr>
    </w:lvl>
    <w:lvl w:ilvl="1" w:tplc="0C0A0019" w:tentative="1">
      <w:start w:val="1"/>
      <w:numFmt w:val="lowerLetter"/>
      <w:lvlText w:val="%2."/>
      <w:lvlJc w:val="left"/>
      <w:pPr>
        <w:ind w:left="2172" w:hanging="360"/>
      </w:pPr>
    </w:lvl>
    <w:lvl w:ilvl="2" w:tplc="0C0A001B" w:tentative="1">
      <w:start w:val="1"/>
      <w:numFmt w:val="lowerRoman"/>
      <w:lvlText w:val="%3."/>
      <w:lvlJc w:val="right"/>
      <w:pPr>
        <w:ind w:left="2892" w:hanging="180"/>
      </w:pPr>
    </w:lvl>
    <w:lvl w:ilvl="3" w:tplc="0C0A000F" w:tentative="1">
      <w:start w:val="1"/>
      <w:numFmt w:val="decimal"/>
      <w:lvlText w:val="%4."/>
      <w:lvlJc w:val="left"/>
      <w:pPr>
        <w:ind w:left="3612" w:hanging="360"/>
      </w:pPr>
    </w:lvl>
    <w:lvl w:ilvl="4" w:tplc="0C0A0019" w:tentative="1">
      <w:start w:val="1"/>
      <w:numFmt w:val="lowerLetter"/>
      <w:lvlText w:val="%5."/>
      <w:lvlJc w:val="left"/>
      <w:pPr>
        <w:ind w:left="4332" w:hanging="360"/>
      </w:pPr>
    </w:lvl>
    <w:lvl w:ilvl="5" w:tplc="0C0A001B" w:tentative="1">
      <w:start w:val="1"/>
      <w:numFmt w:val="lowerRoman"/>
      <w:lvlText w:val="%6."/>
      <w:lvlJc w:val="right"/>
      <w:pPr>
        <w:ind w:left="5052" w:hanging="180"/>
      </w:pPr>
    </w:lvl>
    <w:lvl w:ilvl="6" w:tplc="0C0A000F" w:tentative="1">
      <w:start w:val="1"/>
      <w:numFmt w:val="decimal"/>
      <w:lvlText w:val="%7."/>
      <w:lvlJc w:val="left"/>
      <w:pPr>
        <w:ind w:left="5772" w:hanging="360"/>
      </w:pPr>
    </w:lvl>
    <w:lvl w:ilvl="7" w:tplc="0C0A0019" w:tentative="1">
      <w:start w:val="1"/>
      <w:numFmt w:val="lowerLetter"/>
      <w:lvlText w:val="%8."/>
      <w:lvlJc w:val="left"/>
      <w:pPr>
        <w:ind w:left="6492" w:hanging="360"/>
      </w:pPr>
    </w:lvl>
    <w:lvl w:ilvl="8" w:tplc="0C0A001B" w:tentative="1">
      <w:start w:val="1"/>
      <w:numFmt w:val="lowerRoman"/>
      <w:lvlText w:val="%9."/>
      <w:lvlJc w:val="right"/>
      <w:pPr>
        <w:ind w:left="7212" w:hanging="180"/>
      </w:pPr>
    </w:lvl>
  </w:abstractNum>
  <w:abstractNum w:abstractNumId="23" w15:restartNumberingAfterBreak="0">
    <w:nsid w:val="677C5C3B"/>
    <w:multiLevelType w:val="hybridMultilevel"/>
    <w:tmpl w:val="9F9836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3133DF"/>
    <w:multiLevelType w:val="hybridMultilevel"/>
    <w:tmpl w:val="D7C655EC"/>
    <w:lvl w:ilvl="0" w:tplc="1816419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4F3D7E"/>
    <w:multiLevelType w:val="multilevel"/>
    <w:tmpl w:val="88F808A0"/>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DD106F"/>
    <w:multiLevelType w:val="hybridMultilevel"/>
    <w:tmpl w:val="FC665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A00202F"/>
    <w:multiLevelType w:val="hybridMultilevel"/>
    <w:tmpl w:val="063EC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9143306">
    <w:abstractNumId w:val="15"/>
  </w:num>
  <w:num w:numId="2" w16cid:durableId="1327442735">
    <w:abstractNumId w:val="22"/>
  </w:num>
  <w:num w:numId="3" w16cid:durableId="1691299588">
    <w:abstractNumId w:val="17"/>
  </w:num>
  <w:num w:numId="4" w16cid:durableId="1879853094">
    <w:abstractNumId w:val="23"/>
  </w:num>
  <w:num w:numId="5" w16cid:durableId="2137988160">
    <w:abstractNumId w:val="9"/>
  </w:num>
  <w:num w:numId="6" w16cid:durableId="1270115024">
    <w:abstractNumId w:val="6"/>
  </w:num>
  <w:num w:numId="7" w16cid:durableId="1798714749">
    <w:abstractNumId w:val="21"/>
  </w:num>
  <w:num w:numId="8" w16cid:durableId="670184864">
    <w:abstractNumId w:val="1"/>
  </w:num>
  <w:num w:numId="9" w16cid:durableId="2117406063">
    <w:abstractNumId w:val="16"/>
  </w:num>
  <w:num w:numId="10" w16cid:durableId="1872721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2492103">
    <w:abstractNumId w:val="11"/>
  </w:num>
  <w:num w:numId="12" w16cid:durableId="121858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650313">
    <w:abstractNumId w:val="5"/>
  </w:num>
  <w:num w:numId="14" w16cid:durableId="1319502167">
    <w:abstractNumId w:val="14"/>
  </w:num>
  <w:num w:numId="15" w16cid:durableId="437721381">
    <w:abstractNumId w:val="11"/>
  </w:num>
  <w:num w:numId="16" w16cid:durableId="1367098826">
    <w:abstractNumId w:val="24"/>
  </w:num>
  <w:num w:numId="17" w16cid:durableId="1549797923">
    <w:abstractNumId w:val="27"/>
  </w:num>
  <w:num w:numId="18" w16cid:durableId="450048966">
    <w:abstractNumId w:val="26"/>
  </w:num>
  <w:num w:numId="19" w16cid:durableId="1845390465">
    <w:abstractNumId w:val="8"/>
  </w:num>
  <w:num w:numId="20" w16cid:durableId="1468278278">
    <w:abstractNumId w:val="7"/>
  </w:num>
  <w:num w:numId="21" w16cid:durableId="696850477">
    <w:abstractNumId w:val="2"/>
  </w:num>
  <w:num w:numId="22" w16cid:durableId="1708600779">
    <w:abstractNumId w:val="18"/>
  </w:num>
  <w:num w:numId="23" w16cid:durableId="1789933924">
    <w:abstractNumId w:val="25"/>
  </w:num>
  <w:num w:numId="24" w16cid:durableId="2100516260">
    <w:abstractNumId w:val="10"/>
  </w:num>
  <w:num w:numId="25" w16cid:durableId="786386092">
    <w:abstractNumId w:val="3"/>
  </w:num>
  <w:num w:numId="26" w16cid:durableId="1912230163">
    <w:abstractNumId w:val="0"/>
  </w:num>
  <w:num w:numId="27" w16cid:durableId="1603142624">
    <w:abstractNumId w:val="19"/>
  </w:num>
  <w:num w:numId="28" w16cid:durableId="1634217184">
    <w:abstractNumId w:val="20"/>
  </w:num>
  <w:num w:numId="29" w16cid:durableId="7744004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5F"/>
    <w:rsid w:val="000000E8"/>
    <w:rsid w:val="00001BB5"/>
    <w:rsid w:val="00002AE8"/>
    <w:rsid w:val="00004EB3"/>
    <w:rsid w:val="00020C85"/>
    <w:rsid w:val="0002259F"/>
    <w:rsid w:val="0002634B"/>
    <w:rsid w:val="000266D8"/>
    <w:rsid w:val="000339C5"/>
    <w:rsid w:val="00035376"/>
    <w:rsid w:val="0004666C"/>
    <w:rsid w:val="00050992"/>
    <w:rsid w:val="000557EB"/>
    <w:rsid w:val="0006111C"/>
    <w:rsid w:val="00061C5B"/>
    <w:rsid w:val="00063D20"/>
    <w:rsid w:val="00063F73"/>
    <w:rsid w:val="0006629D"/>
    <w:rsid w:val="00070DB0"/>
    <w:rsid w:val="00071B53"/>
    <w:rsid w:val="000736E8"/>
    <w:rsid w:val="00073D3D"/>
    <w:rsid w:val="0007740A"/>
    <w:rsid w:val="000801B1"/>
    <w:rsid w:val="0008061E"/>
    <w:rsid w:val="00080D4B"/>
    <w:rsid w:val="00082F43"/>
    <w:rsid w:val="000838C7"/>
    <w:rsid w:val="00084640"/>
    <w:rsid w:val="00087704"/>
    <w:rsid w:val="00092D34"/>
    <w:rsid w:val="000935EC"/>
    <w:rsid w:val="000954E1"/>
    <w:rsid w:val="000A77D8"/>
    <w:rsid w:val="000A7922"/>
    <w:rsid w:val="000B37C2"/>
    <w:rsid w:val="000C29A8"/>
    <w:rsid w:val="000C60DF"/>
    <w:rsid w:val="000C628D"/>
    <w:rsid w:val="000D0222"/>
    <w:rsid w:val="000D1A0C"/>
    <w:rsid w:val="000E735A"/>
    <w:rsid w:val="000F1AB4"/>
    <w:rsid w:val="000F6311"/>
    <w:rsid w:val="00105A12"/>
    <w:rsid w:val="00114389"/>
    <w:rsid w:val="00120E67"/>
    <w:rsid w:val="00122352"/>
    <w:rsid w:val="0012564F"/>
    <w:rsid w:val="00135BD2"/>
    <w:rsid w:val="00135DF4"/>
    <w:rsid w:val="00136C04"/>
    <w:rsid w:val="00137A62"/>
    <w:rsid w:val="0014307E"/>
    <w:rsid w:val="00143EEE"/>
    <w:rsid w:val="001462C0"/>
    <w:rsid w:val="001516E1"/>
    <w:rsid w:val="00152712"/>
    <w:rsid w:val="00152F8F"/>
    <w:rsid w:val="00153302"/>
    <w:rsid w:val="00155618"/>
    <w:rsid w:val="0016092B"/>
    <w:rsid w:val="00163E86"/>
    <w:rsid w:val="00164FFE"/>
    <w:rsid w:val="001652E5"/>
    <w:rsid w:val="00166BB2"/>
    <w:rsid w:val="00166C3E"/>
    <w:rsid w:val="00172F2B"/>
    <w:rsid w:val="0017524C"/>
    <w:rsid w:val="001775FF"/>
    <w:rsid w:val="001776E0"/>
    <w:rsid w:val="0018073B"/>
    <w:rsid w:val="00183B87"/>
    <w:rsid w:val="001847E2"/>
    <w:rsid w:val="001861D4"/>
    <w:rsid w:val="001A213D"/>
    <w:rsid w:val="001A6465"/>
    <w:rsid w:val="001A78D4"/>
    <w:rsid w:val="001A7929"/>
    <w:rsid w:val="001B022E"/>
    <w:rsid w:val="001B29B8"/>
    <w:rsid w:val="001B3C62"/>
    <w:rsid w:val="001B62DE"/>
    <w:rsid w:val="001B6942"/>
    <w:rsid w:val="001C075A"/>
    <w:rsid w:val="001C3B50"/>
    <w:rsid w:val="001C719B"/>
    <w:rsid w:val="001C72B9"/>
    <w:rsid w:val="001D2406"/>
    <w:rsid w:val="001D3F18"/>
    <w:rsid w:val="001D58DD"/>
    <w:rsid w:val="001D6DDC"/>
    <w:rsid w:val="001E1197"/>
    <w:rsid w:val="001E2BBA"/>
    <w:rsid w:val="001E539C"/>
    <w:rsid w:val="001E556F"/>
    <w:rsid w:val="001E5B84"/>
    <w:rsid w:val="001E6BF4"/>
    <w:rsid w:val="001F25F8"/>
    <w:rsid w:val="001F40C7"/>
    <w:rsid w:val="001F7B1B"/>
    <w:rsid w:val="00203434"/>
    <w:rsid w:val="00204CE0"/>
    <w:rsid w:val="0021172B"/>
    <w:rsid w:val="00212AD1"/>
    <w:rsid w:val="002259C1"/>
    <w:rsid w:val="002263FB"/>
    <w:rsid w:val="002274AF"/>
    <w:rsid w:val="00227F17"/>
    <w:rsid w:val="00233268"/>
    <w:rsid w:val="0023359B"/>
    <w:rsid w:val="00237519"/>
    <w:rsid w:val="00245419"/>
    <w:rsid w:val="00246DD1"/>
    <w:rsid w:val="00250612"/>
    <w:rsid w:val="00251DA1"/>
    <w:rsid w:val="00252D45"/>
    <w:rsid w:val="00253752"/>
    <w:rsid w:val="002540EE"/>
    <w:rsid w:val="002552FA"/>
    <w:rsid w:val="0025784B"/>
    <w:rsid w:val="00270D11"/>
    <w:rsid w:val="00270D61"/>
    <w:rsid w:val="00273AFD"/>
    <w:rsid w:val="00275DE5"/>
    <w:rsid w:val="002826CB"/>
    <w:rsid w:val="0028536C"/>
    <w:rsid w:val="00293692"/>
    <w:rsid w:val="00296CAC"/>
    <w:rsid w:val="002A0A60"/>
    <w:rsid w:val="002A178C"/>
    <w:rsid w:val="002A74BA"/>
    <w:rsid w:val="002B47C4"/>
    <w:rsid w:val="002B6A7C"/>
    <w:rsid w:val="002C1D03"/>
    <w:rsid w:val="002C70A8"/>
    <w:rsid w:val="002D0CE2"/>
    <w:rsid w:val="002D19C8"/>
    <w:rsid w:val="002D2FE3"/>
    <w:rsid w:val="002D3B7C"/>
    <w:rsid w:val="002D67B0"/>
    <w:rsid w:val="002D7465"/>
    <w:rsid w:val="002D7790"/>
    <w:rsid w:val="002D7AEC"/>
    <w:rsid w:val="002E6FE3"/>
    <w:rsid w:val="002F1805"/>
    <w:rsid w:val="002F4090"/>
    <w:rsid w:val="003015FC"/>
    <w:rsid w:val="00302EFA"/>
    <w:rsid w:val="00302FB9"/>
    <w:rsid w:val="0030591E"/>
    <w:rsid w:val="003062B0"/>
    <w:rsid w:val="00307658"/>
    <w:rsid w:val="00315D4F"/>
    <w:rsid w:val="0031674D"/>
    <w:rsid w:val="003171CF"/>
    <w:rsid w:val="00317DAE"/>
    <w:rsid w:val="0032052B"/>
    <w:rsid w:val="00321C14"/>
    <w:rsid w:val="00322101"/>
    <w:rsid w:val="003226AA"/>
    <w:rsid w:val="003270E8"/>
    <w:rsid w:val="00334D3A"/>
    <w:rsid w:val="00336FEE"/>
    <w:rsid w:val="00340070"/>
    <w:rsid w:val="00343378"/>
    <w:rsid w:val="00347175"/>
    <w:rsid w:val="0034748E"/>
    <w:rsid w:val="00351998"/>
    <w:rsid w:val="003525BB"/>
    <w:rsid w:val="00353CB3"/>
    <w:rsid w:val="00353E82"/>
    <w:rsid w:val="003557F9"/>
    <w:rsid w:val="00366A33"/>
    <w:rsid w:val="00371C60"/>
    <w:rsid w:val="0037250D"/>
    <w:rsid w:val="00374316"/>
    <w:rsid w:val="00375A9C"/>
    <w:rsid w:val="00376C1B"/>
    <w:rsid w:val="003849EB"/>
    <w:rsid w:val="0038502F"/>
    <w:rsid w:val="00390749"/>
    <w:rsid w:val="003920D6"/>
    <w:rsid w:val="00395AA9"/>
    <w:rsid w:val="00396742"/>
    <w:rsid w:val="003A1AF9"/>
    <w:rsid w:val="003B29D2"/>
    <w:rsid w:val="003B3B8C"/>
    <w:rsid w:val="003B5F79"/>
    <w:rsid w:val="003C0325"/>
    <w:rsid w:val="003C0D2E"/>
    <w:rsid w:val="003C22E1"/>
    <w:rsid w:val="003C51EB"/>
    <w:rsid w:val="003C5B23"/>
    <w:rsid w:val="003C7B5A"/>
    <w:rsid w:val="003D2361"/>
    <w:rsid w:val="003D6EA7"/>
    <w:rsid w:val="003E4755"/>
    <w:rsid w:val="003E4B99"/>
    <w:rsid w:val="003F00BF"/>
    <w:rsid w:val="003F329A"/>
    <w:rsid w:val="003F33D7"/>
    <w:rsid w:val="0040622C"/>
    <w:rsid w:val="00406449"/>
    <w:rsid w:val="00406EB2"/>
    <w:rsid w:val="00410B11"/>
    <w:rsid w:val="00413B56"/>
    <w:rsid w:val="00416B88"/>
    <w:rsid w:val="00423B7C"/>
    <w:rsid w:val="00424FD2"/>
    <w:rsid w:val="0043043C"/>
    <w:rsid w:val="00430929"/>
    <w:rsid w:val="0043222E"/>
    <w:rsid w:val="0044426F"/>
    <w:rsid w:val="004518B4"/>
    <w:rsid w:val="00452F95"/>
    <w:rsid w:val="00455D20"/>
    <w:rsid w:val="00462918"/>
    <w:rsid w:val="004735A7"/>
    <w:rsid w:val="00473F84"/>
    <w:rsid w:val="004772B2"/>
    <w:rsid w:val="00486BFD"/>
    <w:rsid w:val="00486D3F"/>
    <w:rsid w:val="004872F3"/>
    <w:rsid w:val="00495350"/>
    <w:rsid w:val="004963EC"/>
    <w:rsid w:val="00497536"/>
    <w:rsid w:val="004A38FD"/>
    <w:rsid w:val="004B297E"/>
    <w:rsid w:val="004B2FDC"/>
    <w:rsid w:val="004B317D"/>
    <w:rsid w:val="004B4A76"/>
    <w:rsid w:val="004B4F21"/>
    <w:rsid w:val="004B4F2D"/>
    <w:rsid w:val="004B695B"/>
    <w:rsid w:val="004C3A28"/>
    <w:rsid w:val="004D17F7"/>
    <w:rsid w:val="004E2B40"/>
    <w:rsid w:val="004E3591"/>
    <w:rsid w:val="004E3FD3"/>
    <w:rsid w:val="004E4896"/>
    <w:rsid w:val="004F1B91"/>
    <w:rsid w:val="004F2A7A"/>
    <w:rsid w:val="004F43AA"/>
    <w:rsid w:val="004F7588"/>
    <w:rsid w:val="00500ADA"/>
    <w:rsid w:val="005126AC"/>
    <w:rsid w:val="00512929"/>
    <w:rsid w:val="00520C0D"/>
    <w:rsid w:val="005231B8"/>
    <w:rsid w:val="005247BD"/>
    <w:rsid w:val="00524F7E"/>
    <w:rsid w:val="005253A1"/>
    <w:rsid w:val="0053042C"/>
    <w:rsid w:val="005342CD"/>
    <w:rsid w:val="00535A44"/>
    <w:rsid w:val="00540A6C"/>
    <w:rsid w:val="00550FEA"/>
    <w:rsid w:val="005548A2"/>
    <w:rsid w:val="0056176F"/>
    <w:rsid w:val="00562993"/>
    <w:rsid w:val="00567830"/>
    <w:rsid w:val="00571874"/>
    <w:rsid w:val="00573EFB"/>
    <w:rsid w:val="005803ED"/>
    <w:rsid w:val="0058249F"/>
    <w:rsid w:val="005828F8"/>
    <w:rsid w:val="00597BF8"/>
    <w:rsid w:val="005A0537"/>
    <w:rsid w:val="005A2301"/>
    <w:rsid w:val="005A3ABC"/>
    <w:rsid w:val="005A6362"/>
    <w:rsid w:val="005A7663"/>
    <w:rsid w:val="005A7D92"/>
    <w:rsid w:val="005B3139"/>
    <w:rsid w:val="005B49B5"/>
    <w:rsid w:val="005B5729"/>
    <w:rsid w:val="005B6D3F"/>
    <w:rsid w:val="005C1DF8"/>
    <w:rsid w:val="005C5D05"/>
    <w:rsid w:val="005C7E88"/>
    <w:rsid w:val="005D04CB"/>
    <w:rsid w:val="005D11FC"/>
    <w:rsid w:val="005D2344"/>
    <w:rsid w:val="005D4506"/>
    <w:rsid w:val="005E2812"/>
    <w:rsid w:val="005E41D8"/>
    <w:rsid w:val="005E4892"/>
    <w:rsid w:val="005E7D73"/>
    <w:rsid w:val="005F1F0E"/>
    <w:rsid w:val="005F4716"/>
    <w:rsid w:val="00602875"/>
    <w:rsid w:val="00606C34"/>
    <w:rsid w:val="00607015"/>
    <w:rsid w:val="00607CE6"/>
    <w:rsid w:val="006144EA"/>
    <w:rsid w:val="006152E8"/>
    <w:rsid w:val="00616D37"/>
    <w:rsid w:val="00620E0C"/>
    <w:rsid w:val="00620E69"/>
    <w:rsid w:val="006210E2"/>
    <w:rsid w:val="00621770"/>
    <w:rsid w:val="0062215B"/>
    <w:rsid w:val="00625021"/>
    <w:rsid w:val="00633504"/>
    <w:rsid w:val="00636A15"/>
    <w:rsid w:val="006447F8"/>
    <w:rsid w:val="00644B38"/>
    <w:rsid w:val="006451FE"/>
    <w:rsid w:val="006467F0"/>
    <w:rsid w:val="00646C0B"/>
    <w:rsid w:val="00650028"/>
    <w:rsid w:val="0065074B"/>
    <w:rsid w:val="00651FBF"/>
    <w:rsid w:val="006542C0"/>
    <w:rsid w:val="00654523"/>
    <w:rsid w:val="006574B3"/>
    <w:rsid w:val="00660817"/>
    <w:rsid w:val="006623D0"/>
    <w:rsid w:val="006631D1"/>
    <w:rsid w:val="0066322A"/>
    <w:rsid w:val="00667593"/>
    <w:rsid w:val="00673D64"/>
    <w:rsid w:val="0067529F"/>
    <w:rsid w:val="00682549"/>
    <w:rsid w:val="006834AB"/>
    <w:rsid w:val="00684FAE"/>
    <w:rsid w:val="006850C2"/>
    <w:rsid w:val="006903A7"/>
    <w:rsid w:val="00696B4F"/>
    <w:rsid w:val="006A13D4"/>
    <w:rsid w:val="006A19C2"/>
    <w:rsid w:val="006A3D66"/>
    <w:rsid w:val="006A6B15"/>
    <w:rsid w:val="006A7BE6"/>
    <w:rsid w:val="006B17AA"/>
    <w:rsid w:val="006B4AE5"/>
    <w:rsid w:val="006C2652"/>
    <w:rsid w:val="006C331F"/>
    <w:rsid w:val="006D034A"/>
    <w:rsid w:val="006D0B75"/>
    <w:rsid w:val="006D5A93"/>
    <w:rsid w:val="006D6CBA"/>
    <w:rsid w:val="006D73A8"/>
    <w:rsid w:val="006D78E5"/>
    <w:rsid w:val="006E352B"/>
    <w:rsid w:val="006E50D7"/>
    <w:rsid w:val="006F0BA1"/>
    <w:rsid w:val="006F0EF1"/>
    <w:rsid w:val="006F116A"/>
    <w:rsid w:val="006F29F6"/>
    <w:rsid w:val="006F790C"/>
    <w:rsid w:val="00704FBF"/>
    <w:rsid w:val="00706685"/>
    <w:rsid w:val="00713382"/>
    <w:rsid w:val="00713BA0"/>
    <w:rsid w:val="0071450A"/>
    <w:rsid w:val="007154D5"/>
    <w:rsid w:val="00715E4E"/>
    <w:rsid w:val="00716DCD"/>
    <w:rsid w:val="00727B1B"/>
    <w:rsid w:val="00731252"/>
    <w:rsid w:val="007379C9"/>
    <w:rsid w:val="00741512"/>
    <w:rsid w:val="00750A70"/>
    <w:rsid w:val="007515CB"/>
    <w:rsid w:val="0076525F"/>
    <w:rsid w:val="007658D6"/>
    <w:rsid w:val="00770F70"/>
    <w:rsid w:val="00780182"/>
    <w:rsid w:val="00780880"/>
    <w:rsid w:val="00794494"/>
    <w:rsid w:val="007A0F8F"/>
    <w:rsid w:val="007A5B8E"/>
    <w:rsid w:val="007A7C4C"/>
    <w:rsid w:val="007A7DD5"/>
    <w:rsid w:val="007A7FA6"/>
    <w:rsid w:val="007B2BFA"/>
    <w:rsid w:val="007B4E57"/>
    <w:rsid w:val="007B567C"/>
    <w:rsid w:val="007B578B"/>
    <w:rsid w:val="007B7384"/>
    <w:rsid w:val="007C5244"/>
    <w:rsid w:val="007C6E3C"/>
    <w:rsid w:val="007C7E65"/>
    <w:rsid w:val="007D3627"/>
    <w:rsid w:val="007D512E"/>
    <w:rsid w:val="007D7FC6"/>
    <w:rsid w:val="007E0ECF"/>
    <w:rsid w:val="007E128C"/>
    <w:rsid w:val="007E45A5"/>
    <w:rsid w:val="007F029C"/>
    <w:rsid w:val="007F290E"/>
    <w:rsid w:val="007F6182"/>
    <w:rsid w:val="007F6340"/>
    <w:rsid w:val="007F6BAE"/>
    <w:rsid w:val="00804A73"/>
    <w:rsid w:val="00805408"/>
    <w:rsid w:val="008056DF"/>
    <w:rsid w:val="00806334"/>
    <w:rsid w:val="00806E2E"/>
    <w:rsid w:val="00807A01"/>
    <w:rsid w:val="00812245"/>
    <w:rsid w:val="008138A2"/>
    <w:rsid w:val="00815040"/>
    <w:rsid w:val="00815AC3"/>
    <w:rsid w:val="0081644C"/>
    <w:rsid w:val="008202E3"/>
    <w:rsid w:val="00820FBE"/>
    <w:rsid w:val="0082440A"/>
    <w:rsid w:val="008366EA"/>
    <w:rsid w:val="008452E1"/>
    <w:rsid w:val="00845E9B"/>
    <w:rsid w:val="00851833"/>
    <w:rsid w:val="00853735"/>
    <w:rsid w:val="00853BF3"/>
    <w:rsid w:val="008563CE"/>
    <w:rsid w:val="008622BE"/>
    <w:rsid w:val="008737FC"/>
    <w:rsid w:val="00873CFA"/>
    <w:rsid w:val="0087459D"/>
    <w:rsid w:val="00877336"/>
    <w:rsid w:val="00882112"/>
    <w:rsid w:val="0088286D"/>
    <w:rsid w:val="0088378E"/>
    <w:rsid w:val="00890959"/>
    <w:rsid w:val="008911D9"/>
    <w:rsid w:val="00895249"/>
    <w:rsid w:val="00897164"/>
    <w:rsid w:val="008A67EA"/>
    <w:rsid w:val="008B0F28"/>
    <w:rsid w:val="008B5017"/>
    <w:rsid w:val="008B5604"/>
    <w:rsid w:val="008C05A2"/>
    <w:rsid w:val="008C4FDB"/>
    <w:rsid w:val="008C5347"/>
    <w:rsid w:val="008C6F24"/>
    <w:rsid w:val="008D0951"/>
    <w:rsid w:val="008D190F"/>
    <w:rsid w:val="008D246F"/>
    <w:rsid w:val="008D5FC6"/>
    <w:rsid w:val="008D63AF"/>
    <w:rsid w:val="008E1E7C"/>
    <w:rsid w:val="008E5FD3"/>
    <w:rsid w:val="008E6345"/>
    <w:rsid w:val="008E6A13"/>
    <w:rsid w:val="008F041A"/>
    <w:rsid w:val="008F0960"/>
    <w:rsid w:val="009015CE"/>
    <w:rsid w:val="009015DC"/>
    <w:rsid w:val="0090160E"/>
    <w:rsid w:val="009022D7"/>
    <w:rsid w:val="0090295F"/>
    <w:rsid w:val="00902C18"/>
    <w:rsid w:val="00906143"/>
    <w:rsid w:val="009071AB"/>
    <w:rsid w:val="00911A2F"/>
    <w:rsid w:val="00914933"/>
    <w:rsid w:val="00916FE8"/>
    <w:rsid w:val="00922119"/>
    <w:rsid w:val="00924074"/>
    <w:rsid w:val="0092504C"/>
    <w:rsid w:val="00925727"/>
    <w:rsid w:val="00934C6B"/>
    <w:rsid w:val="00937FA1"/>
    <w:rsid w:val="00946D52"/>
    <w:rsid w:val="009476A1"/>
    <w:rsid w:val="00950198"/>
    <w:rsid w:val="009504D9"/>
    <w:rsid w:val="009562D1"/>
    <w:rsid w:val="00961A73"/>
    <w:rsid w:val="009638D4"/>
    <w:rsid w:val="009654C0"/>
    <w:rsid w:val="00967463"/>
    <w:rsid w:val="00967B28"/>
    <w:rsid w:val="0097145A"/>
    <w:rsid w:val="009730C1"/>
    <w:rsid w:val="00975211"/>
    <w:rsid w:val="0097618A"/>
    <w:rsid w:val="00984F04"/>
    <w:rsid w:val="00987728"/>
    <w:rsid w:val="00990862"/>
    <w:rsid w:val="00991DDE"/>
    <w:rsid w:val="009A0BB1"/>
    <w:rsid w:val="009A2DA1"/>
    <w:rsid w:val="009B0454"/>
    <w:rsid w:val="009B4060"/>
    <w:rsid w:val="009B62DE"/>
    <w:rsid w:val="009C0FF3"/>
    <w:rsid w:val="009C18ED"/>
    <w:rsid w:val="009C305D"/>
    <w:rsid w:val="009C426F"/>
    <w:rsid w:val="009C4842"/>
    <w:rsid w:val="009C5F5A"/>
    <w:rsid w:val="009C76A3"/>
    <w:rsid w:val="009D17C5"/>
    <w:rsid w:val="009D29FE"/>
    <w:rsid w:val="009D3AD7"/>
    <w:rsid w:val="009E4B2F"/>
    <w:rsid w:val="009F2856"/>
    <w:rsid w:val="009F731F"/>
    <w:rsid w:val="00A01E7D"/>
    <w:rsid w:val="00A12218"/>
    <w:rsid w:val="00A13372"/>
    <w:rsid w:val="00A1692D"/>
    <w:rsid w:val="00A201A3"/>
    <w:rsid w:val="00A30458"/>
    <w:rsid w:val="00A30887"/>
    <w:rsid w:val="00A309DB"/>
    <w:rsid w:val="00A316FB"/>
    <w:rsid w:val="00A36B4E"/>
    <w:rsid w:val="00A422C2"/>
    <w:rsid w:val="00A54EB1"/>
    <w:rsid w:val="00A56718"/>
    <w:rsid w:val="00A56FE7"/>
    <w:rsid w:val="00A62323"/>
    <w:rsid w:val="00A679D9"/>
    <w:rsid w:val="00A7236E"/>
    <w:rsid w:val="00A755E6"/>
    <w:rsid w:val="00A82660"/>
    <w:rsid w:val="00A828F2"/>
    <w:rsid w:val="00A85453"/>
    <w:rsid w:val="00A863C1"/>
    <w:rsid w:val="00A866F6"/>
    <w:rsid w:val="00A868BA"/>
    <w:rsid w:val="00A90581"/>
    <w:rsid w:val="00A93F9C"/>
    <w:rsid w:val="00A97336"/>
    <w:rsid w:val="00AA2258"/>
    <w:rsid w:val="00AB1582"/>
    <w:rsid w:val="00AB2835"/>
    <w:rsid w:val="00AB63CA"/>
    <w:rsid w:val="00AB69FB"/>
    <w:rsid w:val="00AB72F5"/>
    <w:rsid w:val="00AC386F"/>
    <w:rsid w:val="00AC6378"/>
    <w:rsid w:val="00AC7C09"/>
    <w:rsid w:val="00AC7EFE"/>
    <w:rsid w:val="00AD0B90"/>
    <w:rsid w:val="00AE3540"/>
    <w:rsid w:val="00AE3F9B"/>
    <w:rsid w:val="00AF1848"/>
    <w:rsid w:val="00B1003A"/>
    <w:rsid w:val="00B10A4F"/>
    <w:rsid w:val="00B119AF"/>
    <w:rsid w:val="00B14093"/>
    <w:rsid w:val="00B14119"/>
    <w:rsid w:val="00B1417D"/>
    <w:rsid w:val="00B15509"/>
    <w:rsid w:val="00B178D0"/>
    <w:rsid w:val="00B202FC"/>
    <w:rsid w:val="00B213AA"/>
    <w:rsid w:val="00B22976"/>
    <w:rsid w:val="00B238F7"/>
    <w:rsid w:val="00B31B66"/>
    <w:rsid w:val="00B31BF6"/>
    <w:rsid w:val="00B35046"/>
    <w:rsid w:val="00B373A3"/>
    <w:rsid w:val="00B37799"/>
    <w:rsid w:val="00B410B8"/>
    <w:rsid w:val="00B457EB"/>
    <w:rsid w:val="00B4633C"/>
    <w:rsid w:val="00B518DD"/>
    <w:rsid w:val="00B51FBA"/>
    <w:rsid w:val="00B55CB8"/>
    <w:rsid w:val="00B5700D"/>
    <w:rsid w:val="00B57D88"/>
    <w:rsid w:val="00B60772"/>
    <w:rsid w:val="00B62850"/>
    <w:rsid w:val="00B665DD"/>
    <w:rsid w:val="00B7331C"/>
    <w:rsid w:val="00B74C84"/>
    <w:rsid w:val="00B8437E"/>
    <w:rsid w:val="00B85AB6"/>
    <w:rsid w:val="00B873DF"/>
    <w:rsid w:val="00B90E25"/>
    <w:rsid w:val="00B94D78"/>
    <w:rsid w:val="00B972E1"/>
    <w:rsid w:val="00BA19AA"/>
    <w:rsid w:val="00BA50C9"/>
    <w:rsid w:val="00BA712C"/>
    <w:rsid w:val="00BB46F5"/>
    <w:rsid w:val="00BB5C2B"/>
    <w:rsid w:val="00BC2FD1"/>
    <w:rsid w:val="00BC5628"/>
    <w:rsid w:val="00BD1202"/>
    <w:rsid w:val="00BD1F55"/>
    <w:rsid w:val="00BD464E"/>
    <w:rsid w:val="00BD6871"/>
    <w:rsid w:val="00BD7035"/>
    <w:rsid w:val="00BE081C"/>
    <w:rsid w:val="00BE3A7E"/>
    <w:rsid w:val="00BF5520"/>
    <w:rsid w:val="00BF5A9F"/>
    <w:rsid w:val="00C02F03"/>
    <w:rsid w:val="00C1028D"/>
    <w:rsid w:val="00C11413"/>
    <w:rsid w:val="00C273D1"/>
    <w:rsid w:val="00C30648"/>
    <w:rsid w:val="00C31E27"/>
    <w:rsid w:val="00C36170"/>
    <w:rsid w:val="00C3674D"/>
    <w:rsid w:val="00C37B53"/>
    <w:rsid w:val="00C42AAB"/>
    <w:rsid w:val="00C4569A"/>
    <w:rsid w:val="00C46A39"/>
    <w:rsid w:val="00C51AC4"/>
    <w:rsid w:val="00C52B2D"/>
    <w:rsid w:val="00C56211"/>
    <w:rsid w:val="00C62A90"/>
    <w:rsid w:val="00C63648"/>
    <w:rsid w:val="00C65302"/>
    <w:rsid w:val="00C66DBA"/>
    <w:rsid w:val="00C7161D"/>
    <w:rsid w:val="00C86183"/>
    <w:rsid w:val="00C87BBF"/>
    <w:rsid w:val="00C916C0"/>
    <w:rsid w:val="00C91AB0"/>
    <w:rsid w:val="00C91B0E"/>
    <w:rsid w:val="00C93A01"/>
    <w:rsid w:val="00C953C9"/>
    <w:rsid w:val="00C96881"/>
    <w:rsid w:val="00CA0E59"/>
    <w:rsid w:val="00CA0F94"/>
    <w:rsid w:val="00CB0BE5"/>
    <w:rsid w:val="00CB5A5A"/>
    <w:rsid w:val="00CB7DB3"/>
    <w:rsid w:val="00CC2312"/>
    <w:rsid w:val="00CC2CF6"/>
    <w:rsid w:val="00CC6D63"/>
    <w:rsid w:val="00CC7950"/>
    <w:rsid w:val="00CD266E"/>
    <w:rsid w:val="00CE6ED6"/>
    <w:rsid w:val="00CE7232"/>
    <w:rsid w:val="00CF2B73"/>
    <w:rsid w:val="00CF76C6"/>
    <w:rsid w:val="00D00E52"/>
    <w:rsid w:val="00D02BA1"/>
    <w:rsid w:val="00D053EF"/>
    <w:rsid w:val="00D11CBB"/>
    <w:rsid w:val="00D13AED"/>
    <w:rsid w:val="00D23313"/>
    <w:rsid w:val="00D233BC"/>
    <w:rsid w:val="00D23EA9"/>
    <w:rsid w:val="00D24DBF"/>
    <w:rsid w:val="00D27A66"/>
    <w:rsid w:val="00D30D69"/>
    <w:rsid w:val="00D35D28"/>
    <w:rsid w:val="00D4446E"/>
    <w:rsid w:val="00D45384"/>
    <w:rsid w:val="00D45CEC"/>
    <w:rsid w:val="00D46743"/>
    <w:rsid w:val="00D54202"/>
    <w:rsid w:val="00D545A5"/>
    <w:rsid w:val="00D55409"/>
    <w:rsid w:val="00D61DAC"/>
    <w:rsid w:val="00D638F3"/>
    <w:rsid w:val="00D63A3A"/>
    <w:rsid w:val="00D70C4C"/>
    <w:rsid w:val="00D72CDD"/>
    <w:rsid w:val="00D8127C"/>
    <w:rsid w:val="00D82270"/>
    <w:rsid w:val="00D8489A"/>
    <w:rsid w:val="00D93BD6"/>
    <w:rsid w:val="00D95781"/>
    <w:rsid w:val="00DB143B"/>
    <w:rsid w:val="00DB7BA1"/>
    <w:rsid w:val="00DC15B3"/>
    <w:rsid w:val="00DC41CD"/>
    <w:rsid w:val="00DC4DC3"/>
    <w:rsid w:val="00DC4F8B"/>
    <w:rsid w:val="00DC4F91"/>
    <w:rsid w:val="00DD095B"/>
    <w:rsid w:val="00DD320C"/>
    <w:rsid w:val="00DD4004"/>
    <w:rsid w:val="00DD48F1"/>
    <w:rsid w:val="00DD4D2C"/>
    <w:rsid w:val="00DD6EBF"/>
    <w:rsid w:val="00DE128A"/>
    <w:rsid w:val="00DE193E"/>
    <w:rsid w:val="00DE34BF"/>
    <w:rsid w:val="00DF2824"/>
    <w:rsid w:val="00E00A67"/>
    <w:rsid w:val="00E00B9F"/>
    <w:rsid w:val="00E04151"/>
    <w:rsid w:val="00E06698"/>
    <w:rsid w:val="00E102EA"/>
    <w:rsid w:val="00E16FC2"/>
    <w:rsid w:val="00E20938"/>
    <w:rsid w:val="00E20BBA"/>
    <w:rsid w:val="00E237DC"/>
    <w:rsid w:val="00E32CA1"/>
    <w:rsid w:val="00E3303B"/>
    <w:rsid w:val="00E41DD8"/>
    <w:rsid w:val="00E42A1E"/>
    <w:rsid w:val="00E443D4"/>
    <w:rsid w:val="00E457D0"/>
    <w:rsid w:val="00E462DB"/>
    <w:rsid w:val="00E536EB"/>
    <w:rsid w:val="00E56230"/>
    <w:rsid w:val="00E56423"/>
    <w:rsid w:val="00E56B89"/>
    <w:rsid w:val="00E56C94"/>
    <w:rsid w:val="00E658A9"/>
    <w:rsid w:val="00E664C3"/>
    <w:rsid w:val="00E70590"/>
    <w:rsid w:val="00E73E21"/>
    <w:rsid w:val="00E744EC"/>
    <w:rsid w:val="00E81305"/>
    <w:rsid w:val="00E81BA5"/>
    <w:rsid w:val="00E82FAE"/>
    <w:rsid w:val="00E83630"/>
    <w:rsid w:val="00E878B2"/>
    <w:rsid w:val="00E87B75"/>
    <w:rsid w:val="00E91692"/>
    <w:rsid w:val="00EA2E5C"/>
    <w:rsid w:val="00EB1AFE"/>
    <w:rsid w:val="00EB2345"/>
    <w:rsid w:val="00EB5A52"/>
    <w:rsid w:val="00EC1834"/>
    <w:rsid w:val="00EC66CF"/>
    <w:rsid w:val="00EC6879"/>
    <w:rsid w:val="00ED1B58"/>
    <w:rsid w:val="00ED589D"/>
    <w:rsid w:val="00ED60DD"/>
    <w:rsid w:val="00ED6B15"/>
    <w:rsid w:val="00ED6D85"/>
    <w:rsid w:val="00EE1621"/>
    <w:rsid w:val="00EE21AF"/>
    <w:rsid w:val="00EF1837"/>
    <w:rsid w:val="00EF27AD"/>
    <w:rsid w:val="00EF2958"/>
    <w:rsid w:val="00EF2A0C"/>
    <w:rsid w:val="00EF3C4F"/>
    <w:rsid w:val="00EF4BC1"/>
    <w:rsid w:val="00EF508C"/>
    <w:rsid w:val="00F02C0C"/>
    <w:rsid w:val="00F066B0"/>
    <w:rsid w:val="00F123BD"/>
    <w:rsid w:val="00F17705"/>
    <w:rsid w:val="00F204F2"/>
    <w:rsid w:val="00F21478"/>
    <w:rsid w:val="00F22B60"/>
    <w:rsid w:val="00F24E98"/>
    <w:rsid w:val="00F331B0"/>
    <w:rsid w:val="00F347C3"/>
    <w:rsid w:val="00F350D3"/>
    <w:rsid w:val="00F3670F"/>
    <w:rsid w:val="00F422D8"/>
    <w:rsid w:val="00F448F0"/>
    <w:rsid w:val="00F51A74"/>
    <w:rsid w:val="00F52A18"/>
    <w:rsid w:val="00F52B87"/>
    <w:rsid w:val="00F5401A"/>
    <w:rsid w:val="00F55230"/>
    <w:rsid w:val="00F607E9"/>
    <w:rsid w:val="00F60850"/>
    <w:rsid w:val="00F627DE"/>
    <w:rsid w:val="00F646DA"/>
    <w:rsid w:val="00F7721A"/>
    <w:rsid w:val="00F850FA"/>
    <w:rsid w:val="00F87FAA"/>
    <w:rsid w:val="00F95690"/>
    <w:rsid w:val="00F95E57"/>
    <w:rsid w:val="00F9681C"/>
    <w:rsid w:val="00FA30A6"/>
    <w:rsid w:val="00FA4247"/>
    <w:rsid w:val="00FA7B84"/>
    <w:rsid w:val="00FB2E39"/>
    <w:rsid w:val="00FB5D98"/>
    <w:rsid w:val="00FC3280"/>
    <w:rsid w:val="00FC49BA"/>
    <w:rsid w:val="00FC5D82"/>
    <w:rsid w:val="00FD206E"/>
    <w:rsid w:val="00FD31DA"/>
    <w:rsid w:val="00FD34AF"/>
    <w:rsid w:val="00FD3D87"/>
    <w:rsid w:val="00FD4B7C"/>
    <w:rsid w:val="00FE1230"/>
    <w:rsid w:val="00FE2883"/>
    <w:rsid w:val="00FE2919"/>
    <w:rsid w:val="00FE4912"/>
    <w:rsid w:val="00FE5F20"/>
    <w:rsid w:val="00FF0A95"/>
    <w:rsid w:val="00FF25DB"/>
    <w:rsid w:val="18B272AF"/>
    <w:rsid w:val="19DEBF9B"/>
    <w:rsid w:val="1D8755E2"/>
    <w:rsid w:val="25F1C16C"/>
    <w:rsid w:val="330FDDCE"/>
    <w:rsid w:val="3312AA1E"/>
    <w:rsid w:val="3386DA5D"/>
    <w:rsid w:val="345073D7"/>
    <w:rsid w:val="34E05699"/>
    <w:rsid w:val="3F9AB995"/>
    <w:rsid w:val="4D2F7A5E"/>
    <w:rsid w:val="4ECD89DB"/>
    <w:rsid w:val="556F1AA5"/>
    <w:rsid w:val="584E4AD8"/>
    <w:rsid w:val="612B8A85"/>
    <w:rsid w:val="63F2906A"/>
    <w:rsid w:val="6501B2A7"/>
    <w:rsid w:val="694BF7D3"/>
    <w:rsid w:val="6D7BAF10"/>
    <w:rsid w:val="6DD98119"/>
    <w:rsid w:val="7C2E94C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8F3D6"/>
  <w15:docId w15:val="{EC774469-DB7D-4456-9563-A23A4619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DE"/>
    <w:pPr>
      <w:widowControl w:val="0"/>
      <w:spacing w:after="0" w:line="240" w:lineRule="auto"/>
      <w:jc w:val="both"/>
    </w:pPr>
    <w:rPr>
      <w:rFonts w:ascii="Arial" w:eastAsia="Arial" w:hAnsi="Arial" w:cs="Arial"/>
      <w:sz w:val="24"/>
      <w:szCs w:val="24"/>
      <w:lang w:eastAsia="es-MX"/>
    </w:rPr>
  </w:style>
  <w:style w:type="paragraph" w:styleId="Ttulo1">
    <w:name w:val="heading 1"/>
    <w:basedOn w:val="Normal"/>
    <w:next w:val="Normal"/>
    <w:link w:val="Ttulo1Car"/>
    <w:uiPriority w:val="9"/>
    <w:qFormat/>
    <w:rsid w:val="00DC4F91"/>
    <w:pPr>
      <w:keepNext/>
      <w:keepLines/>
      <w:numPr>
        <w:numId w:val="27"/>
      </w:numPr>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
    <w:basedOn w:val="Normal"/>
    <w:link w:val="NormalWebCar"/>
    <w:uiPriority w:val="99"/>
    <w:qFormat/>
    <w:rsid w:val="0076525F"/>
    <w:pPr>
      <w:spacing w:before="100" w:beforeAutospacing="1" w:after="100" w:afterAutospacing="1"/>
    </w:pPr>
    <w:rPr>
      <w:rFonts w:ascii="Times New Roman" w:hAnsi="Times New Roman"/>
      <w:lang w:val="es-ES" w:eastAsia="es-ES"/>
    </w:rPr>
  </w:style>
  <w:style w:type="paragraph" w:styleId="Piedepgina">
    <w:name w:val="footer"/>
    <w:basedOn w:val="Normal"/>
    <w:link w:val="PiedepginaCar"/>
    <w:uiPriority w:val="99"/>
    <w:rsid w:val="0076525F"/>
    <w:pPr>
      <w:tabs>
        <w:tab w:val="center" w:pos="4252"/>
        <w:tab w:val="right" w:pos="8504"/>
      </w:tabs>
    </w:pPr>
  </w:style>
  <w:style w:type="character" w:customStyle="1" w:styleId="PiedepginaCar">
    <w:name w:val="Pie de página Car"/>
    <w:basedOn w:val="Fuentedeprrafopredeter"/>
    <w:link w:val="Piedepgina"/>
    <w:uiPriority w:val="99"/>
    <w:rsid w:val="0076525F"/>
    <w:rPr>
      <w:rFonts w:ascii="Arial" w:eastAsia="Times New Roman" w:hAnsi="Arial" w:cs="Times New Roman"/>
      <w:sz w:val="28"/>
      <w:szCs w:val="28"/>
      <w:lang w:eastAsia="es-MX"/>
    </w:rPr>
  </w:style>
  <w:style w:type="character" w:styleId="Nmerodepgina">
    <w:name w:val="page number"/>
    <w:basedOn w:val="Fuentedeprrafopredeter"/>
    <w:rsid w:val="0076525F"/>
  </w:style>
  <w:style w:type="paragraph" w:styleId="Encabezado">
    <w:name w:val="header"/>
    <w:basedOn w:val="Normal"/>
    <w:link w:val="EncabezadoCar"/>
    <w:rsid w:val="0076525F"/>
    <w:pPr>
      <w:tabs>
        <w:tab w:val="center" w:pos="4252"/>
        <w:tab w:val="right" w:pos="8504"/>
      </w:tabs>
    </w:pPr>
  </w:style>
  <w:style w:type="character" w:customStyle="1" w:styleId="EncabezadoCar">
    <w:name w:val="Encabezado Car"/>
    <w:basedOn w:val="Fuentedeprrafopredeter"/>
    <w:link w:val="Encabezado"/>
    <w:rsid w:val="0076525F"/>
    <w:rPr>
      <w:rFonts w:ascii="Arial" w:eastAsia="Times New Roman" w:hAnsi="Arial" w:cs="Times New Roman"/>
      <w:sz w:val="28"/>
      <w:szCs w:val="28"/>
      <w:lang w:eastAsia="es-MX"/>
    </w:rPr>
  </w:style>
  <w:style w:type="paragraph" w:styleId="Sangradetextonormal">
    <w:name w:val="Body Text Indent"/>
    <w:basedOn w:val="Normal"/>
    <w:link w:val="SangradetextonormalCar"/>
    <w:rsid w:val="0076525F"/>
    <w:pPr>
      <w:spacing w:line="480" w:lineRule="auto"/>
      <w:ind w:firstLine="708"/>
    </w:pPr>
    <w:rPr>
      <w:rFonts w:ascii="Univers" w:hAnsi="Univers"/>
      <w:lang w:val="es-ES" w:eastAsia="es-ES"/>
    </w:rPr>
  </w:style>
  <w:style w:type="character" w:customStyle="1" w:styleId="SangradetextonormalCar">
    <w:name w:val="Sangría de texto normal Car"/>
    <w:basedOn w:val="Fuentedeprrafopredeter"/>
    <w:link w:val="Sangradetextonormal"/>
    <w:rsid w:val="0076525F"/>
    <w:rPr>
      <w:rFonts w:ascii="Univers" w:eastAsia="Times New Roman" w:hAnsi="Univers" w:cs="Arial"/>
      <w:sz w:val="28"/>
      <w:szCs w:val="28"/>
      <w:lang w:val="es-ES" w:eastAsia="es-ES"/>
    </w:rPr>
  </w:style>
  <w:style w:type="paragraph" w:styleId="Prrafodelista">
    <w:name w:val="List Paragraph"/>
    <w:aliases w:val="CNBV Parrafo1,Párrafo de lista1,Parrafo 1,Lista multicolor - Énfasis 11,Cuadrícula media 1 - Énfasis 21,List Paragraph-Thesis,Listas,Lista vistosa - Énfasis 11,Cita texto,Lista vistosa - Énfasis 111"/>
    <w:basedOn w:val="Normal"/>
    <w:link w:val="PrrafodelistaCar"/>
    <w:uiPriority w:val="34"/>
    <w:qFormat/>
    <w:rsid w:val="0076525F"/>
    <w:pPr>
      <w:ind w:left="720"/>
      <w:contextualSpacing/>
    </w:pPr>
  </w:style>
  <w:style w:type="table" w:styleId="Tablaconcuadrcula">
    <w:name w:val="Table Grid"/>
    <w:basedOn w:val="Tablanormal"/>
    <w:uiPriority w:val="39"/>
    <w:rsid w:val="0076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
    <w:basedOn w:val="Fuentedeprrafopredeter"/>
    <w:link w:val="Prrafodelista"/>
    <w:uiPriority w:val="34"/>
    <w:locked/>
    <w:rsid w:val="0076525F"/>
    <w:rPr>
      <w:rFonts w:ascii="Arial" w:eastAsia="Times New Roman" w:hAnsi="Arial" w:cs="Times New Roman"/>
      <w:sz w:val="28"/>
      <w:szCs w:val="28"/>
      <w:lang w:eastAsia="es-MX"/>
    </w:rPr>
  </w:style>
  <w:style w:type="paragraph" w:customStyle="1" w:styleId="Default">
    <w:name w:val="Default"/>
    <w:rsid w:val="007F634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020C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C85"/>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5E2812"/>
    <w:rPr>
      <w:color w:val="0000FF"/>
      <w:u w:val="single"/>
    </w:rPr>
  </w:style>
  <w:style w:type="character" w:styleId="Mencinsinresolver">
    <w:name w:val="Unresolved Mention"/>
    <w:basedOn w:val="Fuentedeprrafopredeter"/>
    <w:uiPriority w:val="99"/>
    <w:semiHidden/>
    <w:unhideWhenUsed/>
    <w:rsid w:val="00EF1837"/>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Car,Car3, Car"/>
    <w:basedOn w:val="Normal"/>
    <w:link w:val="TextonotapieCar"/>
    <w:uiPriority w:val="99"/>
    <w:unhideWhenUsed/>
    <w:qFormat/>
    <w:rsid w:val="00FD206E"/>
    <w:pPr>
      <w:keepLines/>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FD206E"/>
    <w:rPr>
      <w:rFonts w:ascii="Arial" w:eastAsia="Arial" w:hAnsi="Arial" w:cs="Arial"/>
      <w:sz w:val="20"/>
      <w:szCs w:val="20"/>
      <w:lang w:eastAsia="es-MX"/>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2B47C4"/>
    <w:rPr>
      <w:vertAlign w:val="superscript"/>
    </w:rPr>
  </w:style>
  <w:style w:type="paragraph" w:styleId="Sinespaciado">
    <w:name w:val="No Spacing"/>
    <w:uiPriority w:val="99"/>
    <w:qFormat/>
    <w:rsid w:val="00D00E52"/>
    <w:pPr>
      <w:spacing w:after="0" w:line="240" w:lineRule="auto"/>
      <w:jc w:val="both"/>
    </w:pPr>
    <w:rPr>
      <w:rFonts w:ascii="Arial" w:eastAsia="Calibri" w:hAnsi="Arial" w:cs="Arial"/>
      <w:sz w:val="24"/>
      <w:szCs w:val="24"/>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A19C2"/>
    <w:rPr>
      <w:rFonts w:asciiTheme="minorHAnsi" w:eastAsiaTheme="minorHAnsi" w:hAnsiTheme="minorHAnsi" w:cstheme="minorBidi"/>
      <w:sz w:val="22"/>
      <w:szCs w:val="22"/>
      <w:vertAlign w:val="superscript"/>
      <w:lang w:eastAsia="en-US"/>
    </w:rPr>
  </w:style>
  <w:style w:type="table" w:styleId="Tablaconcuadrcula4-nfasis6">
    <w:name w:val="Grid Table 4 Accent 6"/>
    <w:basedOn w:val="Tablanormal"/>
    <w:uiPriority w:val="49"/>
    <w:rsid w:val="005F1F0E"/>
    <w:pPr>
      <w:spacing w:after="0" w:line="240" w:lineRule="auto"/>
    </w:pPr>
    <w:rPr>
      <w:rFonts w:ascii="Arial" w:hAnsi="Arial" w:cs="Arial"/>
      <w:kern w:val="2"/>
      <w:sz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7E45A5"/>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DC4F91"/>
    <w:rPr>
      <w:rFonts w:ascii="Arial" w:eastAsia="Arial" w:hAnsi="Arial" w:cs="Arial"/>
      <w:b/>
      <w:bCs/>
      <w:sz w:val="24"/>
      <w:szCs w:val="24"/>
      <w:lang w:eastAsia="es-MX"/>
    </w:rPr>
  </w:style>
  <w:style w:type="paragraph" w:customStyle="1" w:styleId="TABLA">
    <w:name w:val="TABLA"/>
    <w:basedOn w:val="Normal"/>
    <w:link w:val="TABLACar"/>
    <w:qFormat/>
    <w:rsid w:val="00163E86"/>
    <w:pPr>
      <w:jc w:val="center"/>
    </w:pPr>
    <w:rPr>
      <w:rFonts w:eastAsia="Times New Roman"/>
      <w:b/>
      <w:bCs/>
    </w:rPr>
  </w:style>
  <w:style w:type="character" w:customStyle="1" w:styleId="TABLACar">
    <w:name w:val="TABLA Car"/>
    <w:basedOn w:val="Fuentedeprrafopredeter"/>
    <w:link w:val="TABLA"/>
    <w:rsid w:val="00163E86"/>
    <w:rPr>
      <w:rFonts w:ascii="Arial" w:eastAsia="Times New Roman" w:hAnsi="Arial" w:cs="Arial"/>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8923639">
      <w:bodyDiv w:val="1"/>
      <w:marLeft w:val="0"/>
      <w:marRight w:val="0"/>
      <w:marTop w:val="0"/>
      <w:marBottom w:val="0"/>
      <w:divBdr>
        <w:top w:val="none" w:sz="0" w:space="0" w:color="auto"/>
        <w:left w:val="none" w:sz="0" w:space="0" w:color="auto"/>
        <w:bottom w:val="none" w:sz="0" w:space="0" w:color="auto"/>
        <w:right w:val="none" w:sz="0" w:space="0" w:color="auto"/>
      </w:divBdr>
    </w:div>
    <w:div w:id="592737245">
      <w:bodyDiv w:val="1"/>
      <w:marLeft w:val="0"/>
      <w:marRight w:val="0"/>
      <w:marTop w:val="0"/>
      <w:marBottom w:val="0"/>
      <w:divBdr>
        <w:top w:val="none" w:sz="0" w:space="0" w:color="auto"/>
        <w:left w:val="none" w:sz="0" w:space="0" w:color="auto"/>
        <w:bottom w:val="none" w:sz="0" w:space="0" w:color="auto"/>
        <w:right w:val="none" w:sz="0" w:space="0" w:color="auto"/>
      </w:divBdr>
    </w:div>
    <w:div w:id="682391780">
      <w:bodyDiv w:val="1"/>
      <w:marLeft w:val="0"/>
      <w:marRight w:val="0"/>
      <w:marTop w:val="0"/>
      <w:marBottom w:val="0"/>
      <w:divBdr>
        <w:top w:val="none" w:sz="0" w:space="0" w:color="auto"/>
        <w:left w:val="none" w:sz="0" w:space="0" w:color="auto"/>
        <w:bottom w:val="none" w:sz="0" w:space="0" w:color="auto"/>
        <w:right w:val="none" w:sz="0" w:space="0" w:color="auto"/>
      </w:divBdr>
    </w:div>
    <w:div w:id="1183205353">
      <w:bodyDiv w:val="1"/>
      <w:marLeft w:val="0"/>
      <w:marRight w:val="0"/>
      <w:marTop w:val="0"/>
      <w:marBottom w:val="0"/>
      <w:divBdr>
        <w:top w:val="none" w:sz="0" w:space="0" w:color="auto"/>
        <w:left w:val="none" w:sz="0" w:space="0" w:color="auto"/>
        <w:bottom w:val="none" w:sz="0" w:space="0" w:color="auto"/>
        <w:right w:val="none" w:sz="0" w:space="0" w:color="auto"/>
      </w:divBdr>
    </w:div>
    <w:div w:id="1546747690">
      <w:bodyDiv w:val="1"/>
      <w:marLeft w:val="0"/>
      <w:marRight w:val="0"/>
      <w:marTop w:val="0"/>
      <w:marBottom w:val="0"/>
      <w:divBdr>
        <w:top w:val="none" w:sz="0" w:space="0" w:color="auto"/>
        <w:left w:val="none" w:sz="0" w:space="0" w:color="auto"/>
        <w:bottom w:val="none" w:sz="0" w:space="0" w:color="auto"/>
        <w:right w:val="none" w:sz="0" w:space="0" w:color="auto"/>
      </w:divBdr>
    </w:div>
    <w:div w:id="1622958555">
      <w:bodyDiv w:val="1"/>
      <w:marLeft w:val="0"/>
      <w:marRight w:val="0"/>
      <w:marTop w:val="0"/>
      <w:marBottom w:val="0"/>
      <w:divBdr>
        <w:top w:val="none" w:sz="0" w:space="0" w:color="auto"/>
        <w:left w:val="none" w:sz="0" w:space="0" w:color="auto"/>
        <w:bottom w:val="none" w:sz="0" w:space="0" w:color="auto"/>
        <w:right w:val="none" w:sz="0" w:space="0" w:color="auto"/>
      </w:divBdr>
    </w:div>
    <w:div w:id="1919249363">
      <w:bodyDiv w:val="1"/>
      <w:marLeft w:val="0"/>
      <w:marRight w:val="0"/>
      <w:marTop w:val="0"/>
      <w:marBottom w:val="0"/>
      <w:divBdr>
        <w:top w:val="none" w:sz="0" w:space="0" w:color="auto"/>
        <w:left w:val="none" w:sz="0" w:space="0" w:color="auto"/>
        <w:bottom w:val="none" w:sz="0" w:space="0" w:color="auto"/>
        <w:right w:val="none" w:sz="0" w:space="0" w:color="auto"/>
      </w:divBdr>
    </w:div>
    <w:div w:id="196997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ddfa5b-ece9-4063-8360-2c9c291e12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032AC482F50D54E848369EF7E761102" ma:contentTypeVersion="9" ma:contentTypeDescription="Crear nuevo documento." ma:contentTypeScope="" ma:versionID="a8177a925802c12e1639563b44d62cb5">
  <xsd:schema xmlns:xsd="http://www.w3.org/2001/XMLSchema" xmlns:xs="http://www.w3.org/2001/XMLSchema" xmlns:p="http://schemas.microsoft.com/office/2006/metadata/properties" xmlns:ns3="4cddfa5b-ece9-4063-8360-2c9c291e12ec" targetNamespace="http://schemas.microsoft.com/office/2006/metadata/properties" ma:root="true" ma:fieldsID="ae822756807fffb5a70d7e1a66000f5a" ns3:_="">
    <xsd:import namespace="4cddfa5b-ece9-4063-8360-2c9c291e12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dfa5b-ece9-4063-8360-2c9c291e12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8899E-F054-402F-B6C8-45C4F9A0B0F3}">
  <ds:schemaRefs>
    <ds:schemaRef ds:uri="http://schemas.microsoft.com/office/2006/metadata/properties"/>
    <ds:schemaRef ds:uri="http://schemas.microsoft.com/office/infopath/2007/PartnerControls"/>
    <ds:schemaRef ds:uri="4cddfa5b-ece9-4063-8360-2c9c291e12ec"/>
  </ds:schemaRefs>
</ds:datastoreItem>
</file>

<file path=customXml/itemProps2.xml><?xml version="1.0" encoding="utf-8"?>
<ds:datastoreItem xmlns:ds="http://schemas.openxmlformats.org/officeDocument/2006/customXml" ds:itemID="{A1B57321-3DE5-4CF1-8B59-77078D9EAD45}">
  <ds:schemaRefs>
    <ds:schemaRef ds:uri="http://schemas.openxmlformats.org/officeDocument/2006/bibliography"/>
  </ds:schemaRefs>
</ds:datastoreItem>
</file>

<file path=customXml/itemProps3.xml><?xml version="1.0" encoding="utf-8"?>
<ds:datastoreItem xmlns:ds="http://schemas.openxmlformats.org/officeDocument/2006/customXml" ds:itemID="{79C5566D-4BBC-4016-B227-92B087FDAAB3}">
  <ds:schemaRefs>
    <ds:schemaRef ds:uri="http://schemas.microsoft.com/sharepoint/v3/contenttype/forms"/>
  </ds:schemaRefs>
</ds:datastoreItem>
</file>

<file path=customXml/itemProps4.xml><?xml version="1.0" encoding="utf-8"?>
<ds:datastoreItem xmlns:ds="http://schemas.openxmlformats.org/officeDocument/2006/customXml" ds:itemID="{0617E1D4-899D-4A2C-9F4B-ABE4AA023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dfa5b-ece9-4063-8360-2c9c291e1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2294</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Magistrado Salvador</dc:creator>
  <cp:keywords/>
  <dc:description/>
  <cp:lastModifiedBy>VICTOR HUGO ARROYO SANDOVAL</cp:lastModifiedBy>
  <cp:revision>5</cp:revision>
  <cp:lastPrinted>2026-05-20T18:54:00Z</cp:lastPrinted>
  <dcterms:created xsi:type="dcterms:W3CDTF">2026-05-28T17:07:00Z</dcterms:created>
  <dcterms:modified xsi:type="dcterms:W3CDTF">2026-05-28T17:37:00Z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0x010100C032AC482F50D54E848369EF7E761102</vt:lpwstr>
  </property>
</Properties>
</file>