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ACBC5" w14:textId="77777777" w:rsidR="00D625BB" w:rsidRDefault="00000000">
      <w:pPr>
        <w:spacing w:after="0" w:line="240" w:lineRule="auto"/>
        <w:jc w:val="both"/>
        <w:rPr>
          <w:rFonts w:ascii="Arial" w:eastAsia="Arial" w:hAnsi="Arial" w:cs="Arial"/>
          <w:sz w:val="24"/>
          <w:szCs w:val="24"/>
        </w:rPr>
      </w:pPr>
      <w:r>
        <w:rPr>
          <w:rFonts w:ascii="Arial" w:eastAsia="Arial" w:hAnsi="Arial" w:cs="Arial"/>
          <w:noProof/>
          <w:sz w:val="24"/>
          <w:szCs w:val="24"/>
        </w:rPr>
        <mc:AlternateContent>
          <mc:Choice Requires="wps">
            <w:drawing>
              <wp:anchor distT="0" distB="0" distL="114300" distR="114300" simplePos="0" relativeHeight="251658240" behindDoc="0" locked="0" layoutInCell="1" hidden="0" allowOverlap="1" wp14:anchorId="12B05CD1" wp14:editId="12E56AF6">
                <wp:simplePos x="0" y="0"/>
                <wp:positionH relativeFrom="margin">
                  <wp:posOffset>2048511</wp:posOffset>
                </wp:positionH>
                <wp:positionV relativeFrom="margin">
                  <wp:posOffset>-414017</wp:posOffset>
                </wp:positionV>
                <wp:extent cx="2917825" cy="4324350"/>
                <wp:effectExtent l="0" t="0" r="0" b="0"/>
                <wp:wrapSquare wrapText="bothSides" distT="0" distB="0" distL="114300" distR="114300"/>
                <wp:docPr id="1808212065" name="Rectángulo 1808212065"/>
                <wp:cNvGraphicFramePr/>
                <a:graphic xmlns:a="http://schemas.openxmlformats.org/drawingml/2006/main">
                  <a:graphicData uri="http://schemas.microsoft.com/office/word/2010/wordprocessingShape">
                    <wps:wsp>
                      <wps:cNvSpPr/>
                      <wps:spPr>
                        <a:xfrm>
                          <a:off x="3896613" y="1627350"/>
                          <a:ext cx="2898775" cy="4305300"/>
                        </a:xfrm>
                        <a:prstGeom prst="rect">
                          <a:avLst/>
                        </a:prstGeom>
                        <a:solidFill>
                          <a:srgbClr val="FFFFFF"/>
                        </a:solidFill>
                        <a:ln w="9525" cap="flat" cmpd="sng">
                          <a:solidFill>
                            <a:srgbClr val="FFFFFF"/>
                          </a:solidFill>
                          <a:prstDash val="solid"/>
                          <a:miter lim="800000"/>
                          <a:headEnd type="none" w="sm" len="sm"/>
                          <a:tailEnd type="none" w="sm" len="sm"/>
                        </a:ln>
                      </wps:spPr>
                      <wps:txbx>
                        <w:txbxContent>
                          <w:p w14:paraId="703C9A1D" w14:textId="77777777" w:rsidR="00D625BB" w:rsidRDefault="00000000">
                            <w:pPr>
                              <w:spacing w:before="240" w:after="100" w:line="275" w:lineRule="auto"/>
                              <w:jc w:val="center"/>
                              <w:textDirection w:val="btLr"/>
                            </w:pPr>
                            <w:r>
                              <w:rPr>
                                <w:rFonts w:ascii="Arial" w:eastAsia="Arial" w:hAnsi="Arial" w:cs="Arial"/>
                                <w:b/>
                                <w:color w:val="000000"/>
                              </w:rPr>
                              <w:t>INCIDENTE DE INCUMPLIMIENTO DE SENTENCIA</w:t>
                            </w:r>
                          </w:p>
                          <w:p w14:paraId="5FF14531" w14:textId="77777777" w:rsidR="00D625BB" w:rsidRDefault="00000000">
                            <w:pPr>
                              <w:spacing w:before="240" w:after="100" w:line="275" w:lineRule="auto"/>
                              <w:jc w:val="center"/>
                              <w:textDirection w:val="btLr"/>
                            </w:pPr>
                            <w:r>
                              <w:rPr>
                                <w:rFonts w:ascii="Arial" w:eastAsia="Arial" w:hAnsi="Arial" w:cs="Arial"/>
                                <w:b/>
                                <w:color w:val="000000"/>
                              </w:rPr>
                              <w:t>JUICIO PARA LA PROTECCIÓN DE LOS DERECHOS POLÍTICO-ELECTORALES DEL CIUDADANO</w:t>
                            </w:r>
                          </w:p>
                          <w:p w14:paraId="45F84FFA" w14:textId="77777777" w:rsidR="00D625BB" w:rsidRDefault="00000000">
                            <w:pPr>
                              <w:spacing w:before="240" w:after="100" w:line="275" w:lineRule="auto"/>
                              <w:jc w:val="both"/>
                              <w:textDirection w:val="btLr"/>
                            </w:pPr>
                            <w:r>
                              <w:rPr>
                                <w:rFonts w:ascii="Arial" w:eastAsia="Arial" w:hAnsi="Arial" w:cs="Arial"/>
                                <w:b/>
                                <w:color w:val="000000"/>
                              </w:rPr>
                              <w:t xml:space="preserve">EXPEDIENTE: </w:t>
                            </w:r>
                            <w:r>
                              <w:rPr>
                                <w:rFonts w:ascii="Arial" w:eastAsia="Arial" w:hAnsi="Arial" w:cs="Arial"/>
                                <w:color w:val="000000"/>
                              </w:rPr>
                              <w:t>TEEM-JDC-001/2026</w:t>
                            </w:r>
                          </w:p>
                          <w:p w14:paraId="6221083A" w14:textId="77777777" w:rsidR="00D625BB" w:rsidRDefault="00000000">
                            <w:pPr>
                              <w:spacing w:before="240" w:after="100" w:line="275" w:lineRule="auto"/>
                              <w:jc w:val="both"/>
                              <w:textDirection w:val="btLr"/>
                            </w:pPr>
                            <w:r>
                              <w:rPr>
                                <w:rFonts w:ascii="Arial" w:eastAsia="Arial" w:hAnsi="Arial" w:cs="Arial"/>
                                <w:b/>
                                <w:color w:val="000000"/>
                              </w:rPr>
                              <w:t xml:space="preserve">INCIDENTISTA: </w:t>
                            </w:r>
                            <w:r>
                              <w:rPr>
                                <w:rFonts w:ascii="Arial" w:eastAsia="Arial" w:hAnsi="Arial" w:cs="Arial"/>
                                <w:color w:val="000000"/>
                              </w:rPr>
                              <w:t>IRMA VILLAGÓMEZ CARBAJAL</w:t>
                            </w:r>
                          </w:p>
                          <w:p w14:paraId="2845942E" w14:textId="77777777" w:rsidR="00D625BB" w:rsidRDefault="00000000">
                            <w:pPr>
                              <w:spacing w:before="240" w:after="100" w:line="275" w:lineRule="auto"/>
                              <w:jc w:val="both"/>
                              <w:textDirection w:val="btLr"/>
                            </w:pPr>
                            <w:r>
                              <w:rPr>
                                <w:rFonts w:ascii="Arial" w:eastAsia="Arial" w:hAnsi="Arial" w:cs="Arial"/>
                                <w:b/>
                                <w:color w:val="000000"/>
                              </w:rPr>
                              <w:t xml:space="preserve">AUTORIDAD RESPONSABLE: </w:t>
                            </w:r>
                            <w:r>
                              <w:rPr>
                                <w:rFonts w:ascii="Arial" w:eastAsia="Arial" w:hAnsi="Arial" w:cs="Arial"/>
                                <w:color w:val="000000"/>
                              </w:rPr>
                              <w:t>COMISIÓN NACIONAL DE JUSTICIA PARTIDARIA DEL PARTIDO REVOLUCIONARIO INSTITUCIONAL</w:t>
                            </w:r>
                          </w:p>
                          <w:p w14:paraId="10526CE6" w14:textId="77777777" w:rsidR="00D625BB" w:rsidRDefault="00000000">
                            <w:pPr>
                              <w:spacing w:before="240" w:after="100" w:line="275" w:lineRule="auto"/>
                              <w:jc w:val="both"/>
                              <w:textDirection w:val="btLr"/>
                            </w:pPr>
                            <w:r>
                              <w:rPr>
                                <w:rFonts w:ascii="Arial" w:eastAsia="Arial" w:hAnsi="Arial" w:cs="Arial"/>
                                <w:b/>
                                <w:color w:val="000000"/>
                              </w:rPr>
                              <w:t xml:space="preserve">MAGISTRADO PONENTE:  </w:t>
                            </w:r>
                            <w:r>
                              <w:rPr>
                                <w:rFonts w:ascii="Arial" w:eastAsia="Arial" w:hAnsi="Arial" w:cs="Arial"/>
                                <w:color w:val="000000"/>
                              </w:rPr>
                              <w:t>ADRIÁN HERNÁNDEZ PINEDO</w:t>
                            </w:r>
                          </w:p>
                          <w:p w14:paraId="45287245" w14:textId="77777777" w:rsidR="00D625BB" w:rsidRDefault="00000000">
                            <w:pPr>
                              <w:spacing w:before="240" w:after="100" w:line="275" w:lineRule="auto"/>
                              <w:jc w:val="both"/>
                              <w:textDirection w:val="btLr"/>
                            </w:pPr>
                            <w:r>
                              <w:rPr>
                                <w:rFonts w:ascii="Arial" w:eastAsia="Arial" w:hAnsi="Arial" w:cs="Arial"/>
                                <w:b/>
                                <w:color w:val="000000"/>
                              </w:rPr>
                              <w:t>SECRETARIA INSTRUCTORA Y PROYECTISTA:</w:t>
                            </w:r>
                            <w:r>
                              <w:rPr>
                                <w:rFonts w:ascii="Arial" w:eastAsia="Arial" w:hAnsi="Arial" w:cs="Arial"/>
                                <w:color w:val="000000"/>
                              </w:rPr>
                              <w:t xml:space="preserve"> MARÍA FERNANDA MENDOZA MÉNDEZ</w:t>
                            </w:r>
                          </w:p>
                          <w:p w14:paraId="3BB49C2E" w14:textId="77777777" w:rsidR="00D625BB" w:rsidRDefault="00D625BB">
                            <w:pPr>
                              <w:spacing w:before="100" w:after="100" w:line="264" w:lineRule="auto"/>
                              <w:jc w:val="both"/>
                              <w:textDirection w:val="btLr"/>
                            </w:pPr>
                          </w:p>
                        </w:txbxContent>
                      </wps:txbx>
                      <wps:bodyPr spcFirstLastPara="1" wrap="square" lIns="91425" tIns="45700" rIns="91425" bIns="45700" anchor="t" anchorCtr="0">
                        <a:noAutofit/>
                      </wps:bodyPr>
                    </wps:wsp>
                  </a:graphicData>
                </a:graphic>
              </wp:anchor>
            </w:drawing>
          </mc:Choice>
          <mc:Fallback>
            <w:pict>
              <v:rect w14:anchorId="12B05CD1" id="Rectángulo 1808212065" o:spid="_x0000_s1026" style="position:absolute;left:0;text-align:left;margin-left:161.3pt;margin-top:-32.6pt;width:229.75pt;height:340.5pt;z-index:251658240;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" strokecolor="white">
                <v:stroke startarrowwidth="narrow" startarrowlength="short" endarrowwidth="narrow" endarrowlength="short"/>
                <v:textbox inset="2.53958mm,1.2694mm,2.53958mm,1.2694mm">
                  <w:txbxContent>
                    <w:p w14:paraId="703C9A1D" w14:textId="77777777" w:rsidR="00D625BB" w:rsidRDefault="00000000">
                      <w:pPr>
                        <w:spacing w:before="240" w:after="100" w:line="275" w:lineRule="auto"/>
                        <w:jc w:val="center"/>
                        <w:textDirection w:val="btLr"/>
                      </w:pPr>
                      <w:r>
                        <w:rPr>
                          <w:rFonts w:ascii="Arial" w:eastAsia="Arial" w:hAnsi="Arial" w:cs="Arial"/>
                          <w:b/>
                          <w:color w:val="000000"/>
                        </w:rPr>
                        <w:t>INCIDENTE DE INCUMPLIMIENTO DE SENTENCIA</w:t>
                      </w:r>
                    </w:p>
                    <w:p w14:paraId="5FF14531" w14:textId="77777777" w:rsidR="00D625BB" w:rsidRDefault="00000000">
                      <w:pPr>
                        <w:spacing w:before="240" w:after="100" w:line="275" w:lineRule="auto"/>
                        <w:jc w:val="center"/>
                        <w:textDirection w:val="btLr"/>
                      </w:pPr>
                      <w:r>
                        <w:rPr>
                          <w:rFonts w:ascii="Arial" w:eastAsia="Arial" w:hAnsi="Arial" w:cs="Arial"/>
                          <w:b/>
                          <w:color w:val="000000"/>
                        </w:rPr>
                        <w:t>JUICIO PARA LA PROTECCIÓN DE LOS DERECHOS POLÍTICO-ELECTORALES DEL CIUDADANO</w:t>
                      </w:r>
                    </w:p>
                    <w:p w14:paraId="45F84FFA" w14:textId="77777777" w:rsidR="00D625BB" w:rsidRDefault="00000000">
                      <w:pPr>
                        <w:spacing w:before="240" w:after="100" w:line="275" w:lineRule="auto"/>
                        <w:jc w:val="both"/>
                        <w:textDirection w:val="btLr"/>
                      </w:pPr>
                      <w:r>
                        <w:rPr>
                          <w:rFonts w:ascii="Arial" w:eastAsia="Arial" w:hAnsi="Arial" w:cs="Arial"/>
                          <w:b/>
                          <w:color w:val="000000"/>
                        </w:rPr>
                        <w:t xml:space="preserve">EXPEDIENTE: </w:t>
                      </w:r>
                      <w:r>
                        <w:rPr>
                          <w:rFonts w:ascii="Arial" w:eastAsia="Arial" w:hAnsi="Arial" w:cs="Arial"/>
                          <w:color w:val="000000"/>
                        </w:rPr>
                        <w:t>TEEM-JDC-001/2026</w:t>
                      </w:r>
                    </w:p>
                    <w:p w14:paraId="6221083A" w14:textId="77777777" w:rsidR="00D625BB" w:rsidRDefault="00000000">
                      <w:pPr>
                        <w:spacing w:before="240" w:after="100" w:line="275" w:lineRule="auto"/>
                        <w:jc w:val="both"/>
                        <w:textDirection w:val="btLr"/>
                      </w:pPr>
                      <w:r>
                        <w:rPr>
                          <w:rFonts w:ascii="Arial" w:eastAsia="Arial" w:hAnsi="Arial" w:cs="Arial"/>
                          <w:b/>
                          <w:color w:val="000000"/>
                        </w:rPr>
                        <w:t xml:space="preserve">INCIDENTISTA: </w:t>
                      </w:r>
                      <w:r>
                        <w:rPr>
                          <w:rFonts w:ascii="Arial" w:eastAsia="Arial" w:hAnsi="Arial" w:cs="Arial"/>
                          <w:color w:val="000000"/>
                        </w:rPr>
                        <w:t>IRMA VILLAGÓMEZ CARBAJAL</w:t>
                      </w:r>
                    </w:p>
                    <w:p w14:paraId="2845942E" w14:textId="77777777" w:rsidR="00D625BB" w:rsidRDefault="00000000">
                      <w:pPr>
                        <w:spacing w:before="240" w:after="100" w:line="275" w:lineRule="auto"/>
                        <w:jc w:val="both"/>
                        <w:textDirection w:val="btLr"/>
                      </w:pPr>
                      <w:r>
                        <w:rPr>
                          <w:rFonts w:ascii="Arial" w:eastAsia="Arial" w:hAnsi="Arial" w:cs="Arial"/>
                          <w:b/>
                          <w:color w:val="000000"/>
                        </w:rPr>
                        <w:t xml:space="preserve">AUTORIDAD RESPONSABLE: </w:t>
                      </w:r>
                      <w:r>
                        <w:rPr>
                          <w:rFonts w:ascii="Arial" w:eastAsia="Arial" w:hAnsi="Arial" w:cs="Arial"/>
                          <w:color w:val="000000"/>
                        </w:rPr>
                        <w:t>COMISIÓN NACIONAL DE JUSTICIA PARTIDARIA DEL PARTIDO REVOLUCIONARIO INSTITUCIONAL</w:t>
                      </w:r>
                    </w:p>
                    <w:p w14:paraId="10526CE6" w14:textId="77777777" w:rsidR="00D625BB" w:rsidRDefault="00000000">
                      <w:pPr>
                        <w:spacing w:before="240" w:after="100" w:line="275" w:lineRule="auto"/>
                        <w:jc w:val="both"/>
                        <w:textDirection w:val="btLr"/>
                      </w:pPr>
                      <w:r>
                        <w:rPr>
                          <w:rFonts w:ascii="Arial" w:eastAsia="Arial" w:hAnsi="Arial" w:cs="Arial"/>
                          <w:b/>
                          <w:color w:val="000000"/>
                        </w:rPr>
                        <w:t xml:space="preserve">MAGISTRADO PONENTE:  </w:t>
                      </w:r>
                      <w:r>
                        <w:rPr>
                          <w:rFonts w:ascii="Arial" w:eastAsia="Arial" w:hAnsi="Arial" w:cs="Arial"/>
                          <w:color w:val="000000"/>
                        </w:rPr>
                        <w:t>ADRIÁN HERNÁNDEZ PINEDO</w:t>
                      </w:r>
                    </w:p>
                    <w:p w14:paraId="45287245" w14:textId="77777777" w:rsidR="00D625BB" w:rsidRDefault="00000000">
                      <w:pPr>
                        <w:spacing w:before="240" w:after="100" w:line="275" w:lineRule="auto"/>
                        <w:jc w:val="both"/>
                        <w:textDirection w:val="btLr"/>
                      </w:pPr>
                      <w:r>
                        <w:rPr>
                          <w:rFonts w:ascii="Arial" w:eastAsia="Arial" w:hAnsi="Arial" w:cs="Arial"/>
                          <w:b/>
                          <w:color w:val="000000"/>
                        </w:rPr>
                        <w:t>SECRETARIA INSTRUCTORA Y PROYECTISTA:</w:t>
                      </w:r>
                      <w:r>
                        <w:rPr>
                          <w:rFonts w:ascii="Arial" w:eastAsia="Arial" w:hAnsi="Arial" w:cs="Arial"/>
                          <w:color w:val="000000"/>
                        </w:rPr>
                        <w:t xml:space="preserve"> MARÍA FERNANDA MENDOZA MÉNDEZ</w:t>
                      </w:r>
                    </w:p>
                    <w:p w14:paraId="3BB49C2E" w14:textId="77777777" w:rsidR="00D625BB" w:rsidRDefault="00D625BB">
                      <w:pPr>
                        <w:spacing w:before="100" w:after="100" w:line="264" w:lineRule="auto"/>
                        <w:jc w:val="both"/>
                        <w:textDirection w:val="btLr"/>
                      </w:pPr>
                    </w:p>
                  </w:txbxContent>
                </v:textbox>
                <w10:wrap type="square" anchorx="margin" anchory="margin"/>
              </v:rect>
            </w:pict>
          </mc:Fallback>
        </mc:AlternateContent>
      </w:r>
      <w:r>
        <w:rPr>
          <w:rFonts w:ascii="Arial" w:eastAsia="Arial" w:hAnsi="Arial" w:cs="Arial"/>
          <w:sz w:val="24"/>
          <w:szCs w:val="24"/>
        </w:rPr>
        <w:t xml:space="preserve"> </w:t>
      </w:r>
    </w:p>
    <w:p w14:paraId="183828E6" w14:textId="77777777" w:rsidR="00D625BB" w:rsidRDefault="00D625BB">
      <w:pPr>
        <w:spacing w:before="280" w:after="280" w:line="240" w:lineRule="auto"/>
        <w:rPr>
          <w:rFonts w:ascii="Arial" w:eastAsia="Arial" w:hAnsi="Arial" w:cs="Arial"/>
          <w:sz w:val="24"/>
          <w:szCs w:val="24"/>
        </w:rPr>
      </w:pPr>
    </w:p>
    <w:p w14:paraId="3D85BB6C" w14:textId="77777777" w:rsidR="00D625BB" w:rsidRDefault="00D625BB">
      <w:pPr>
        <w:spacing w:before="280" w:after="280" w:line="240" w:lineRule="auto"/>
        <w:rPr>
          <w:rFonts w:ascii="Arial" w:eastAsia="Arial" w:hAnsi="Arial" w:cs="Arial"/>
          <w:sz w:val="24"/>
          <w:szCs w:val="24"/>
        </w:rPr>
      </w:pPr>
    </w:p>
    <w:p w14:paraId="4E73FD18" w14:textId="77777777" w:rsidR="00D625BB" w:rsidRDefault="00D625BB">
      <w:pPr>
        <w:spacing w:before="280" w:after="280" w:line="240" w:lineRule="auto"/>
        <w:rPr>
          <w:rFonts w:ascii="Arial" w:eastAsia="Arial" w:hAnsi="Arial" w:cs="Arial"/>
          <w:sz w:val="24"/>
          <w:szCs w:val="24"/>
        </w:rPr>
      </w:pPr>
    </w:p>
    <w:p w14:paraId="52C159E9" w14:textId="77777777" w:rsidR="00D625BB" w:rsidRDefault="00D625BB">
      <w:pPr>
        <w:spacing w:before="280" w:after="280" w:line="240" w:lineRule="auto"/>
        <w:rPr>
          <w:rFonts w:ascii="Arial" w:eastAsia="Arial" w:hAnsi="Arial" w:cs="Arial"/>
          <w:sz w:val="24"/>
          <w:szCs w:val="24"/>
        </w:rPr>
      </w:pPr>
    </w:p>
    <w:p w14:paraId="5EA31177" w14:textId="77777777" w:rsidR="00D625BB" w:rsidRDefault="00D625BB">
      <w:pPr>
        <w:spacing w:before="280" w:after="280" w:line="240" w:lineRule="auto"/>
        <w:rPr>
          <w:rFonts w:ascii="Arial" w:eastAsia="Arial" w:hAnsi="Arial" w:cs="Arial"/>
          <w:sz w:val="24"/>
          <w:szCs w:val="24"/>
        </w:rPr>
      </w:pPr>
    </w:p>
    <w:p w14:paraId="30E1E98F" w14:textId="77777777" w:rsidR="00D625BB" w:rsidRDefault="00000000">
      <w:pPr>
        <w:spacing w:before="280" w:after="280" w:line="360" w:lineRule="auto"/>
        <w:rPr>
          <w:rFonts w:ascii="Arial" w:eastAsia="Arial" w:hAnsi="Arial" w:cs="Arial"/>
          <w:sz w:val="24"/>
          <w:szCs w:val="24"/>
        </w:rPr>
      </w:pPr>
      <w:r>
        <w:rPr>
          <w:rFonts w:ascii="Arial" w:eastAsia="Arial" w:hAnsi="Arial" w:cs="Arial"/>
          <w:sz w:val="24"/>
          <w:szCs w:val="24"/>
        </w:rPr>
        <w:br/>
      </w:r>
    </w:p>
    <w:p w14:paraId="65C9D8EE" w14:textId="77777777" w:rsidR="00D625BB" w:rsidRDefault="00D625BB">
      <w:pPr>
        <w:spacing w:after="280" w:line="360" w:lineRule="auto"/>
        <w:rPr>
          <w:rFonts w:ascii="Arial" w:eastAsia="Arial" w:hAnsi="Arial" w:cs="Arial"/>
          <w:sz w:val="8"/>
          <w:szCs w:val="8"/>
        </w:rPr>
      </w:pPr>
    </w:p>
    <w:p w14:paraId="0B941554" w14:textId="77777777" w:rsidR="00D625BB" w:rsidRDefault="00D625BB">
      <w:pPr>
        <w:spacing w:after="280" w:line="360" w:lineRule="auto"/>
        <w:rPr>
          <w:rFonts w:ascii="Arial" w:eastAsia="Arial" w:hAnsi="Arial" w:cs="Arial"/>
          <w:sz w:val="24"/>
          <w:szCs w:val="24"/>
        </w:rPr>
      </w:pPr>
    </w:p>
    <w:p w14:paraId="4B02FC73" w14:textId="77777777" w:rsidR="00D625BB" w:rsidRDefault="00D625BB">
      <w:pPr>
        <w:spacing w:after="280" w:line="360" w:lineRule="auto"/>
        <w:rPr>
          <w:rFonts w:ascii="Arial" w:eastAsia="Arial" w:hAnsi="Arial" w:cs="Arial"/>
          <w:sz w:val="24"/>
          <w:szCs w:val="24"/>
        </w:rPr>
      </w:pPr>
    </w:p>
    <w:p w14:paraId="4C9BA5D0" w14:textId="77777777" w:rsidR="00D625BB" w:rsidRDefault="00D625BB">
      <w:pPr>
        <w:spacing w:after="0" w:line="360" w:lineRule="auto"/>
        <w:rPr>
          <w:rFonts w:ascii="Arial" w:eastAsia="Arial" w:hAnsi="Arial" w:cs="Arial"/>
          <w:sz w:val="24"/>
          <w:szCs w:val="24"/>
        </w:rPr>
      </w:pPr>
    </w:p>
    <w:p w14:paraId="0A34F4D5" w14:textId="77777777" w:rsidR="00D625BB" w:rsidRDefault="00000000">
      <w:pPr>
        <w:spacing w:after="280" w:line="360" w:lineRule="auto"/>
        <w:rPr>
          <w:rFonts w:ascii="Arial" w:eastAsia="Arial" w:hAnsi="Arial" w:cs="Arial"/>
          <w:sz w:val="24"/>
          <w:szCs w:val="24"/>
        </w:rPr>
      </w:pPr>
      <w:r>
        <w:rPr>
          <w:rFonts w:ascii="Arial" w:eastAsia="Arial" w:hAnsi="Arial" w:cs="Arial"/>
          <w:sz w:val="24"/>
          <w:szCs w:val="24"/>
        </w:rPr>
        <w:t>Morelia, Michoacán, a doce de marzo de dos mil veintiséis</w:t>
      </w:r>
      <w:r>
        <w:rPr>
          <w:rFonts w:ascii="Arial" w:eastAsia="Arial" w:hAnsi="Arial" w:cs="Arial"/>
          <w:sz w:val="24"/>
          <w:szCs w:val="24"/>
          <w:vertAlign w:val="superscript"/>
        </w:rPr>
        <w:footnoteReference w:id="1"/>
      </w:r>
      <w:r>
        <w:rPr>
          <w:rFonts w:ascii="Arial" w:eastAsia="Arial" w:hAnsi="Arial" w:cs="Arial"/>
          <w:sz w:val="24"/>
          <w:szCs w:val="24"/>
        </w:rPr>
        <w:t>.</w:t>
      </w:r>
    </w:p>
    <w:p w14:paraId="2CA141CF" w14:textId="77777777" w:rsidR="00D625BB" w:rsidRDefault="00000000">
      <w:pPr>
        <w:tabs>
          <w:tab w:val="right" w:pos="7655"/>
        </w:tabs>
        <w:spacing w:before="240" w:line="360" w:lineRule="auto"/>
        <w:jc w:val="both"/>
        <w:rPr>
          <w:rFonts w:ascii="Arial" w:eastAsia="Arial" w:hAnsi="Arial" w:cs="Arial"/>
          <w:sz w:val="24"/>
          <w:szCs w:val="24"/>
        </w:rPr>
      </w:pPr>
      <w:bookmarkStart w:id="0" w:name="_heading=h.gjdgxs" w:colFirst="0" w:colLast="0"/>
      <w:bookmarkEnd w:id="0"/>
      <w:r>
        <w:rPr>
          <w:rFonts w:ascii="Arial" w:eastAsia="Arial" w:hAnsi="Arial" w:cs="Arial"/>
          <w:b/>
          <w:bCs/>
          <w:sz w:val="24"/>
          <w:szCs w:val="24"/>
        </w:rPr>
        <w:t xml:space="preserve">Resolución </w:t>
      </w:r>
      <w:r>
        <w:rPr>
          <w:rFonts w:ascii="Arial" w:eastAsia="Arial" w:hAnsi="Arial" w:cs="Arial"/>
          <w:sz w:val="24"/>
          <w:szCs w:val="24"/>
        </w:rPr>
        <w:t>que:</w:t>
      </w:r>
      <w:r>
        <w:rPr>
          <w:rFonts w:ascii="Arial" w:eastAsia="Arial" w:hAnsi="Arial" w:cs="Arial"/>
          <w:b/>
          <w:bCs/>
          <w:sz w:val="24"/>
          <w:szCs w:val="24"/>
        </w:rPr>
        <w:t xml:space="preserve"> i) </w:t>
      </w:r>
      <w:r>
        <w:rPr>
          <w:rFonts w:ascii="Arial" w:eastAsia="Arial" w:hAnsi="Arial" w:cs="Arial"/>
          <w:sz w:val="24"/>
          <w:szCs w:val="24"/>
        </w:rPr>
        <w:t>Determina</w:t>
      </w:r>
      <w:r>
        <w:rPr>
          <w:rFonts w:ascii="Arial" w:eastAsia="Arial" w:hAnsi="Arial" w:cs="Arial"/>
          <w:b/>
          <w:bCs/>
          <w:sz w:val="24"/>
          <w:szCs w:val="24"/>
        </w:rPr>
        <w:t xml:space="preserve"> infundado</w:t>
      </w:r>
      <w:r>
        <w:rPr>
          <w:rFonts w:ascii="Arial" w:eastAsia="Arial" w:hAnsi="Arial" w:cs="Arial"/>
          <w:sz w:val="24"/>
          <w:szCs w:val="24"/>
        </w:rPr>
        <w:t xml:space="preserve"> el incidente de incumplimiento de sentencia planteado dentro del juicio de la ciudadanía citado al rubro; </w:t>
      </w:r>
      <w:proofErr w:type="spellStart"/>
      <w:r>
        <w:rPr>
          <w:rFonts w:ascii="Arial" w:eastAsia="Arial" w:hAnsi="Arial" w:cs="Arial"/>
          <w:b/>
          <w:bCs/>
          <w:sz w:val="24"/>
          <w:szCs w:val="24"/>
        </w:rPr>
        <w:t>ii</w:t>
      </w:r>
      <w:proofErr w:type="spellEnd"/>
      <w:r>
        <w:rPr>
          <w:rFonts w:ascii="Arial" w:eastAsia="Arial" w:hAnsi="Arial" w:cs="Arial"/>
          <w:b/>
          <w:bCs/>
          <w:sz w:val="24"/>
          <w:szCs w:val="24"/>
        </w:rPr>
        <w:t xml:space="preserve">) </w:t>
      </w:r>
      <w:r>
        <w:rPr>
          <w:rFonts w:ascii="Arial" w:eastAsia="Arial" w:hAnsi="Arial" w:cs="Arial"/>
          <w:sz w:val="24"/>
          <w:szCs w:val="24"/>
        </w:rPr>
        <w:t xml:space="preserve">Declara </w:t>
      </w:r>
      <w:r>
        <w:rPr>
          <w:rFonts w:ascii="Arial" w:eastAsia="Arial" w:hAnsi="Arial" w:cs="Arial"/>
          <w:b/>
          <w:bCs/>
          <w:sz w:val="24"/>
          <w:szCs w:val="24"/>
        </w:rPr>
        <w:t xml:space="preserve">cumplida </w:t>
      </w:r>
      <w:r>
        <w:rPr>
          <w:rFonts w:ascii="Arial" w:eastAsia="Arial" w:hAnsi="Arial" w:cs="Arial"/>
          <w:sz w:val="24"/>
          <w:szCs w:val="24"/>
        </w:rPr>
        <w:t xml:space="preserve">la sentencia de nueve de febrero; </w:t>
      </w:r>
      <w:proofErr w:type="spellStart"/>
      <w:r>
        <w:rPr>
          <w:rFonts w:ascii="Arial" w:eastAsia="Arial" w:hAnsi="Arial" w:cs="Arial"/>
          <w:b/>
          <w:bCs/>
          <w:sz w:val="24"/>
          <w:szCs w:val="24"/>
        </w:rPr>
        <w:t>iii</w:t>
      </w:r>
      <w:proofErr w:type="spellEnd"/>
      <w:r>
        <w:rPr>
          <w:rFonts w:ascii="Arial" w:eastAsia="Arial" w:hAnsi="Arial" w:cs="Arial"/>
          <w:b/>
          <w:bCs/>
          <w:sz w:val="24"/>
          <w:szCs w:val="24"/>
        </w:rPr>
        <w:t xml:space="preserve">) Conmina </w:t>
      </w:r>
      <w:r>
        <w:rPr>
          <w:rFonts w:ascii="Arial" w:eastAsia="Arial" w:hAnsi="Arial" w:cs="Arial"/>
          <w:sz w:val="24"/>
          <w:szCs w:val="24"/>
        </w:rPr>
        <w:t>a la autoridad vinculada en el juicio.</w:t>
      </w:r>
    </w:p>
    <w:p w14:paraId="41665F0B" w14:textId="77777777" w:rsidR="00D625BB" w:rsidRDefault="00000000">
      <w:pPr>
        <w:keepNext/>
        <w:keepLines/>
        <w:spacing w:before="240" w:after="0"/>
        <w:jc w:val="center"/>
        <w:rPr>
          <w:rFonts w:ascii="Arial" w:eastAsia="Arial" w:hAnsi="Arial" w:cs="Arial"/>
          <w:b/>
          <w:bCs/>
          <w:sz w:val="20"/>
          <w:szCs w:val="20"/>
        </w:rPr>
      </w:pPr>
      <w:r>
        <w:rPr>
          <w:rFonts w:ascii="Arial" w:eastAsia="Arial" w:hAnsi="Arial" w:cs="Arial"/>
          <w:b/>
          <w:bCs/>
          <w:sz w:val="20"/>
          <w:szCs w:val="20"/>
        </w:rPr>
        <w:t>Índice</w:t>
      </w:r>
    </w:p>
    <w:p w14:paraId="0F58EF5B" w14:textId="77777777" w:rsidR="00D625BB" w:rsidRDefault="00D625BB">
      <w:pPr>
        <w:keepNext/>
        <w:keepLines/>
        <w:pBdr>
          <w:top w:val="nil"/>
          <w:left w:val="nil"/>
          <w:bottom w:val="nil"/>
          <w:right w:val="nil"/>
          <w:between w:val="nil"/>
        </w:pBdr>
        <w:spacing w:after="0" w:line="240" w:lineRule="auto"/>
        <w:jc w:val="both"/>
        <w:rPr>
          <w:rFonts w:ascii="Arial Narrow" w:eastAsia="Arial Narrow" w:hAnsi="Arial Narrow" w:cs="Arial Narrow"/>
          <w:b/>
          <w:bCs/>
          <w:color w:val="000000"/>
          <w:sz w:val="20"/>
          <w:szCs w:val="20"/>
        </w:rPr>
      </w:pPr>
    </w:p>
    <w:sdt>
      <w:sdtPr>
        <w:id w:val="-603603907"/>
        <w:docPartObj>
          <w:docPartGallery w:val="Table of Contents"/>
          <w:docPartUnique/>
        </w:docPartObj>
      </w:sdtPr>
      <w:sdtContent>
        <w:p w14:paraId="61E33F09" w14:textId="77777777" w:rsidR="00D625BB" w:rsidRDefault="00000000">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r>
            <w:fldChar w:fldCharType="begin"/>
          </w:r>
          <w:r>
            <w:instrText xml:space="preserve"> TOC \h \u \z \t "Heading 1,1,Heading 2,2,Heading 3,3,"</w:instrText>
          </w:r>
          <w:r>
            <w:fldChar w:fldCharType="separate"/>
          </w:r>
          <w:hyperlink w:anchor="_heading=h.sfogtwtt1oly">
            <w:r w:rsidR="00D625BB">
              <w:rPr>
                <w:rFonts w:ascii="Arial Narrow" w:eastAsia="Arial Narrow" w:hAnsi="Arial Narrow" w:cs="Arial Narrow"/>
                <w:b/>
                <w:bCs/>
                <w:color w:val="000000"/>
                <w:sz w:val="20"/>
                <w:szCs w:val="20"/>
              </w:rPr>
              <w:t>Glosario</w:t>
            </w:r>
            <w:r w:rsidR="00D625BB">
              <w:rPr>
                <w:rFonts w:ascii="Arial Narrow" w:eastAsia="Arial Narrow" w:hAnsi="Arial Narrow" w:cs="Arial Narrow"/>
                <w:b/>
                <w:bCs/>
                <w:color w:val="000000"/>
                <w:sz w:val="20"/>
                <w:szCs w:val="20"/>
              </w:rPr>
              <w:tab/>
              <w:t>1</w:t>
            </w:r>
          </w:hyperlink>
        </w:p>
        <w:p w14:paraId="65F63953"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lyfbu7lczhvz">
            <w:r>
              <w:rPr>
                <w:rFonts w:ascii="Arial Narrow" w:eastAsia="Arial Narrow" w:hAnsi="Arial Narrow" w:cs="Arial Narrow"/>
                <w:b/>
                <w:bCs/>
                <w:color w:val="000000"/>
                <w:sz w:val="20"/>
                <w:szCs w:val="20"/>
              </w:rPr>
              <w:t>I. Antecedentes</w:t>
            </w:r>
            <w:r>
              <w:rPr>
                <w:rFonts w:ascii="Arial Narrow" w:eastAsia="Arial Narrow" w:hAnsi="Arial Narrow" w:cs="Arial Narrow"/>
                <w:b/>
                <w:bCs/>
                <w:color w:val="000000"/>
                <w:sz w:val="20"/>
                <w:szCs w:val="20"/>
              </w:rPr>
              <w:tab/>
              <w:t>2</w:t>
            </w:r>
          </w:hyperlink>
        </w:p>
        <w:p w14:paraId="32020510"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2ffux1l4k0rx">
            <w:r>
              <w:rPr>
                <w:rFonts w:ascii="Arial Narrow" w:eastAsia="Arial Narrow" w:hAnsi="Arial Narrow" w:cs="Arial Narrow"/>
                <w:b/>
                <w:bCs/>
                <w:color w:val="000000"/>
                <w:sz w:val="20"/>
                <w:szCs w:val="20"/>
              </w:rPr>
              <w:t>II. Competencia</w:t>
            </w:r>
            <w:r>
              <w:rPr>
                <w:rFonts w:ascii="Arial Narrow" w:eastAsia="Arial Narrow" w:hAnsi="Arial Narrow" w:cs="Arial Narrow"/>
                <w:b/>
                <w:bCs/>
                <w:color w:val="000000"/>
                <w:sz w:val="20"/>
                <w:szCs w:val="20"/>
              </w:rPr>
              <w:tab/>
              <w:t>3</w:t>
            </w:r>
          </w:hyperlink>
        </w:p>
        <w:p w14:paraId="1288FD79"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7a5y79r66itc">
            <w:r>
              <w:rPr>
                <w:rFonts w:ascii="Arial Narrow" w:eastAsia="Arial Narrow" w:hAnsi="Arial Narrow" w:cs="Arial Narrow"/>
                <w:b/>
                <w:bCs/>
                <w:color w:val="000000"/>
                <w:sz w:val="20"/>
                <w:szCs w:val="20"/>
              </w:rPr>
              <w:t>III. Requisitos de Procedencia</w:t>
            </w:r>
            <w:r>
              <w:rPr>
                <w:rFonts w:ascii="Arial Narrow" w:eastAsia="Arial Narrow" w:hAnsi="Arial Narrow" w:cs="Arial Narrow"/>
                <w:b/>
                <w:bCs/>
                <w:color w:val="000000"/>
                <w:sz w:val="20"/>
                <w:szCs w:val="20"/>
              </w:rPr>
              <w:tab/>
              <w:t>3</w:t>
            </w:r>
          </w:hyperlink>
        </w:p>
        <w:p w14:paraId="2C70C973"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s4y1xjby9l9">
            <w:r>
              <w:rPr>
                <w:rFonts w:ascii="Arial Narrow" w:eastAsia="Arial Narrow" w:hAnsi="Arial Narrow" w:cs="Arial Narrow"/>
                <w:b/>
                <w:bCs/>
                <w:color w:val="000000"/>
                <w:sz w:val="20"/>
                <w:szCs w:val="20"/>
              </w:rPr>
              <w:t>IV. Análisis</w:t>
            </w:r>
            <w:r>
              <w:rPr>
                <w:rFonts w:ascii="Arial Narrow" w:eastAsia="Arial Narrow" w:hAnsi="Arial Narrow" w:cs="Arial Narrow"/>
                <w:b/>
                <w:bCs/>
                <w:color w:val="000000"/>
                <w:sz w:val="20"/>
                <w:szCs w:val="20"/>
              </w:rPr>
              <w:tab/>
              <w:t>4</w:t>
            </w:r>
          </w:hyperlink>
        </w:p>
        <w:p w14:paraId="7DED06FB"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gpwtd4458kba">
            <w:r>
              <w:rPr>
                <w:rFonts w:ascii="Arial Narrow" w:eastAsia="Arial Narrow" w:hAnsi="Arial Narrow" w:cs="Arial Narrow"/>
                <w:b/>
                <w:bCs/>
                <w:color w:val="000000"/>
                <w:sz w:val="20"/>
                <w:szCs w:val="20"/>
              </w:rPr>
              <w:t>4.1. Materia incidental</w:t>
            </w:r>
            <w:r>
              <w:rPr>
                <w:rFonts w:ascii="Arial Narrow" w:eastAsia="Arial Narrow" w:hAnsi="Arial Narrow" w:cs="Arial Narrow"/>
                <w:b/>
                <w:bCs/>
                <w:color w:val="000000"/>
                <w:sz w:val="20"/>
                <w:szCs w:val="20"/>
              </w:rPr>
              <w:tab/>
              <w:t>4</w:t>
            </w:r>
          </w:hyperlink>
        </w:p>
        <w:p w14:paraId="0931D2F5"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hntjyrvq6cdh">
            <w:r>
              <w:rPr>
                <w:rFonts w:ascii="Arial Narrow" w:eastAsia="Arial Narrow" w:hAnsi="Arial Narrow" w:cs="Arial Narrow"/>
                <w:b/>
                <w:bCs/>
                <w:color w:val="000000"/>
                <w:sz w:val="20"/>
                <w:szCs w:val="20"/>
              </w:rPr>
              <w:t>4.2. Consideraciones de lo ordenado</w:t>
            </w:r>
            <w:r>
              <w:rPr>
                <w:rFonts w:ascii="Arial Narrow" w:eastAsia="Arial Narrow" w:hAnsi="Arial Narrow" w:cs="Arial Narrow"/>
                <w:b/>
                <w:bCs/>
                <w:color w:val="000000"/>
                <w:sz w:val="20"/>
                <w:szCs w:val="20"/>
              </w:rPr>
              <w:tab/>
              <w:t>4</w:t>
            </w:r>
          </w:hyperlink>
        </w:p>
        <w:p w14:paraId="5776B993"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sn9y5qcrbi3q">
            <w:r>
              <w:rPr>
                <w:rFonts w:ascii="Arial Narrow" w:eastAsia="Arial Narrow" w:hAnsi="Arial Narrow" w:cs="Arial Narrow"/>
                <w:b/>
                <w:bCs/>
                <w:color w:val="000000"/>
                <w:sz w:val="20"/>
                <w:szCs w:val="20"/>
              </w:rPr>
              <w:t>4.3. Planteamientos incidentales</w:t>
            </w:r>
            <w:r>
              <w:rPr>
                <w:rFonts w:ascii="Arial Narrow" w:eastAsia="Arial Narrow" w:hAnsi="Arial Narrow" w:cs="Arial Narrow"/>
                <w:b/>
                <w:bCs/>
                <w:color w:val="000000"/>
                <w:sz w:val="20"/>
                <w:szCs w:val="20"/>
              </w:rPr>
              <w:tab/>
              <w:t>5</w:t>
            </w:r>
          </w:hyperlink>
        </w:p>
        <w:p w14:paraId="00BA1B91"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i0fkwue7e8si">
            <w:r>
              <w:rPr>
                <w:rFonts w:ascii="Arial Narrow" w:eastAsia="Arial Narrow" w:hAnsi="Arial Narrow" w:cs="Arial Narrow"/>
                <w:b/>
                <w:bCs/>
                <w:color w:val="000000"/>
                <w:sz w:val="20"/>
                <w:szCs w:val="20"/>
              </w:rPr>
              <w:t xml:space="preserve">4.4. Actuaciones realizadas por la </w:t>
            </w:r>
          </w:hyperlink>
          <w:hyperlink w:anchor="_heading=h.i0fkwue7e8si">
            <w:r>
              <w:rPr>
                <w:rFonts w:ascii="Arial Narrow" w:eastAsia="Arial Narrow" w:hAnsi="Arial Narrow" w:cs="Arial Narrow"/>
                <w:b/>
                <w:bCs/>
                <w:i/>
                <w:iCs/>
                <w:color w:val="000000"/>
                <w:sz w:val="20"/>
                <w:szCs w:val="20"/>
              </w:rPr>
              <w:t>autoridad vinculada</w:t>
            </w:r>
          </w:hyperlink>
          <w:hyperlink w:anchor="_heading=h.i0fkwue7e8si">
            <w:r>
              <w:rPr>
                <w:rFonts w:ascii="Arial Narrow" w:eastAsia="Arial Narrow" w:hAnsi="Arial Narrow" w:cs="Arial Narrow"/>
                <w:b/>
                <w:bCs/>
                <w:color w:val="000000"/>
                <w:sz w:val="20"/>
                <w:szCs w:val="20"/>
              </w:rPr>
              <w:tab/>
              <w:t>5</w:t>
            </w:r>
          </w:hyperlink>
        </w:p>
        <w:p w14:paraId="7EC03102"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mhfvfx7f66pk">
            <w:r>
              <w:rPr>
                <w:rFonts w:ascii="Arial Narrow" w:eastAsia="Arial Narrow" w:hAnsi="Arial Narrow" w:cs="Arial Narrow"/>
                <w:b/>
                <w:bCs/>
                <w:color w:val="000000"/>
                <w:sz w:val="20"/>
                <w:szCs w:val="20"/>
              </w:rPr>
              <w:t>4.5. Determinación</w:t>
            </w:r>
            <w:r>
              <w:rPr>
                <w:rFonts w:ascii="Arial Narrow" w:eastAsia="Arial Narrow" w:hAnsi="Arial Narrow" w:cs="Arial Narrow"/>
                <w:b/>
                <w:bCs/>
                <w:color w:val="000000"/>
                <w:sz w:val="20"/>
                <w:szCs w:val="20"/>
              </w:rPr>
              <w:tab/>
              <w:t>6</w:t>
            </w:r>
          </w:hyperlink>
        </w:p>
        <w:p w14:paraId="2E2527CB"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j485z3ntipnn">
            <w:r>
              <w:rPr>
                <w:rFonts w:ascii="Arial Narrow" w:eastAsia="Arial Narrow" w:hAnsi="Arial Narrow" w:cs="Arial Narrow"/>
                <w:b/>
                <w:bCs/>
                <w:color w:val="000000"/>
                <w:sz w:val="20"/>
                <w:szCs w:val="20"/>
              </w:rPr>
              <w:t>V. Pronunciamiento</w:t>
            </w:r>
            <w:r>
              <w:rPr>
                <w:rFonts w:ascii="Arial Narrow" w:eastAsia="Arial Narrow" w:hAnsi="Arial Narrow" w:cs="Arial Narrow"/>
                <w:b/>
                <w:bCs/>
                <w:color w:val="000000"/>
                <w:sz w:val="20"/>
                <w:szCs w:val="20"/>
              </w:rPr>
              <w:tab/>
              <w:t>7</w:t>
            </w:r>
          </w:hyperlink>
        </w:p>
        <w:p w14:paraId="627464BF" w14:textId="77777777" w:rsidR="00D625BB" w:rsidRDefault="00D625BB">
          <w:pPr>
            <w:pBdr>
              <w:top w:val="nil"/>
              <w:left w:val="nil"/>
              <w:bottom w:val="nil"/>
              <w:right w:val="nil"/>
              <w:between w:val="nil"/>
            </w:pBdr>
            <w:tabs>
              <w:tab w:val="left" w:pos="426"/>
              <w:tab w:val="right" w:pos="7693"/>
            </w:tabs>
            <w:spacing w:after="0" w:line="240" w:lineRule="auto"/>
            <w:jc w:val="both"/>
            <w:rPr>
              <w:rFonts w:ascii="Arial Narrow" w:eastAsia="Arial Narrow" w:hAnsi="Arial Narrow" w:cs="Arial Narrow"/>
              <w:b/>
              <w:bCs/>
              <w:color w:val="000000"/>
              <w:sz w:val="20"/>
              <w:szCs w:val="20"/>
            </w:rPr>
          </w:pPr>
          <w:hyperlink w:anchor="_heading=h.qrprg4lb9m9f">
            <w:r>
              <w:rPr>
                <w:rFonts w:ascii="Arial Narrow" w:eastAsia="Arial Narrow" w:hAnsi="Arial Narrow" w:cs="Arial Narrow"/>
                <w:b/>
                <w:bCs/>
                <w:color w:val="000000"/>
                <w:sz w:val="20"/>
                <w:szCs w:val="20"/>
              </w:rPr>
              <w:t>VI. Resolutivos</w:t>
            </w:r>
            <w:r>
              <w:rPr>
                <w:rFonts w:ascii="Arial Narrow" w:eastAsia="Arial Narrow" w:hAnsi="Arial Narrow" w:cs="Arial Narrow"/>
                <w:b/>
                <w:bCs/>
                <w:color w:val="000000"/>
                <w:sz w:val="20"/>
                <w:szCs w:val="20"/>
              </w:rPr>
              <w:tab/>
              <w:t>8</w:t>
            </w:r>
          </w:hyperlink>
        </w:p>
        <w:p w14:paraId="2649D099" w14:textId="77777777" w:rsidR="00D625BB" w:rsidRDefault="00000000">
          <w:pPr>
            <w:spacing w:after="0" w:line="240" w:lineRule="auto"/>
            <w:jc w:val="both"/>
            <w:rPr>
              <w:rFonts w:ascii="Arial Narrow" w:eastAsia="Arial Narrow" w:hAnsi="Arial Narrow" w:cs="Arial Narrow"/>
              <w:b/>
              <w:bCs/>
              <w:sz w:val="20"/>
              <w:szCs w:val="20"/>
            </w:rPr>
          </w:pPr>
          <w:r>
            <w:fldChar w:fldCharType="end"/>
          </w:r>
        </w:p>
      </w:sdtContent>
    </w:sdt>
    <w:p w14:paraId="78D455EB" w14:textId="77777777" w:rsidR="00D625BB" w:rsidRDefault="00000000">
      <w:pPr>
        <w:pStyle w:val="Ttulo1"/>
        <w:spacing w:before="0"/>
        <w:jc w:val="center"/>
        <w:rPr>
          <w:rFonts w:ascii="Arial" w:eastAsia="Arial" w:hAnsi="Arial" w:cs="Arial"/>
          <w:sz w:val="20"/>
          <w:szCs w:val="20"/>
        </w:rPr>
      </w:pPr>
      <w:bookmarkStart w:id="1" w:name="_heading=h.sfogtwtt1oly" w:colFirst="0" w:colLast="0"/>
      <w:bookmarkEnd w:id="1"/>
      <w:r>
        <w:rPr>
          <w:rFonts w:ascii="Arial" w:eastAsia="Arial" w:hAnsi="Arial" w:cs="Arial"/>
          <w:sz w:val="20"/>
          <w:szCs w:val="20"/>
        </w:rPr>
        <w:t>Glosario</w:t>
      </w:r>
    </w:p>
    <w:p w14:paraId="04F11E7F" w14:textId="77777777" w:rsidR="00D625BB" w:rsidRDefault="00D625BB">
      <w:pPr>
        <w:spacing w:after="0" w:line="240" w:lineRule="auto"/>
        <w:rPr>
          <w:rFonts w:ascii="Arial" w:eastAsia="Arial" w:hAnsi="Arial" w:cs="Arial"/>
          <w:sz w:val="24"/>
          <w:szCs w:val="24"/>
        </w:rPr>
      </w:pPr>
    </w:p>
    <w:tbl>
      <w:tblPr>
        <w:tblStyle w:val="a9"/>
        <w:tblW w:w="7693" w:type="dxa"/>
        <w:tblInd w:w="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Layout w:type="fixed"/>
        <w:tblLook w:val="0400" w:firstRow="0" w:lastRow="0" w:firstColumn="0" w:lastColumn="0" w:noHBand="0" w:noVBand="1"/>
      </w:tblPr>
      <w:tblGrid>
        <w:gridCol w:w="2405"/>
        <w:gridCol w:w="5288"/>
      </w:tblGrid>
      <w:tr w:rsidR="00D625BB" w14:paraId="50582245" w14:textId="77777777" w:rsidTr="00D625BB">
        <w:trPr>
          <w:trHeight w:val="201"/>
        </w:trPr>
        <w:tc>
          <w:tcPr>
            <w:tcW w:w="2405" w:type="dxa"/>
            <w:vAlign w:val="center"/>
          </w:tcPr>
          <w:p w14:paraId="312BA702" w14:textId="77777777" w:rsidR="00D625BB"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 xml:space="preserve">actora / </w:t>
            </w:r>
            <w:proofErr w:type="spellStart"/>
            <w:r>
              <w:rPr>
                <w:rFonts w:ascii="Arial Narrow" w:eastAsia="Arial Narrow" w:hAnsi="Arial Narrow" w:cs="Arial Narrow"/>
                <w:b/>
                <w:bCs/>
                <w:i/>
                <w:iCs/>
                <w:sz w:val="20"/>
                <w:szCs w:val="20"/>
              </w:rPr>
              <w:t>incidentista</w:t>
            </w:r>
            <w:proofErr w:type="spellEnd"/>
            <w:r>
              <w:rPr>
                <w:rFonts w:ascii="Arial Narrow" w:eastAsia="Arial Narrow" w:hAnsi="Arial Narrow" w:cs="Arial Narrow"/>
                <w:b/>
                <w:bCs/>
                <w:i/>
                <w:iCs/>
                <w:sz w:val="20"/>
                <w:szCs w:val="20"/>
              </w:rPr>
              <w:t>:</w:t>
            </w:r>
          </w:p>
        </w:tc>
        <w:tc>
          <w:tcPr>
            <w:tcW w:w="5288" w:type="dxa"/>
            <w:vAlign w:val="center"/>
          </w:tcPr>
          <w:p w14:paraId="72B2CC65" w14:textId="77777777" w:rsidR="00D625BB" w:rsidRDefault="00000000">
            <w:pPr>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Irma Villagómez Carbajal.</w:t>
            </w:r>
          </w:p>
        </w:tc>
      </w:tr>
      <w:tr w:rsidR="00D625BB" w14:paraId="6E2F1A81" w14:textId="77777777" w:rsidTr="00D625BB">
        <w:trPr>
          <w:trHeight w:val="201"/>
        </w:trPr>
        <w:tc>
          <w:tcPr>
            <w:tcW w:w="2405" w:type="dxa"/>
            <w:vAlign w:val="center"/>
          </w:tcPr>
          <w:p w14:paraId="60279A57" w14:textId="77777777" w:rsidR="00D625BB"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autoridad vinculada:</w:t>
            </w:r>
          </w:p>
        </w:tc>
        <w:tc>
          <w:tcPr>
            <w:tcW w:w="5288" w:type="dxa"/>
            <w:vAlign w:val="center"/>
          </w:tcPr>
          <w:p w14:paraId="6A58DD4F" w14:textId="77777777" w:rsidR="00D625BB" w:rsidRDefault="00000000">
            <w:pPr>
              <w:jc w:val="both"/>
              <w:rPr>
                <w:rFonts w:ascii="Arial Narrow" w:eastAsia="Arial Narrow" w:hAnsi="Arial Narrow" w:cs="Arial Narrow"/>
                <w:sz w:val="20"/>
                <w:szCs w:val="20"/>
              </w:rPr>
            </w:pPr>
            <w:r>
              <w:rPr>
                <w:rFonts w:ascii="Arial Narrow" w:eastAsia="Arial Narrow" w:hAnsi="Arial Narrow" w:cs="Arial Narrow"/>
                <w:color w:val="000000"/>
                <w:sz w:val="20"/>
                <w:szCs w:val="20"/>
              </w:rPr>
              <w:t>Coordinación Nacional de Afiliación y Registro Partidario del Partido Revolucionario Institucional.</w:t>
            </w:r>
          </w:p>
        </w:tc>
      </w:tr>
      <w:tr w:rsidR="00D625BB" w14:paraId="7FF98440" w14:textId="77777777" w:rsidTr="00D625BB">
        <w:trPr>
          <w:trHeight w:val="201"/>
        </w:trPr>
        <w:tc>
          <w:tcPr>
            <w:tcW w:w="2405" w:type="dxa"/>
          </w:tcPr>
          <w:p w14:paraId="2018BBE7" w14:textId="77777777" w:rsidR="00D625BB"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Código Electoral:</w:t>
            </w:r>
          </w:p>
        </w:tc>
        <w:tc>
          <w:tcPr>
            <w:tcW w:w="5288" w:type="dxa"/>
          </w:tcPr>
          <w:p w14:paraId="6FED5C44" w14:textId="77777777" w:rsidR="00D625BB" w:rsidRDefault="00000000">
            <w:pPr>
              <w:rPr>
                <w:rFonts w:ascii="Arial Narrow" w:eastAsia="Arial Narrow" w:hAnsi="Arial Narrow" w:cs="Arial Narrow"/>
                <w:color w:val="000000"/>
                <w:sz w:val="20"/>
                <w:szCs w:val="20"/>
              </w:rPr>
            </w:pPr>
            <w:r>
              <w:rPr>
                <w:rFonts w:ascii="Arial Narrow" w:eastAsia="Arial Narrow" w:hAnsi="Arial Narrow" w:cs="Arial Narrow"/>
                <w:sz w:val="20"/>
                <w:szCs w:val="20"/>
              </w:rPr>
              <w:t>Código Electoral del Estado de Michoacán de Ocampo.</w:t>
            </w:r>
          </w:p>
        </w:tc>
      </w:tr>
      <w:tr w:rsidR="00D625BB" w14:paraId="2B572D13" w14:textId="77777777" w:rsidTr="00D625BB">
        <w:trPr>
          <w:trHeight w:val="201"/>
        </w:trPr>
        <w:tc>
          <w:tcPr>
            <w:tcW w:w="2405" w:type="dxa"/>
          </w:tcPr>
          <w:p w14:paraId="22538CA7" w14:textId="77777777" w:rsidR="00D625BB"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INE:</w:t>
            </w:r>
          </w:p>
        </w:tc>
        <w:tc>
          <w:tcPr>
            <w:tcW w:w="5288" w:type="dxa"/>
          </w:tcPr>
          <w:p w14:paraId="7A47B0D1" w14:textId="77777777" w:rsidR="00D625BB" w:rsidRDefault="00000000">
            <w:pPr>
              <w:rPr>
                <w:rFonts w:ascii="Arial Narrow" w:eastAsia="Arial Narrow" w:hAnsi="Arial Narrow" w:cs="Arial Narrow"/>
                <w:sz w:val="20"/>
                <w:szCs w:val="20"/>
              </w:rPr>
            </w:pPr>
            <w:r>
              <w:rPr>
                <w:rFonts w:ascii="Arial Narrow" w:eastAsia="Arial Narrow" w:hAnsi="Arial Narrow" w:cs="Arial Narrow"/>
                <w:sz w:val="20"/>
                <w:szCs w:val="20"/>
              </w:rPr>
              <w:t>Instituto Nacional Electoral.</w:t>
            </w:r>
          </w:p>
        </w:tc>
      </w:tr>
      <w:tr w:rsidR="00D625BB" w14:paraId="2587190D" w14:textId="77777777" w:rsidTr="00D625BB">
        <w:trPr>
          <w:trHeight w:val="495"/>
        </w:trPr>
        <w:tc>
          <w:tcPr>
            <w:tcW w:w="2405" w:type="dxa"/>
            <w:vAlign w:val="center"/>
          </w:tcPr>
          <w:p w14:paraId="4A690226" w14:textId="77777777" w:rsidR="00D625BB"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lastRenderedPageBreak/>
              <w:t>juicio de la ciudadanía:</w:t>
            </w:r>
          </w:p>
        </w:tc>
        <w:tc>
          <w:tcPr>
            <w:tcW w:w="5288" w:type="dxa"/>
            <w:vAlign w:val="center"/>
          </w:tcPr>
          <w:p w14:paraId="39845A40" w14:textId="77777777" w:rsidR="00D625BB" w:rsidRDefault="00000000">
            <w:pPr>
              <w:jc w:val="both"/>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 xml:space="preserve">Juicio para la protección de los derechos político-electorales del ciudadano. </w:t>
            </w:r>
          </w:p>
        </w:tc>
      </w:tr>
      <w:tr w:rsidR="00D625BB" w14:paraId="6B3DE7E0" w14:textId="77777777" w:rsidTr="00D625BB">
        <w:trPr>
          <w:trHeight w:val="529"/>
        </w:trPr>
        <w:tc>
          <w:tcPr>
            <w:tcW w:w="2405" w:type="dxa"/>
            <w:vAlign w:val="center"/>
          </w:tcPr>
          <w:p w14:paraId="4AD8CC5B" w14:textId="77777777" w:rsidR="00D625BB"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Ley de Justicia Electoral:</w:t>
            </w:r>
          </w:p>
        </w:tc>
        <w:tc>
          <w:tcPr>
            <w:tcW w:w="5288" w:type="dxa"/>
            <w:vAlign w:val="center"/>
          </w:tcPr>
          <w:p w14:paraId="7A24A795" w14:textId="77777777" w:rsidR="00D625BB" w:rsidRDefault="00000000">
            <w:pPr>
              <w:rPr>
                <w:rFonts w:ascii="Arial Narrow" w:eastAsia="Arial Narrow" w:hAnsi="Arial Narrow" w:cs="Arial Narrow"/>
                <w:sz w:val="20"/>
                <w:szCs w:val="20"/>
              </w:rPr>
            </w:pPr>
            <w:r>
              <w:rPr>
                <w:rFonts w:ascii="Arial Narrow" w:eastAsia="Arial Narrow" w:hAnsi="Arial Narrow" w:cs="Arial Narrow"/>
                <w:color w:val="000000"/>
                <w:sz w:val="20"/>
                <w:szCs w:val="20"/>
              </w:rPr>
              <w:t>Ley de Justicia en Materia Electoral y de Participación Ciudadana del Estado de Michoacán de Ocampo.</w:t>
            </w:r>
          </w:p>
        </w:tc>
      </w:tr>
      <w:tr w:rsidR="00D625BB" w14:paraId="212E4473" w14:textId="77777777" w:rsidTr="00D625BB">
        <w:trPr>
          <w:trHeight w:val="296"/>
        </w:trPr>
        <w:tc>
          <w:tcPr>
            <w:tcW w:w="2405" w:type="dxa"/>
            <w:vAlign w:val="center"/>
          </w:tcPr>
          <w:p w14:paraId="40F57A2E" w14:textId="77777777" w:rsidR="00D625BB"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PRI:</w:t>
            </w:r>
          </w:p>
        </w:tc>
        <w:tc>
          <w:tcPr>
            <w:tcW w:w="5288" w:type="dxa"/>
            <w:vAlign w:val="center"/>
          </w:tcPr>
          <w:p w14:paraId="245D0FA7" w14:textId="77777777" w:rsidR="00D625BB" w:rsidRDefault="00000000">
            <w:pPr>
              <w:rPr>
                <w:rFonts w:ascii="Arial Narrow" w:eastAsia="Arial Narrow" w:hAnsi="Arial Narrow" w:cs="Arial Narrow"/>
                <w:sz w:val="20"/>
                <w:szCs w:val="20"/>
              </w:rPr>
            </w:pPr>
            <w:r>
              <w:rPr>
                <w:rFonts w:ascii="Arial Narrow" w:eastAsia="Arial Narrow" w:hAnsi="Arial Narrow" w:cs="Arial Narrow"/>
                <w:sz w:val="20"/>
                <w:szCs w:val="20"/>
              </w:rPr>
              <w:t>Partido Revolucionario Institucional.</w:t>
            </w:r>
          </w:p>
        </w:tc>
      </w:tr>
      <w:tr w:rsidR="00D625BB" w14:paraId="028D7463" w14:textId="77777777" w:rsidTr="00D625BB">
        <w:trPr>
          <w:trHeight w:val="296"/>
        </w:trPr>
        <w:tc>
          <w:tcPr>
            <w:tcW w:w="2405" w:type="dxa"/>
            <w:vAlign w:val="center"/>
          </w:tcPr>
          <w:p w14:paraId="0704ADE6" w14:textId="77777777" w:rsidR="00D625BB" w:rsidRDefault="00000000">
            <w:pPr>
              <w:rPr>
                <w:rFonts w:ascii="Arial Narrow" w:eastAsia="Arial Narrow" w:hAnsi="Arial Narrow" w:cs="Arial Narrow"/>
                <w:b/>
                <w:bCs/>
                <w:i/>
                <w:iCs/>
                <w:sz w:val="20"/>
                <w:szCs w:val="20"/>
              </w:rPr>
            </w:pPr>
            <w:r>
              <w:rPr>
                <w:rFonts w:ascii="Arial Narrow" w:eastAsia="Arial Narrow" w:hAnsi="Arial Narrow" w:cs="Arial Narrow"/>
                <w:b/>
                <w:bCs/>
                <w:i/>
                <w:iCs/>
                <w:sz w:val="20"/>
                <w:szCs w:val="20"/>
              </w:rPr>
              <w:t>Sala Superior:</w:t>
            </w:r>
          </w:p>
        </w:tc>
        <w:tc>
          <w:tcPr>
            <w:tcW w:w="5288" w:type="dxa"/>
            <w:vAlign w:val="center"/>
          </w:tcPr>
          <w:p w14:paraId="598FF3EB" w14:textId="77777777" w:rsidR="00D625BB" w:rsidRDefault="00000000">
            <w:pPr>
              <w:jc w:val="both"/>
              <w:rPr>
                <w:rFonts w:ascii="Arial Narrow" w:eastAsia="Arial Narrow" w:hAnsi="Arial Narrow" w:cs="Arial Narrow"/>
                <w:sz w:val="20"/>
                <w:szCs w:val="20"/>
              </w:rPr>
            </w:pPr>
            <w:r>
              <w:rPr>
                <w:rFonts w:ascii="Arial Narrow" w:eastAsia="Arial Narrow" w:hAnsi="Arial Narrow" w:cs="Arial Narrow"/>
                <w:sz w:val="20"/>
                <w:szCs w:val="20"/>
              </w:rPr>
              <w:t>Sala Superior del Tribunal Electoral del Poder Judicial de la Federación.</w:t>
            </w:r>
          </w:p>
        </w:tc>
      </w:tr>
    </w:tbl>
    <w:p w14:paraId="07B6B0AB" w14:textId="77777777" w:rsidR="00D625BB" w:rsidRDefault="00000000">
      <w:pPr>
        <w:pStyle w:val="Ttulo1"/>
        <w:shd w:val="clear" w:color="auto" w:fill="DEEBF6"/>
        <w:jc w:val="center"/>
        <w:rPr>
          <w:rFonts w:ascii="Arial" w:eastAsia="Arial" w:hAnsi="Arial" w:cs="Arial"/>
          <w:sz w:val="24"/>
          <w:szCs w:val="24"/>
        </w:rPr>
      </w:pPr>
      <w:bookmarkStart w:id="2" w:name="_heading=h.lyfbu7lczhvz" w:colFirst="0" w:colLast="0"/>
      <w:bookmarkEnd w:id="2"/>
      <w:r>
        <w:rPr>
          <w:rFonts w:ascii="Arial" w:eastAsia="Arial" w:hAnsi="Arial" w:cs="Arial"/>
          <w:sz w:val="24"/>
          <w:szCs w:val="24"/>
        </w:rPr>
        <w:t>I. Antecedentes</w:t>
      </w:r>
    </w:p>
    <w:p w14:paraId="06A4342B"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1. Sentencia. </w:t>
      </w:r>
      <w:r>
        <w:rPr>
          <w:rFonts w:ascii="Arial" w:eastAsia="Arial" w:hAnsi="Arial" w:cs="Arial"/>
          <w:sz w:val="24"/>
          <w:szCs w:val="24"/>
        </w:rPr>
        <w:t xml:space="preserve">El nueve de febrero, este Tribunal declaró fundados los agravios presentados por la </w:t>
      </w:r>
      <w:r>
        <w:rPr>
          <w:rFonts w:ascii="Arial" w:eastAsia="Arial" w:hAnsi="Arial" w:cs="Arial"/>
          <w:i/>
          <w:iCs/>
          <w:sz w:val="24"/>
          <w:szCs w:val="24"/>
        </w:rPr>
        <w:t xml:space="preserve">actora </w:t>
      </w:r>
      <w:r>
        <w:rPr>
          <w:rFonts w:ascii="Arial" w:eastAsia="Arial" w:hAnsi="Arial" w:cs="Arial"/>
          <w:sz w:val="24"/>
          <w:szCs w:val="24"/>
        </w:rPr>
        <w:t xml:space="preserve">y, en consecuencia, ordenó a la </w:t>
      </w:r>
      <w:r>
        <w:rPr>
          <w:rFonts w:ascii="Arial" w:eastAsia="Arial" w:hAnsi="Arial" w:cs="Arial"/>
          <w:i/>
          <w:iCs/>
          <w:sz w:val="24"/>
          <w:szCs w:val="24"/>
        </w:rPr>
        <w:t>autoridad</w:t>
      </w:r>
      <w:r>
        <w:rPr>
          <w:rFonts w:ascii="Arial" w:eastAsia="Arial" w:hAnsi="Arial" w:cs="Arial"/>
          <w:sz w:val="24"/>
          <w:szCs w:val="24"/>
        </w:rPr>
        <w:t xml:space="preserve"> </w:t>
      </w:r>
      <w:r>
        <w:rPr>
          <w:rFonts w:ascii="Arial" w:eastAsia="Arial" w:hAnsi="Arial" w:cs="Arial"/>
          <w:i/>
          <w:iCs/>
          <w:sz w:val="24"/>
          <w:szCs w:val="24"/>
        </w:rPr>
        <w:t xml:space="preserve">vinculada </w:t>
      </w:r>
      <w:r>
        <w:rPr>
          <w:rFonts w:ascii="Arial" w:eastAsia="Arial" w:hAnsi="Arial" w:cs="Arial"/>
          <w:sz w:val="24"/>
          <w:szCs w:val="24"/>
        </w:rPr>
        <w:t>reincorporar su registro en el padrón de personas militantes y otorgarle la constancia solicitada.</w:t>
      </w:r>
    </w:p>
    <w:p w14:paraId="647207E3"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2. Escrito incidental. </w:t>
      </w:r>
      <w:r>
        <w:rPr>
          <w:rFonts w:ascii="Arial" w:eastAsia="Arial" w:hAnsi="Arial" w:cs="Arial"/>
          <w:sz w:val="24"/>
          <w:szCs w:val="24"/>
        </w:rPr>
        <w:t xml:space="preserve">El diecinueve siguiente, la </w:t>
      </w:r>
      <w:r>
        <w:rPr>
          <w:rFonts w:ascii="Arial" w:eastAsia="Arial" w:hAnsi="Arial" w:cs="Arial"/>
          <w:i/>
          <w:iCs/>
          <w:sz w:val="24"/>
          <w:szCs w:val="24"/>
        </w:rPr>
        <w:t xml:space="preserve">actora </w:t>
      </w:r>
      <w:r>
        <w:rPr>
          <w:rFonts w:ascii="Arial" w:eastAsia="Arial" w:hAnsi="Arial" w:cs="Arial"/>
          <w:sz w:val="24"/>
          <w:szCs w:val="24"/>
        </w:rPr>
        <w:t>planteó incidente de incumplimiento de sentencia</w:t>
      </w:r>
      <w:r>
        <w:rPr>
          <w:rFonts w:ascii="Arial" w:eastAsia="Arial" w:hAnsi="Arial" w:cs="Arial"/>
          <w:i/>
          <w:iCs/>
          <w:sz w:val="24"/>
          <w:szCs w:val="24"/>
        </w:rPr>
        <w:t xml:space="preserve"> </w:t>
      </w:r>
      <w:r>
        <w:rPr>
          <w:rFonts w:ascii="Arial" w:eastAsia="Arial" w:hAnsi="Arial" w:cs="Arial"/>
          <w:sz w:val="24"/>
          <w:szCs w:val="24"/>
        </w:rPr>
        <w:t>ante este órgano jurisdiccional, dentro del cual realizó la solicitud para el otorgamiento de una medida cautelar</w:t>
      </w:r>
      <w:r>
        <w:rPr>
          <w:rFonts w:ascii="Arial" w:eastAsia="Arial" w:hAnsi="Arial" w:cs="Arial"/>
          <w:sz w:val="24"/>
          <w:szCs w:val="24"/>
          <w:vertAlign w:val="superscript"/>
        </w:rPr>
        <w:footnoteReference w:id="2"/>
      </w:r>
      <w:r>
        <w:rPr>
          <w:rFonts w:ascii="Arial" w:eastAsia="Arial" w:hAnsi="Arial" w:cs="Arial"/>
          <w:sz w:val="24"/>
          <w:szCs w:val="24"/>
        </w:rPr>
        <w:t>.</w:t>
      </w:r>
    </w:p>
    <w:p w14:paraId="05A57BD8"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t>3. Apertura de incidente.</w:t>
      </w:r>
      <w:r>
        <w:rPr>
          <w:rFonts w:ascii="Arial" w:eastAsia="Arial" w:hAnsi="Arial" w:cs="Arial"/>
          <w:sz w:val="24"/>
          <w:szCs w:val="24"/>
        </w:rPr>
        <w:t xml:space="preserve"> Derivado de lo anterior, mediante acuerdo de veinte posterior, se ordenó la apertura, por cuerda separada, del referido incidente</w:t>
      </w:r>
      <w:r>
        <w:rPr>
          <w:rFonts w:ascii="Arial" w:eastAsia="Arial" w:hAnsi="Arial" w:cs="Arial"/>
          <w:sz w:val="24"/>
          <w:szCs w:val="24"/>
          <w:vertAlign w:val="superscript"/>
        </w:rPr>
        <w:footnoteReference w:id="3"/>
      </w:r>
      <w:r>
        <w:rPr>
          <w:rFonts w:ascii="Arial" w:eastAsia="Arial" w:hAnsi="Arial" w:cs="Arial"/>
          <w:sz w:val="24"/>
          <w:szCs w:val="24"/>
        </w:rPr>
        <w:t xml:space="preserve">. </w:t>
      </w:r>
    </w:p>
    <w:p w14:paraId="388CBB07" w14:textId="77777777" w:rsidR="00D625BB" w:rsidRDefault="00000000">
      <w:pPr>
        <w:spacing w:before="280" w:after="280" w:line="360" w:lineRule="auto"/>
        <w:jc w:val="both"/>
        <w:rPr>
          <w:rFonts w:ascii="Arial" w:eastAsia="Arial" w:hAnsi="Arial" w:cs="Arial"/>
          <w:i/>
          <w:iCs/>
          <w:sz w:val="24"/>
          <w:szCs w:val="24"/>
        </w:rPr>
      </w:pPr>
      <w:r>
        <w:rPr>
          <w:rFonts w:ascii="Arial" w:eastAsia="Arial" w:hAnsi="Arial" w:cs="Arial"/>
          <w:b/>
          <w:bCs/>
          <w:sz w:val="24"/>
          <w:szCs w:val="24"/>
        </w:rPr>
        <w:t xml:space="preserve">4. Vista, requerimiento y respuesta a la solicitud de la </w:t>
      </w:r>
      <w:proofErr w:type="spellStart"/>
      <w:r>
        <w:rPr>
          <w:rFonts w:ascii="Arial" w:eastAsia="Arial" w:hAnsi="Arial" w:cs="Arial"/>
          <w:b/>
          <w:bCs/>
          <w:i/>
          <w:iCs/>
          <w:sz w:val="24"/>
          <w:szCs w:val="24"/>
        </w:rPr>
        <w:t>incidentista</w:t>
      </w:r>
      <w:proofErr w:type="spellEnd"/>
      <w:r>
        <w:rPr>
          <w:rFonts w:ascii="Arial" w:eastAsia="Arial" w:hAnsi="Arial" w:cs="Arial"/>
          <w:b/>
          <w:bCs/>
          <w:sz w:val="24"/>
          <w:szCs w:val="24"/>
        </w:rPr>
        <w:t xml:space="preserve">. </w:t>
      </w:r>
      <w:r>
        <w:rPr>
          <w:rFonts w:ascii="Arial" w:eastAsia="Arial" w:hAnsi="Arial" w:cs="Arial"/>
          <w:sz w:val="24"/>
          <w:szCs w:val="24"/>
        </w:rPr>
        <w:t xml:space="preserve">En misma fecha, se dio vista a la </w:t>
      </w:r>
      <w:r>
        <w:rPr>
          <w:rFonts w:ascii="Arial" w:eastAsia="Arial" w:hAnsi="Arial" w:cs="Arial"/>
          <w:i/>
          <w:iCs/>
          <w:sz w:val="24"/>
          <w:szCs w:val="24"/>
        </w:rPr>
        <w:t xml:space="preserve">autoridad vinculada, </w:t>
      </w:r>
      <w:r>
        <w:rPr>
          <w:rFonts w:ascii="Arial" w:eastAsia="Arial" w:hAnsi="Arial" w:cs="Arial"/>
          <w:sz w:val="24"/>
          <w:szCs w:val="24"/>
        </w:rPr>
        <w:t>respecto del escrito incidental presentado y, se le requirió diversa información. Asimismo, se dio contestación a la solicitud realizada</w:t>
      </w:r>
      <w:r>
        <w:rPr>
          <w:rFonts w:ascii="Arial" w:eastAsia="Arial" w:hAnsi="Arial" w:cs="Arial"/>
          <w:sz w:val="24"/>
          <w:szCs w:val="24"/>
          <w:vertAlign w:val="superscript"/>
        </w:rPr>
        <w:footnoteReference w:id="4"/>
      </w:r>
      <w:r>
        <w:rPr>
          <w:rFonts w:ascii="Arial" w:eastAsia="Arial" w:hAnsi="Arial" w:cs="Arial"/>
          <w:i/>
          <w:iCs/>
          <w:sz w:val="24"/>
          <w:szCs w:val="24"/>
        </w:rPr>
        <w:t>.</w:t>
      </w:r>
    </w:p>
    <w:p w14:paraId="09EFBFCE" w14:textId="77777777" w:rsidR="00D625BB" w:rsidRDefault="00000000">
      <w:pPr>
        <w:spacing w:before="280" w:after="280" w:line="360" w:lineRule="auto"/>
        <w:jc w:val="both"/>
        <w:rPr>
          <w:rFonts w:ascii="Arial" w:eastAsia="Arial" w:hAnsi="Arial" w:cs="Arial"/>
          <w:i/>
          <w:iCs/>
          <w:sz w:val="24"/>
          <w:szCs w:val="24"/>
        </w:rPr>
      </w:pPr>
      <w:r>
        <w:rPr>
          <w:rFonts w:ascii="Arial" w:eastAsia="Arial" w:hAnsi="Arial" w:cs="Arial"/>
          <w:b/>
          <w:bCs/>
          <w:sz w:val="24"/>
          <w:szCs w:val="24"/>
        </w:rPr>
        <w:t>5. Acuerdo Plenario sobre solicitud de medidas cautelares.</w:t>
      </w:r>
      <w:r>
        <w:rPr>
          <w:rFonts w:ascii="Arial" w:eastAsia="Arial" w:hAnsi="Arial" w:cs="Arial"/>
          <w:sz w:val="24"/>
          <w:szCs w:val="24"/>
        </w:rPr>
        <w:t xml:space="preserve"> El veintisiete de febrero, este Tribunal determinó improcedente la medida cautelar solicitada por la </w:t>
      </w:r>
      <w:proofErr w:type="spellStart"/>
      <w:r>
        <w:rPr>
          <w:rFonts w:ascii="Arial" w:eastAsia="Arial" w:hAnsi="Arial" w:cs="Arial"/>
          <w:i/>
          <w:iCs/>
          <w:sz w:val="24"/>
          <w:szCs w:val="24"/>
        </w:rPr>
        <w:t>incidentista</w:t>
      </w:r>
      <w:proofErr w:type="spellEnd"/>
      <w:r>
        <w:rPr>
          <w:rFonts w:ascii="Arial" w:eastAsia="Arial" w:hAnsi="Arial" w:cs="Arial"/>
          <w:i/>
          <w:iCs/>
          <w:sz w:val="24"/>
          <w:szCs w:val="24"/>
          <w:vertAlign w:val="superscript"/>
        </w:rPr>
        <w:footnoteReference w:id="5"/>
      </w:r>
      <w:r>
        <w:rPr>
          <w:rFonts w:ascii="Arial" w:eastAsia="Arial" w:hAnsi="Arial" w:cs="Arial"/>
          <w:i/>
          <w:iCs/>
          <w:sz w:val="24"/>
          <w:szCs w:val="24"/>
        </w:rPr>
        <w:t>.</w:t>
      </w:r>
    </w:p>
    <w:p w14:paraId="4D9E0785" w14:textId="77777777" w:rsidR="00D625BB" w:rsidRDefault="00000000">
      <w:pPr>
        <w:spacing w:before="280" w:after="280" w:line="360" w:lineRule="auto"/>
        <w:jc w:val="both"/>
        <w:rPr>
          <w:rFonts w:ascii="Arial" w:eastAsia="Arial" w:hAnsi="Arial" w:cs="Arial"/>
          <w:i/>
          <w:iCs/>
          <w:sz w:val="24"/>
          <w:szCs w:val="24"/>
        </w:rPr>
      </w:pPr>
      <w:r>
        <w:rPr>
          <w:rFonts w:ascii="Arial" w:eastAsia="Arial" w:hAnsi="Arial" w:cs="Arial"/>
          <w:b/>
          <w:bCs/>
          <w:sz w:val="24"/>
          <w:szCs w:val="24"/>
        </w:rPr>
        <w:t xml:space="preserve">6. Recepción y vista. </w:t>
      </w:r>
      <w:r>
        <w:rPr>
          <w:rFonts w:ascii="Arial" w:eastAsia="Arial" w:hAnsi="Arial" w:cs="Arial"/>
          <w:sz w:val="24"/>
          <w:szCs w:val="24"/>
        </w:rPr>
        <w:t xml:space="preserve">Mediante proveído de dos de marzo, se recibieron diversas constancias remitidas, vía correo electrónico, por la </w:t>
      </w:r>
      <w:r>
        <w:rPr>
          <w:rFonts w:ascii="Arial" w:eastAsia="Arial" w:hAnsi="Arial" w:cs="Arial"/>
          <w:i/>
          <w:iCs/>
          <w:sz w:val="24"/>
          <w:szCs w:val="24"/>
        </w:rPr>
        <w:t xml:space="preserve">autoridad vinculada; </w:t>
      </w:r>
      <w:r>
        <w:rPr>
          <w:rFonts w:ascii="Arial" w:eastAsia="Arial" w:hAnsi="Arial" w:cs="Arial"/>
          <w:sz w:val="24"/>
          <w:szCs w:val="24"/>
        </w:rPr>
        <w:t xml:space="preserve">con las cuales se ordenó dar vista a la </w:t>
      </w:r>
      <w:proofErr w:type="spellStart"/>
      <w:r>
        <w:rPr>
          <w:rFonts w:ascii="Arial" w:eastAsia="Arial" w:hAnsi="Arial" w:cs="Arial"/>
          <w:i/>
          <w:iCs/>
          <w:sz w:val="24"/>
          <w:szCs w:val="24"/>
        </w:rPr>
        <w:t>incidentista</w:t>
      </w:r>
      <w:proofErr w:type="spellEnd"/>
      <w:r>
        <w:rPr>
          <w:rFonts w:ascii="Arial" w:eastAsia="Arial" w:hAnsi="Arial" w:cs="Arial"/>
          <w:i/>
          <w:iCs/>
          <w:sz w:val="24"/>
          <w:szCs w:val="24"/>
          <w:vertAlign w:val="superscript"/>
        </w:rPr>
        <w:footnoteReference w:id="6"/>
      </w:r>
      <w:r>
        <w:rPr>
          <w:rFonts w:ascii="Arial" w:eastAsia="Arial" w:hAnsi="Arial" w:cs="Arial"/>
          <w:i/>
          <w:iCs/>
          <w:sz w:val="24"/>
          <w:szCs w:val="24"/>
        </w:rPr>
        <w:t>.</w:t>
      </w:r>
    </w:p>
    <w:p w14:paraId="4293504F"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b/>
          <w:bCs/>
          <w:sz w:val="24"/>
          <w:szCs w:val="24"/>
        </w:rPr>
        <w:lastRenderedPageBreak/>
        <w:t>7. Recepción, cumplimiento, preclusión de plazo, admisión y citación para sentencia.</w:t>
      </w:r>
      <w:r>
        <w:rPr>
          <w:rFonts w:ascii="Arial" w:eastAsia="Arial" w:hAnsi="Arial" w:cs="Arial"/>
          <w:sz w:val="24"/>
          <w:szCs w:val="24"/>
        </w:rPr>
        <w:t xml:space="preserve"> En acuerdo de seis siguiente, se recibieron las constancias remitidas por la </w:t>
      </w:r>
      <w:r>
        <w:rPr>
          <w:rFonts w:ascii="Arial" w:eastAsia="Arial" w:hAnsi="Arial" w:cs="Arial"/>
          <w:i/>
          <w:iCs/>
          <w:sz w:val="24"/>
          <w:szCs w:val="24"/>
        </w:rPr>
        <w:t xml:space="preserve">autoridad vinculada, </w:t>
      </w:r>
      <w:r>
        <w:rPr>
          <w:rFonts w:ascii="Arial" w:eastAsia="Arial" w:hAnsi="Arial" w:cs="Arial"/>
          <w:sz w:val="24"/>
          <w:szCs w:val="24"/>
        </w:rPr>
        <w:t xml:space="preserve">vía física; por lo que se le tuvo cumpliendo con lo requerido. Asimismo, se tuvo precluido el plazo otorgado a la </w:t>
      </w:r>
      <w:proofErr w:type="spellStart"/>
      <w:r>
        <w:rPr>
          <w:rFonts w:ascii="Arial" w:eastAsia="Arial" w:hAnsi="Arial" w:cs="Arial"/>
          <w:i/>
          <w:iCs/>
          <w:sz w:val="24"/>
          <w:szCs w:val="24"/>
        </w:rPr>
        <w:t>incidentista</w:t>
      </w:r>
      <w:proofErr w:type="spellEnd"/>
      <w:r>
        <w:rPr>
          <w:rFonts w:ascii="Arial" w:eastAsia="Arial" w:hAnsi="Arial" w:cs="Arial"/>
          <w:i/>
          <w:iCs/>
          <w:sz w:val="24"/>
          <w:szCs w:val="24"/>
        </w:rPr>
        <w:t xml:space="preserve"> </w:t>
      </w:r>
      <w:r>
        <w:rPr>
          <w:rFonts w:ascii="Arial" w:eastAsia="Arial" w:hAnsi="Arial" w:cs="Arial"/>
          <w:sz w:val="24"/>
          <w:szCs w:val="24"/>
        </w:rPr>
        <w:t>para comparecer a desahogar la vista otorgada; se admitió el incidente y, se citó a las partes para la resolución incidental</w:t>
      </w:r>
      <w:r>
        <w:rPr>
          <w:rFonts w:ascii="Arial" w:eastAsia="Arial" w:hAnsi="Arial" w:cs="Arial"/>
          <w:sz w:val="24"/>
          <w:szCs w:val="24"/>
          <w:vertAlign w:val="superscript"/>
        </w:rPr>
        <w:footnoteReference w:id="7"/>
      </w:r>
      <w:r>
        <w:rPr>
          <w:rFonts w:ascii="Arial" w:eastAsia="Arial" w:hAnsi="Arial" w:cs="Arial"/>
          <w:sz w:val="24"/>
          <w:szCs w:val="24"/>
        </w:rPr>
        <w:t>.</w:t>
      </w:r>
    </w:p>
    <w:p w14:paraId="287CBC1F" w14:textId="77777777" w:rsidR="00D625BB" w:rsidRDefault="00000000">
      <w:pPr>
        <w:pStyle w:val="Ttulo1"/>
        <w:shd w:val="clear" w:color="auto" w:fill="DEEBF6"/>
        <w:spacing w:before="240" w:after="160"/>
        <w:jc w:val="center"/>
        <w:rPr>
          <w:rFonts w:ascii="Arial" w:eastAsia="Arial" w:hAnsi="Arial" w:cs="Arial"/>
          <w:sz w:val="24"/>
          <w:szCs w:val="24"/>
        </w:rPr>
      </w:pPr>
      <w:bookmarkStart w:id="3" w:name="_heading=h.2ffux1l4k0rx" w:colFirst="0" w:colLast="0"/>
      <w:bookmarkEnd w:id="3"/>
      <w:r>
        <w:rPr>
          <w:rFonts w:ascii="Arial" w:eastAsia="Arial" w:hAnsi="Arial" w:cs="Arial"/>
          <w:sz w:val="24"/>
          <w:szCs w:val="24"/>
        </w:rPr>
        <w:t>II. Competencia</w:t>
      </w:r>
    </w:p>
    <w:p w14:paraId="5449A76F" w14:textId="77777777" w:rsidR="00D625BB" w:rsidRDefault="00000000">
      <w:pPr>
        <w:spacing w:before="240" w:line="360" w:lineRule="auto"/>
        <w:jc w:val="both"/>
        <w:rPr>
          <w:rFonts w:ascii="Arial" w:eastAsia="Arial" w:hAnsi="Arial" w:cs="Arial"/>
          <w:sz w:val="24"/>
          <w:szCs w:val="24"/>
        </w:rPr>
      </w:pPr>
      <w:bookmarkStart w:id="4" w:name="_heading=h.2et92p0" w:colFirst="0" w:colLast="0"/>
      <w:bookmarkEnd w:id="4"/>
      <w:r>
        <w:rPr>
          <w:rFonts w:ascii="Arial" w:eastAsia="Arial" w:hAnsi="Arial" w:cs="Arial"/>
          <w:sz w:val="24"/>
          <w:szCs w:val="24"/>
        </w:rPr>
        <w:t>El Pleno de este Tribunal</w:t>
      </w:r>
      <w:r>
        <w:rPr>
          <w:rFonts w:ascii="Arial" w:eastAsia="Arial" w:hAnsi="Arial" w:cs="Arial"/>
          <w:i/>
          <w:iCs/>
          <w:sz w:val="24"/>
          <w:szCs w:val="24"/>
        </w:rPr>
        <w:t xml:space="preserve"> </w:t>
      </w:r>
      <w:r>
        <w:rPr>
          <w:rFonts w:ascii="Arial" w:eastAsia="Arial" w:hAnsi="Arial" w:cs="Arial"/>
          <w:sz w:val="24"/>
          <w:szCs w:val="24"/>
        </w:rPr>
        <w:t xml:space="preserve">es competente para conocer y resolver el incidente de incumplimiento de sentencia planteado por la </w:t>
      </w:r>
      <w:r>
        <w:rPr>
          <w:rFonts w:ascii="Arial" w:eastAsia="Arial" w:hAnsi="Arial" w:cs="Arial"/>
          <w:i/>
          <w:iCs/>
          <w:sz w:val="24"/>
          <w:szCs w:val="24"/>
        </w:rPr>
        <w:t>actora</w:t>
      </w:r>
      <w:r>
        <w:rPr>
          <w:rFonts w:ascii="Arial" w:eastAsia="Arial" w:hAnsi="Arial" w:cs="Arial"/>
          <w:sz w:val="24"/>
          <w:szCs w:val="24"/>
        </w:rPr>
        <w:t>, en atención a que la competencia que tiene para resolver el medio de impugnación implica también la facultad para velar por el cumplimiento de sus determinaciones</w:t>
      </w:r>
      <w:r>
        <w:rPr>
          <w:rFonts w:ascii="Arial" w:eastAsia="Arial" w:hAnsi="Arial" w:cs="Arial"/>
          <w:sz w:val="24"/>
          <w:szCs w:val="24"/>
          <w:vertAlign w:val="superscript"/>
        </w:rPr>
        <w:footnoteReference w:id="8"/>
      </w:r>
      <w:r>
        <w:rPr>
          <w:rFonts w:ascii="Arial" w:eastAsia="Arial" w:hAnsi="Arial" w:cs="Arial"/>
          <w:sz w:val="24"/>
          <w:szCs w:val="24"/>
        </w:rPr>
        <w:t>.</w:t>
      </w:r>
    </w:p>
    <w:p w14:paraId="28A933AE" w14:textId="77777777" w:rsidR="00D625BB" w:rsidRDefault="00000000">
      <w:pPr>
        <w:spacing w:before="240" w:line="360" w:lineRule="auto"/>
        <w:jc w:val="both"/>
        <w:rPr>
          <w:rFonts w:ascii="Arial" w:eastAsia="Arial" w:hAnsi="Arial" w:cs="Arial"/>
          <w:sz w:val="24"/>
          <w:szCs w:val="24"/>
        </w:rPr>
      </w:pPr>
      <w:r>
        <w:rPr>
          <w:rFonts w:ascii="Arial" w:eastAsia="Arial" w:hAnsi="Arial" w:cs="Arial"/>
          <w:sz w:val="24"/>
          <w:szCs w:val="24"/>
        </w:rPr>
        <w:t>Lo anterior, de conformidad con los artículos 98 A de la Constitución Política del Estado Libre y Soberano de Michoacán de Ocampo, 60, 64, fracción XIII y 66, fracciones II, III y X del </w:t>
      </w:r>
      <w:r>
        <w:rPr>
          <w:rFonts w:ascii="Arial" w:eastAsia="Arial" w:hAnsi="Arial" w:cs="Arial"/>
          <w:i/>
          <w:iCs/>
          <w:sz w:val="24"/>
          <w:szCs w:val="24"/>
        </w:rPr>
        <w:t>Código Electoral</w:t>
      </w:r>
      <w:r>
        <w:rPr>
          <w:rFonts w:ascii="Arial" w:eastAsia="Arial" w:hAnsi="Arial" w:cs="Arial"/>
          <w:sz w:val="24"/>
          <w:szCs w:val="24"/>
        </w:rPr>
        <w:t>; 1, 5, 31, 73 y 74 inciso d) de la </w:t>
      </w:r>
      <w:r>
        <w:rPr>
          <w:rFonts w:ascii="Arial" w:eastAsia="Arial" w:hAnsi="Arial" w:cs="Arial"/>
          <w:i/>
          <w:iCs/>
          <w:sz w:val="24"/>
          <w:szCs w:val="24"/>
        </w:rPr>
        <w:t>Ley de Justicia Electoral.</w:t>
      </w:r>
    </w:p>
    <w:p w14:paraId="7E305254" w14:textId="77777777" w:rsidR="00D625BB" w:rsidRDefault="00000000">
      <w:pPr>
        <w:pStyle w:val="Ttulo1"/>
        <w:shd w:val="clear" w:color="auto" w:fill="DEEBF6"/>
        <w:spacing w:before="0"/>
        <w:jc w:val="center"/>
        <w:rPr>
          <w:rFonts w:ascii="Arial" w:eastAsia="Arial" w:hAnsi="Arial" w:cs="Arial"/>
          <w:sz w:val="24"/>
          <w:szCs w:val="24"/>
        </w:rPr>
      </w:pPr>
      <w:bookmarkStart w:id="5" w:name="_heading=h.7a5y79r66itc" w:colFirst="0" w:colLast="0"/>
      <w:bookmarkEnd w:id="5"/>
      <w:r>
        <w:rPr>
          <w:rFonts w:ascii="Arial" w:eastAsia="Arial" w:hAnsi="Arial" w:cs="Arial"/>
          <w:sz w:val="24"/>
          <w:szCs w:val="24"/>
        </w:rPr>
        <w:t>III. Requisitos de Procedencia</w:t>
      </w:r>
    </w:p>
    <w:p w14:paraId="1ED36298" w14:textId="77777777" w:rsidR="00D625BB" w:rsidRDefault="00000000">
      <w:pP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El escrito incidental reúne los requisitos previstos en los artículos 9, 10, 15, fracción IV, 73 y 74, inciso d), de la </w:t>
      </w:r>
      <w:r>
        <w:rPr>
          <w:rFonts w:ascii="Arial" w:eastAsia="Arial" w:hAnsi="Arial" w:cs="Arial"/>
          <w:i/>
          <w:iCs/>
          <w:color w:val="000000"/>
          <w:sz w:val="24"/>
          <w:szCs w:val="24"/>
        </w:rPr>
        <w:t>Ley de Justicia Electoral</w:t>
      </w:r>
      <w:r>
        <w:rPr>
          <w:rFonts w:ascii="Arial" w:eastAsia="Arial" w:hAnsi="Arial" w:cs="Arial"/>
          <w:color w:val="000000"/>
          <w:sz w:val="24"/>
          <w:szCs w:val="24"/>
        </w:rPr>
        <w:t>, tal como se expone a continuación:</w:t>
      </w:r>
    </w:p>
    <w:p w14:paraId="2E7A2149" w14:textId="77777777" w:rsidR="00D625BB" w:rsidRDefault="00000000">
      <w:pPr>
        <w:spacing w:before="280" w:after="280" w:line="360" w:lineRule="auto"/>
        <w:jc w:val="both"/>
        <w:rPr>
          <w:rFonts w:ascii="Arial" w:eastAsia="Arial" w:hAnsi="Arial" w:cs="Arial"/>
          <w:color w:val="000000"/>
          <w:sz w:val="24"/>
          <w:szCs w:val="24"/>
        </w:rPr>
      </w:pPr>
      <w:r>
        <w:rPr>
          <w:rFonts w:ascii="Arial" w:eastAsia="Arial" w:hAnsi="Arial" w:cs="Arial"/>
          <w:b/>
          <w:bCs/>
          <w:color w:val="000000"/>
          <w:sz w:val="24"/>
          <w:szCs w:val="24"/>
        </w:rPr>
        <w:t>1. Oportunidad. </w:t>
      </w:r>
      <w:r>
        <w:rPr>
          <w:rFonts w:ascii="Arial" w:eastAsia="Arial" w:hAnsi="Arial" w:cs="Arial"/>
          <w:color w:val="000000"/>
          <w:sz w:val="24"/>
          <w:szCs w:val="24"/>
        </w:rPr>
        <w:t>El incidente fue promovido en tiempo, en atención a que la</w:t>
      </w:r>
      <w:r>
        <w:rPr>
          <w:rFonts w:ascii="Arial" w:eastAsia="Arial" w:hAnsi="Arial" w:cs="Arial"/>
          <w:i/>
          <w:iCs/>
          <w:color w:val="000000"/>
          <w:sz w:val="24"/>
          <w:szCs w:val="24"/>
        </w:rPr>
        <w:t xml:space="preserve"> </w:t>
      </w:r>
      <w:proofErr w:type="spellStart"/>
      <w:r>
        <w:rPr>
          <w:rFonts w:ascii="Arial" w:eastAsia="Arial" w:hAnsi="Arial" w:cs="Arial"/>
          <w:i/>
          <w:iCs/>
          <w:color w:val="000000"/>
          <w:sz w:val="24"/>
          <w:szCs w:val="24"/>
        </w:rPr>
        <w:t>incidentista</w:t>
      </w:r>
      <w:proofErr w:type="spellEnd"/>
      <w:r>
        <w:rPr>
          <w:rFonts w:ascii="Arial" w:eastAsia="Arial" w:hAnsi="Arial" w:cs="Arial"/>
          <w:color w:val="000000"/>
          <w:sz w:val="24"/>
          <w:szCs w:val="24"/>
        </w:rPr>
        <w:t xml:space="preserve"> se inconforma de la omisión de dar cumplimiento a la sentencia, por parte de la </w:t>
      </w:r>
      <w:r>
        <w:rPr>
          <w:rFonts w:ascii="Arial" w:eastAsia="Arial" w:hAnsi="Arial" w:cs="Arial"/>
          <w:i/>
          <w:iCs/>
          <w:color w:val="000000"/>
          <w:sz w:val="24"/>
          <w:szCs w:val="24"/>
        </w:rPr>
        <w:t>autoridad vinculada;</w:t>
      </w:r>
      <w:r>
        <w:rPr>
          <w:rFonts w:ascii="Arial" w:eastAsia="Arial" w:hAnsi="Arial" w:cs="Arial"/>
          <w:color w:val="000000"/>
          <w:sz w:val="24"/>
          <w:szCs w:val="24"/>
        </w:rPr>
        <w:t xml:space="preserve"> por lo que, al tratarse de un acto de tracto sucesivo, el plazo para impugnar se mantiene permanentemente actualizado</w:t>
      </w:r>
      <w:r>
        <w:rPr>
          <w:rFonts w:ascii="Arial" w:eastAsia="Arial" w:hAnsi="Arial" w:cs="Arial"/>
          <w:color w:val="000000"/>
          <w:sz w:val="24"/>
          <w:szCs w:val="24"/>
          <w:vertAlign w:val="superscript"/>
        </w:rPr>
        <w:footnoteReference w:id="9"/>
      </w:r>
      <w:r>
        <w:rPr>
          <w:rFonts w:ascii="Arial" w:eastAsia="Arial" w:hAnsi="Arial" w:cs="Arial"/>
          <w:color w:val="000000"/>
          <w:sz w:val="24"/>
          <w:szCs w:val="24"/>
        </w:rPr>
        <w:t xml:space="preserve">. </w:t>
      </w:r>
    </w:p>
    <w:p w14:paraId="1E5BAC9D" w14:textId="77777777" w:rsidR="00D625BB" w:rsidRDefault="00000000">
      <w:pPr>
        <w:spacing w:before="280" w:after="280" w:line="360" w:lineRule="auto"/>
        <w:jc w:val="both"/>
        <w:rPr>
          <w:rFonts w:ascii="Arial" w:eastAsia="Arial" w:hAnsi="Arial" w:cs="Arial"/>
          <w:color w:val="000000"/>
          <w:sz w:val="24"/>
          <w:szCs w:val="24"/>
        </w:rPr>
      </w:pPr>
      <w:r>
        <w:rPr>
          <w:rFonts w:ascii="Arial" w:eastAsia="Arial" w:hAnsi="Arial" w:cs="Arial"/>
          <w:b/>
          <w:bCs/>
          <w:color w:val="000000"/>
          <w:sz w:val="24"/>
          <w:szCs w:val="24"/>
        </w:rPr>
        <w:t>2.</w:t>
      </w:r>
      <w:r>
        <w:rPr>
          <w:rFonts w:ascii="Arial" w:eastAsia="Arial" w:hAnsi="Arial" w:cs="Arial"/>
          <w:color w:val="000000"/>
          <w:sz w:val="24"/>
          <w:szCs w:val="24"/>
        </w:rPr>
        <w:t> </w:t>
      </w:r>
      <w:r>
        <w:rPr>
          <w:rFonts w:ascii="Arial" w:eastAsia="Arial" w:hAnsi="Arial" w:cs="Arial"/>
          <w:b/>
          <w:bCs/>
          <w:color w:val="000000"/>
          <w:sz w:val="24"/>
          <w:szCs w:val="24"/>
        </w:rPr>
        <w:t>Forma.</w:t>
      </w:r>
      <w:r>
        <w:rPr>
          <w:rFonts w:ascii="Arial" w:eastAsia="Arial" w:hAnsi="Arial" w:cs="Arial"/>
          <w:color w:val="000000"/>
          <w:sz w:val="24"/>
          <w:szCs w:val="24"/>
        </w:rPr>
        <w:t xml:space="preserve"> En el escrito consta el nombre y firma de la </w:t>
      </w:r>
      <w:proofErr w:type="spellStart"/>
      <w:r>
        <w:rPr>
          <w:rFonts w:ascii="Arial" w:eastAsia="Arial" w:hAnsi="Arial" w:cs="Arial"/>
          <w:i/>
          <w:iCs/>
          <w:color w:val="000000"/>
          <w:sz w:val="24"/>
          <w:szCs w:val="24"/>
        </w:rPr>
        <w:t>incidentista</w:t>
      </w:r>
      <w:proofErr w:type="spellEnd"/>
      <w:r>
        <w:rPr>
          <w:rFonts w:ascii="Arial" w:eastAsia="Arial" w:hAnsi="Arial" w:cs="Arial"/>
          <w:color w:val="000000"/>
          <w:sz w:val="24"/>
          <w:szCs w:val="24"/>
        </w:rPr>
        <w:t xml:space="preserve">; asimismo, describe los hechos en que sustenta el incumplimiento de lo </w:t>
      </w:r>
      <w:r>
        <w:rPr>
          <w:rFonts w:ascii="Arial" w:eastAsia="Arial" w:hAnsi="Arial" w:cs="Arial"/>
          <w:color w:val="000000"/>
          <w:sz w:val="24"/>
          <w:szCs w:val="24"/>
        </w:rPr>
        <w:lastRenderedPageBreak/>
        <w:t>determinado, con los cuales sostiene la procedencia del incidente planteado.</w:t>
      </w:r>
    </w:p>
    <w:p w14:paraId="3DF9B443" w14:textId="77777777" w:rsidR="00D625BB" w:rsidRDefault="00000000">
      <w:pPr>
        <w:spacing w:before="280" w:after="280" w:line="360" w:lineRule="auto"/>
        <w:jc w:val="both"/>
        <w:rPr>
          <w:rFonts w:ascii="Arial" w:eastAsia="Arial" w:hAnsi="Arial" w:cs="Arial"/>
          <w:color w:val="000000"/>
          <w:sz w:val="24"/>
          <w:szCs w:val="24"/>
        </w:rPr>
      </w:pPr>
      <w:r>
        <w:rPr>
          <w:rFonts w:ascii="Arial" w:eastAsia="Arial" w:hAnsi="Arial" w:cs="Arial"/>
          <w:b/>
          <w:bCs/>
          <w:color w:val="000000"/>
          <w:sz w:val="24"/>
          <w:szCs w:val="24"/>
        </w:rPr>
        <w:t>3. Legitimación e interés jurídico. </w:t>
      </w:r>
      <w:r>
        <w:rPr>
          <w:rFonts w:ascii="Arial" w:eastAsia="Arial" w:hAnsi="Arial" w:cs="Arial"/>
          <w:color w:val="000000"/>
          <w:sz w:val="24"/>
          <w:szCs w:val="24"/>
        </w:rPr>
        <w:t xml:space="preserve">El incidente es planteado por la </w:t>
      </w:r>
      <w:r>
        <w:rPr>
          <w:rFonts w:ascii="Arial" w:eastAsia="Arial" w:hAnsi="Arial" w:cs="Arial"/>
          <w:i/>
          <w:iCs/>
          <w:color w:val="000000"/>
          <w:sz w:val="24"/>
          <w:szCs w:val="24"/>
        </w:rPr>
        <w:t>actora</w:t>
      </w:r>
      <w:r>
        <w:rPr>
          <w:rFonts w:ascii="Arial" w:eastAsia="Arial" w:hAnsi="Arial" w:cs="Arial"/>
          <w:color w:val="000000"/>
          <w:sz w:val="24"/>
          <w:szCs w:val="24"/>
        </w:rPr>
        <w:t xml:space="preserve"> del </w:t>
      </w:r>
      <w:r>
        <w:rPr>
          <w:rFonts w:ascii="Arial" w:eastAsia="Arial" w:hAnsi="Arial" w:cs="Arial"/>
          <w:i/>
          <w:iCs/>
          <w:color w:val="000000"/>
          <w:sz w:val="24"/>
          <w:szCs w:val="24"/>
        </w:rPr>
        <w:t>juicio de la ciudadanía</w:t>
      </w:r>
      <w:r>
        <w:rPr>
          <w:rFonts w:ascii="Arial" w:eastAsia="Arial" w:hAnsi="Arial" w:cs="Arial"/>
          <w:color w:val="000000"/>
          <w:sz w:val="24"/>
          <w:szCs w:val="24"/>
        </w:rPr>
        <w:t>; quien</w:t>
      </w:r>
      <w:r>
        <w:rPr>
          <w:rFonts w:ascii="Arial" w:eastAsia="Arial" w:hAnsi="Arial" w:cs="Arial"/>
          <w:i/>
          <w:iCs/>
          <w:color w:val="000000"/>
          <w:sz w:val="24"/>
          <w:szCs w:val="24"/>
        </w:rPr>
        <w:t xml:space="preserve"> </w:t>
      </w:r>
      <w:r>
        <w:rPr>
          <w:rFonts w:ascii="Arial" w:eastAsia="Arial" w:hAnsi="Arial" w:cs="Arial"/>
          <w:color w:val="000000"/>
          <w:sz w:val="24"/>
          <w:szCs w:val="24"/>
        </w:rPr>
        <w:t xml:space="preserve">se inconforma de la omisión de la </w:t>
      </w:r>
      <w:r>
        <w:rPr>
          <w:rFonts w:ascii="Arial" w:eastAsia="Arial" w:hAnsi="Arial" w:cs="Arial"/>
          <w:i/>
          <w:iCs/>
          <w:color w:val="000000"/>
          <w:sz w:val="24"/>
          <w:szCs w:val="24"/>
        </w:rPr>
        <w:t xml:space="preserve">autoridad vinculada </w:t>
      </w:r>
      <w:r>
        <w:rPr>
          <w:rFonts w:ascii="Arial" w:eastAsia="Arial" w:hAnsi="Arial" w:cs="Arial"/>
          <w:color w:val="000000"/>
          <w:sz w:val="24"/>
          <w:szCs w:val="24"/>
        </w:rPr>
        <w:t>para dar cumplimiento a lo ordenado por este Tribunal, dentro de la sentencia en la que se determinó restituirle el derecho político-electoral vulnerado.</w:t>
      </w:r>
    </w:p>
    <w:p w14:paraId="2F855525" w14:textId="77777777" w:rsidR="00D625BB" w:rsidRDefault="00000000">
      <w:pPr>
        <w:spacing w:before="280" w:after="0" w:line="360" w:lineRule="auto"/>
        <w:jc w:val="both"/>
        <w:rPr>
          <w:rFonts w:ascii="Arial" w:eastAsia="Arial" w:hAnsi="Arial" w:cs="Arial"/>
          <w:color w:val="000000"/>
          <w:sz w:val="24"/>
          <w:szCs w:val="24"/>
        </w:rPr>
      </w:pPr>
      <w:r>
        <w:rPr>
          <w:rFonts w:ascii="Arial" w:eastAsia="Arial" w:hAnsi="Arial" w:cs="Arial"/>
          <w:b/>
          <w:bCs/>
          <w:color w:val="000000"/>
          <w:sz w:val="24"/>
          <w:szCs w:val="24"/>
        </w:rPr>
        <w:t>4. Definitividad. </w:t>
      </w:r>
      <w:r>
        <w:rPr>
          <w:rFonts w:ascii="Arial" w:eastAsia="Arial" w:hAnsi="Arial" w:cs="Arial"/>
          <w:color w:val="000000"/>
          <w:sz w:val="24"/>
          <w:szCs w:val="24"/>
        </w:rPr>
        <w:t>La legislación local no prevé algún medio que deba agotarse previo a acudir ante este órgano jurisdiccional</w:t>
      </w:r>
      <w:r>
        <w:rPr>
          <w:rFonts w:ascii="Arial" w:eastAsia="Arial" w:hAnsi="Arial" w:cs="Arial"/>
          <w:i/>
          <w:iCs/>
          <w:color w:val="000000"/>
          <w:sz w:val="24"/>
          <w:szCs w:val="24"/>
        </w:rPr>
        <w:t> </w:t>
      </w:r>
      <w:r>
        <w:rPr>
          <w:rFonts w:ascii="Arial" w:eastAsia="Arial" w:hAnsi="Arial" w:cs="Arial"/>
          <w:color w:val="000000"/>
          <w:sz w:val="24"/>
          <w:szCs w:val="24"/>
        </w:rPr>
        <w:t>para interponer el presente incidente.</w:t>
      </w:r>
    </w:p>
    <w:p w14:paraId="29202803" w14:textId="77777777" w:rsidR="00D625BB" w:rsidRDefault="00000000">
      <w:pPr>
        <w:pStyle w:val="Ttulo1"/>
        <w:shd w:val="clear" w:color="auto" w:fill="DEEBF6"/>
        <w:spacing w:after="0"/>
        <w:jc w:val="center"/>
        <w:rPr>
          <w:rFonts w:ascii="Arial" w:eastAsia="Arial" w:hAnsi="Arial" w:cs="Arial"/>
          <w:sz w:val="24"/>
          <w:szCs w:val="24"/>
        </w:rPr>
      </w:pPr>
      <w:bookmarkStart w:id="6" w:name="_heading=h.s4y1xjby9l9" w:colFirst="0" w:colLast="0"/>
      <w:bookmarkEnd w:id="6"/>
      <w:r>
        <w:rPr>
          <w:rFonts w:ascii="Arial" w:eastAsia="Arial" w:hAnsi="Arial" w:cs="Arial"/>
          <w:sz w:val="24"/>
          <w:szCs w:val="24"/>
        </w:rPr>
        <w:t>IV. Análisis</w:t>
      </w:r>
    </w:p>
    <w:p w14:paraId="51ABBE13" w14:textId="77777777" w:rsidR="00D625BB" w:rsidRDefault="00000000">
      <w:pPr>
        <w:pStyle w:val="Ttulo1"/>
        <w:spacing w:after="0"/>
        <w:rPr>
          <w:rFonts w:ascii="Arial" w:eastAsia="Arial" w:hAnsi="Arial" w:cs="Arial"/>
          <w:sz w:val="24"/>
          <w:szCs w:val="24"/>
        </w:rPr>
      </w:pPr>
      <w:bookmarkStart w:id="7" w:name="_heading=h.gpwtd4458kba" w:colFirst="0" w:colLast="0"/>
      <w:bookmarkEnd w:id="7"/>
      <w:r>
        <w:rPr>
          <w:rFonts w:ascii="Arial" w:eastAsia="Arial" w:hAnsi="Arial" w:cs="Arial"/>
          <w:sz w:val="24"/>
          <w:szCs w:val="24"/>
        </w:rPr>
        <w:t>4.1. Materia incidental</w:t>
      </w:r>
    </w:p>
    <w:p w14:paraId="44A7C794"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La </w:t>
      </w:r>
      <w:proofErr w:type="spellStart"/>
      <w:r>
        <w:rPr>
          <w:rFonts w:ascii="Arial" w:eastAsia="Arial" w:hAnsi="Arial" w:cs="Arial"/>
          <w:i/>
          <w:iCs/>
          <w:sz w:val="24"/>
          <w:szCs w:val="24"/>
        </w:rPr>
        <w:t>incidentista</w:t>
      </w:r>
      <w:proofErr w:type="spellEnd"/>
      <w:r>
        <w:rPr>
          <w:rFonts w:ascii="Arial" w:eastAsia="Arial" w:hAnsi="Arial" w:cs="Arial"/>
          <w:sz w:val="24"/>
          <w:szCs w:val="24"/>
        </w:rPr>
        <w:t xml:space="preserve"> plantea el incumplimiento de la </w:t>
      </w:r>
      <w:r>
        <w:rPr>
          <w:rFonts w:ascii="Arial" w:eastAsia="Arial" w:hAnsi="Arial" w:cs="Arial"/>
          <w:i/>
          <w:iCs/>
          <w:sz w:val="24"/>
          <w:szCs w:val="24"/>
        </w:rPr>
        <w:t xml:space="preserve">autoridad vinculada </w:t>
      </w:r>
      <w:r>
        <w:rPr>
          <w:rFonts w:ascii="Arial" w:eastAsia="Arial" w:hAnsi="Arial" w:cs="Arial"/>
          <w:sz w:val="24"/>
          <w:szCs w:val="24"/>
        </w:rPr>
        <w:t>para realizar lo ordenado por este Tribunal en la sentencia; por lo que, la finalidad de la presente resolución consiste en verificar si las acciones ejecutadas por la referida autoridad son suficientes para tener cumplida la determinación emitida.</w:t>
      </w:r>
    </w:p>
    <w:p w14:paraId="73A04916" w14:textId="77777777" w:rsidR="00D625BB" w:rsidRDefault="00000000">
      <w:pPr>
        <w:spacing w:before="280" w:line="360" w:lineRule="auto"/>
        <w:jc w:val="both"/>
        <w:rPr>
          <w:rFonts w:ascii="Arial" w:eastAsia="Arial" w:hAnsi="Arial" w:cs="Arial"/>
          <w:sz w:val="24"/>
          <w:szCs w:val="24"/>
        </w:rPr>
      </w:pPr>
      <w:r>
        <w:rPr>
          <w:rFonts w:ascii="Arial" w:eastAsia="Arial" w:hAnsi="Arial" w:cs="Arial"/>
          <w:sz w:val="24"/>
          <w:szCs w:val="24"/>
        </w:rPr>
        <w:t>Lo anterior, porque el objeto de un incidente relacionado con el cumplimiento o inejecución de una sentencia se encuentra delimitado por lo resuelto en esta; por tanto, solo se hará cumplir aquello dispuesto expresamente en dicha resolución, con el objeto de materializar lo determinado y lograr un cumplimiento eficaz en apego a lo que fue resuelto.</w:t>
      </w:r>
    </w:p>
    <w:p w14:paraId="6720C667" w14:textId="77777777" w:rsidR="00D625BB" w:rsidRDefault="00000000">
      <w:pPr>
        <w:pStyle w:val="Ttulo1"/>
        <w:spacing w:before="0"/>
        <w:rPr>
          <w:rFonts w:ascii="Arial" w:eastAsia="Arial" w:hAnsi="Arial" w:cs="Arial"/>
          <w:sz w:val="24"/>
          <w:szCs w:val="24"/>
        </w:rPr>
      </w:pPr>
      <w:bookmarkStart w:id="8" w:name="_heading=h.hntjyrvq6cdh" w:colFirst="0" w:colLast="0"/>
      <w:bookmarkEnd w:id="8"/>
      <w:r>
        <w:rPr>
          <w:rFonts w:ascii="Arial" w:eastAsia="Arial" w:hAnsi="Arial" w:cs="Arial"/>
          <w:sz w:val="24"/>
          <w:szCs w:val="24"/>
        </w:rPr>
        <w:t>4.2. Consideraciones de lo ordenado</w:t>
      </w:r>
    </w:p>
    <w:p w14:paraId="6F684F88"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Ante lo fundado de los agravios de la </w:t>
      </w:r>
      <w:r>
        <w:rPr>
          <w:rFonts w:ascii="Arial" w:eastAsia="Arial" w:hAnsi="Arial" w:cs="Arial"/>
          <w:i/>
          <w:iCs/>
          <w:sz w:val="24"/>
          <w:szCs w:val="24"/>
        </w:rPr>
        <w:t xml:space="preserve">actora </w:t>
      </w:r>
      <w:r>
        <w:rPr>
          <w:rFonts w:ascii="Arial" w:eastAsia="Arial" w:hAnsi="Arial" w:cs="Arial"/>
          <w:sz w:val="24"/>
          <w:szCs w:val="24"/>
        </w:rPr>
        <w:t>y, a efecto de restituirle el pleno ejercicio del derecho político-electoral vulnerado, este Tribunal ordenó los efectos siguientes:</w:t>
      </w:r>
    </w:p>
    <w:p w14:paraId="0FC006C0" w14:textId="77777777" w:rsidR="00D625BB" w:rsidRDefault="00000000">
      <w:pPr>
        <w:numPr>
          <w:ilvl w:val="0"/>
          <w:numId w:val="1"/>
        </w:numPr>
        <w:spacing w:before="280" w:after="0" w:line="240" w:lineRule="auto"/>
        <w:jc w:val="both"/>
        <w:rPr>
          <w:rFonts w:ascii="Arial" w:eastAsia="Arial" w:hAnsi="Arial" w:cs="Arial"/>
          <w:i/>
          <w:iCs/>
          <w:sz w:val="20"/>
          <w:szCs w:val="20"/>
        </w:rPr>
      </w:pPr>
      <w:r>
        <w:rPr>
          <w:rFonts w:ascii="Arial" w:eastAsia="Arial" w:hAnsi="Arial" w:cs="Arial"/>
          <w:i/>
          <w:iCs/>
          <w:sz w:val="20"/>
          <w:szCs w:val="20"/>
        </w:rPr>
        <w:t xml:space="preserve">Se </w:t>
      </w:r>
      <w:r>
        <w:rPr>
          <w:rFonts w:ascii="Arial" w:eastAsia="Arial" w:hAnsi="Arial" w:cs="Arial"/>
          <w:b/>
          <w:bCs/>
          <w:i/>
          <w:iCs/>
          <w:sz w:val="20"/>
          <w:szCs w:val="20"/>
        </w:rPr>
        <w:t>revoca</w:t>
      </w:r>
      <w:r>
        <w:rPr>
          <w:rFonts w:ascii="Arial" w:eastAsia="Arial" w:hAnsi="Arial" w:cs="Arial"/>
          <w:i/>
          <w:iCs/>
          <w:sz w:val="20"/>
          <w:szCs w:val="20"/>
        </w:rPr>
        <w:t xml:space="preserve"> la resolución </w:t>
      </w:r>
      <w:proofErr w:type="spellStart"/>
      <w:r>
        <w:rPr>
          <w:rFonts w:ascii="Arial" w:eastAsia="Arial" w:hAnsi="Arial" w:cs="Arial"/>
          <w:i/>
          <w:iCs/>
          <w:sz w:val="20"/>
          <w:szCs w:val="20"/>
        </w:rPr>
        <w:t>intrapartidista</w:t>
      </w:r>
      <w:proofErr w:type="spellEnd"/>
      <w:r>
        <w:rPr>
          <w:rFonts w:ascii="Arial" w:eastAsia="Arial" w:hAnsi="Arial" w:cs="Arial"/>
          <w:i/>
          <w:iCs/>
          <w:sz w:val="20"/>
          <w:szCs w:val="20"/>
        </w:rPr>
        <w:t>, en lo que fue materia de impugnación.</w:t>
      </w:r>
    </w:p>
    <w:p w14:paraId="54CFAE6B" w14:textId="77777777" w:rsidR="00D625BB" w:rsidRDefault="00000000">
      <w:pPr>
        <w:numPr>
          <w:ilvl w:val="0"/>
          <w:numId w:val="1"/>
        </w:numPr>
        <w:spacing w:after="280" w:line="240" w:lineRule="auto"/>
        <w:jc w:val="both"/>
        <w:rPr>
          <w:rFonts w:ascii="Arial" w:eastAsia="Arial" w:hAnsi="Arial" w:cs="Arial"/>
          <w:i/>
          <w:iCs/>
          <w:sz w:val="20"/>
          <w:szCs w:val="20"/>
        </w:rPr>
      </w:pPr>
      <w:r>
        <w:rPr>
          <w:rFonts w:ascii="Arial" w:eastAsia="Arial" w:hAnsi="Arial" w:cs="Arial"/>
          <w:i/>
          <w:iCs/>
          <w:sz w:val="20"/>
          <w:szCs w:val="20"/>
        </w:rPr>
        <w:t xml:space="preserve">Se </w:t>
      </w:r>
      <w:r>
        <w:rPr>
          <w:rFonts w:ascii="Arial" w:eastAsia="Arial" w:hAnsi="Arial" w:cs="Arial"/>
          <w:b/>
          <w:bCs/>
          <w:i/>
          <w:iCs/>
          <w:sz w:val="20"/>
          <w:szCs w:val="20"/>
        </w:rPr>
        <w:t>vincula</w:t>
      </w:r>
      <w:r>
        <w:rPr>
          <w:rFonts w:ascii="Arial" w:eastAsia="Arial" w:hAnsi="Arial" w:cs="Arial"/>
          <w:i/>
          <w:iCs/>
          <w:sz w:val="20"/>
          <w:szCs w:val="20"/>
        </w:rPr>
        <w:t xml:space="preserve"> a la Coordinación de Afiliación, para que, realice las acciones necesarias a fin de reincorporar el registro de la actora en su padrón de personas militantes y, en consecuencia, le </w:t>
      </w:r>
      <w:r>
        <w:rPr>
          <w:rFonts w:ascii="Arial" w:eastAsia="Arial" w:hAnsi="Arial" w:cs="Arial"/>
          <w:b/>
          <w:bCs/>
          <w:i/>
          <w:iCs/>
          <w:sz w:val="20"/>
          <w:szCs w:val="20"/>
        </w:rPr>
        <w:t>entregue</w:t>
      </w:r>
      <w:r>
        <w:rPr>
          <w:rFonts w:ascii="Arial" w:eastAsia="Arial" w:hAnsi="Arial" w:cs="Arial"/>
          <w:i/>
          <w:iCs/>
          <w:sz w:val="20"/>
          <w:szCs w:val="20"/>
        </w:rPr>
        <w:t xml:space="preserve"> la constancia que solicitó, </w:t>
      </w:r>
      <w:r>
        <w:rPr>
          <w:rFonts w:ascii="Arial" w:eastAsia="Arial" w:hAnsi="Arial" w:cs="Arial"/>
          <w:i/>
          <w:iCs/>
          <w:sz w:val="20"/>
          <w:szCs w:val="20"/>
        </w:rPr>
        <w:lastRenderedPageBreak/>
        <w:t xml:space="preserve">actos que deberá hacer del conocimiento del INE; lo anterior deberá efectuarse dentro del plazo máximo de </w:t>
      </w:r>
      <w:r>
        <w:rPr>
          <w:rFonts w:ascii="Arial" w:eastAsia="Arial" w:hAnsi="Arial" w:cs="Arial"/>
          <w:b/>
          <w:bCs/>
          <w:i/>
          <w:iCs/>
          <w:sz w:val="20"/>
          <w:szCs w:val="20"/>
        </w:rPr>
        <w:t>cinco días hábiles.</w:t>
      </w:r>
    </w:p>
    <w:p w14:paraId="3E632154" w14:textId="77777777" w:rsidR="00D625BB" w:rsidRDefault="00000000">
      <w:pPr>
        <w:spacing w:before="280" w:after="280" w:line="240" w:lineRule="auto"/>
        <w:ind w:left="709"/>
        <w:jc w:val="both"/>
        <w:rPr>
          <w:rFonts w:ascii="Arial" w:eastAsia="Arial" w:hAnsi="Arial" w:cs="Arial"/>
          <w:i/>
          <w:iCs/>
          <w:sz w:val="20"/>
          <w:szCs w:val="20"/>
        </w:rPr>
      </w:pPr>
      <w:r>
        <w:rPr>
          <w:rFonts w:ascii="Arial" w:eastAsia="Arial" w:hAnsi="Arial" w:cs="Arial"/>
          <w:i/>
          <w:iCs/>
          <w:sz w:val="20"/>
          <w:szCs w:val="20"/>
        </w:rPr>
        <w:t xml:space="preserve">Hecho ello, de manera inmediata, deberá </w:t>
      </w:r>
      <w:r>
        <w:rPr>
          <w:rFonts w:ascii="Arial" w:eastAsia="Arial" w:hAnsi="Arial" w:cs="Arial"/>
          <w:b/>
          <w:bCs/>
          <w:i/>
          <w:iCs/>
          <w:sz w:val="20"/>
          <w:szCs w:val="20"/>
        </w:rPr>
        <w:t>informar</w:t>
      </w:r>
      <w:r>
        <w:rPr>
          <w:rFonts w:ascii="Arial" w:eastAsia="Arial" w:hAnsi="Arial" w:cs="Arial"/>
          <w:i/>
          <w:iCs/>
          <w:sz w:val="20"/>
          <w:szCs w:val="20"/>
        </w:rPr>
        <w:t xml:space="preserve"> a este órgano jurisdiccional lo conducente; adjuntando las constancias con que acredite su dicho -en copia certificada-.</w:t>
      </w:r>
    </w:p>
    <w:p w14:paraId="7C0260EA" w14:textId="77777777" w:rsidR="00D625BB" w:rsidRDefault="00000000">
      <w:pPr>
        <w:pStyle w:val="Ttulo1"/>
        <w:rPr>
          <w:rFonts w:ascii="Arial" w:eastAsia="Arial" w:hAnsi="Arial" w:cs="Arial"/>
          <w:sz w:val="24"/>
          <w:szCs w:val="24"/>
        </w:rPr>
      </w:pPr>
      <w:bookmarkStart w:id="9" w:name="_heading=h.sn9y5qcrbi3q" w:colFirst="0" w:colLast="0"/>
      <w:bookmarkEnd w:id="9"/>
      <w:r>
        <w:rPr>
          <w:rFonts w:ascii="Arial" w:eastAsia="Arial" w:hAnsi="Arial" w:cs="Arial"/>
          <w:sz w:val="24"/>
          <w:szCs w:val="24"/>
        </w:rPr>
        <w:t>4.3. Planteamientos incidentales</w:t>
      </w:r>
    </w:p>
    <w:p w14:paraId="024CE334" w14:textId="77777777" w:rsidR="00D625BB" w:rsidRDefault="00000000">
      <w:pPr>
        <w:spacing w:before="280" w:line="360" w:lineRule="auto"/>
        <w:jc w:val="both"/>
        <w:rPr>
          <w:rFonts w:ascii="Arial" w:eastAsia="Arial" w:hAnsi="Arial" w:cs="Arial"/>
          <w:sz w:val="24"/>
          <w:szCs w:val="24"/>
        </w:rPr>
      </w:pPr>
      <w:r>
        <w:rPr>
          <w:rFonts w:ascii="Arial" w:eastAsia="Arial" w:hAnsi="Arial" w:cs="Arial"/>
          <w:sz w:val="24"/>
          <w:szCs w:val="24"/>
        </w:rPr>
        <w:t xml:space="preserve">En el escrito presentado, la </w:t>
      </w:r>
      <w:proofErr w:type="spellStart"/>
      <w:r>
        <w:rPr>
          <w:rFonts w:ascii="Arial" w:eastAsia="Arial" w:hAnsi="Arial" w:cs="Arial"/>
          <w:i/>
          <w:iCs/>
          <w:sz w:val="24"/>
          <w:szCs w:val="24"/>
        </w:rPr>
        <w:t>incidentista</w:t>
      </w:r>
      <w:proofErr w:type="spellEnd"/>
      <w:r>
        <w:rPr>
          <w:rFonts w:ascii="Arial" w:eastAsia="Arial" w:hAnsi="Arial" w:cs="Arial"/>
          <w:i/>
          <w:iCs/>
          <w:sz w:val="24"/>
          <w:szCs w:val="24"/>
        </w:rPr>
        <w:t xml:space="preserve"> </w:t>
      </w:r>
      <w:r>
        <w:rPr>
          <w:rFonts w:ascii="Arial" w:eastAsia="Arial" w:hAnsi="Arial" w:cs="Arial"/>
          <w:sz w:val="24"/>
          <w:szCs w:val="24"/>
        </w:rPr>
        <w:t>refiere que no ha recibido la constancia de afiliación ni se le ha realizado ninguna comunicación para recibirla; por lo que, al haber fenecido el plazo otorgado en los efectos, solicita que se haga efectivo el apercibimiento realizado en la sentencia y se requiera su inmediato cumplimiento.</w:t>
      </w:r>
    </w:p>
    <w:p w14:paraId="5AB4EE79" w14:textId="77777777" w:rsidR="00D625BB" w:rsidRDefault="00000000">
      <w:pPr>
        <w:pStyle w:val="Ttulo1"/>
        <w:spacing w:before="0" w:after="0"/>
        <w:rPr>
          <w:rFonts w:ascii="Arial" w:eastAsia="Arial" w:hAnsi="Arial" w:cs="Arial"/>
          <w:i/>
          <w:iCs/>
          <w:sz w:val="24"/>
          <w:szCs w:val="24"/>
        </w:rPr>
      </w:pPr>
      <w:bookmarkStart w:id="10" w:name="_heading=h.i0fkwue7e8si" w:colFirst="0" w:colLast="0"/>
      <w:bookmarkEnd w:id="10"/>
      <w:r>
        <w:rPr>
          <w:rFonts w:ascii="Arial" w:eastAsia="Arial" w:hAnsi="Arial" w:cs="Arial"/>
          <w:sz w:val="24"/>
          <w:szCs w:val="24"/>
        </w:rPr>
        <w:t xml:space="preserve">4.4. Actuaciones realizadas por la </w:t>
      </w:r>
      <w:r>
        <w:rPr>
          <w:rFonts w:ascii="Arial" w:eastAsia="Arial" w:hAnsi="Arial" w:cs="Arial"/>
          <w:i/>
          <w:iCs/>
          <w:sz w:val="24"/>
          <w:szCs w:val="24"/>
        </w:rPr>
        <w:t>autoridad vinculada</w:t>
      </w:r>
    </w:p>
    <w:p w14:paraId="6A2D74B8"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Derivado de la vista otorgada, relativa al incidente planteado, la </w:t>
      </w:r>
      <w:r>
        <w:rPr>
          <w:rFonts w:ascii="Arial" w:eastAsia="Arial" w:hAnsi="Arial" w:cs="Arial"/>
          <w:i/>
          <w:iCs/>
          <w:sz w:val="24"/>
          <w:szCs w:val="24"/>
        </w:rPr>
        <w:t xml:space="preserve">autoridad vinculada </w:t>
      </w:r>
      <w:r>
        <w:rPr>
          <w:rFonts w:ascii="Arial" w:eastAsia="Arial" w:hAnsi="Arial" w:cs="Arial"/>
          <w:sz w:val="24"/>
          <w:szCs w:val="24"/>
        </w:rPr>
        <w:t>informó que el veintisiete de febrero realizó lo siguiente:</w:t>
      </w:r>
    </w:p>
    <w:p w14:paraId="6CE3A2BD" w14:textId="77777777" w:rsidR="00D625BB" w:rsidRDefault="00000000">
      <w:pPr>
        <w:numPr>
          <w:ilvl w:val="0"/>
          <w:numId w:val="2"/>
        </w:numPr>
        <w:pBdr>
          <w:top w:val="nil"/>
          <w:left w:val="nil"/>
          <w:bottom w:val="nil"/>
          <w:right w:val="nil"/>
          <w:between w:val="nil"/>
        </w:pBdr>
        <w:spacing w:before="280"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Restituyó el registro de la </w:t>
      </w:r>
      <w:proofErr w:type="spellStart"/>
      <w:r>
        <w:rPr>
          <w:rFonts w:ascii="Arial" w:eastAsia="Arial" w:hAnsi="Arial" w:cs="Arial"/>
          <w:i/>
          <w:iCs/>
          <w:color w:val="000000"/>
          <w:sz w:val="24"/>
          <w:szCs w:val="24"/>
        </w:rPr>
        <w:t>incidentista</w:t>
      </w:r>
      <w:proofErr w:type="spellEnd"/>
      <w:r>
        <w:rPr>
          <w:rFonts w:ascii="Arial" w:eastAsia="Arial" w:hAnsi="Arial" w:cs="Arial"/>
          <w:i/>
          <w:iCs/>
          <w:color w:val="000000"/>
          <w:sz w:val="24"/>
          <w:szCs w:val="24"/>
        </w:rPr>
        <w:t xml:space="preserve"> </w:t>
      </w:r>
      <w:r>
        <w:rPr>
          <w:rFonts w:ascii="Arial" w:eastAsia="Arial" w:hAnsi="Arial" w:cs="Arial"/>
          <w:color w:val="000000"/>
          <w:sz w:val="24"/>
          <w:szCs w:val="24"/>
        </w:rPr>
        <w:t>en el Sistema Nacional de Registro Partidario.</w:t>
      </w:r>
    </w:p>
    <w:p w14:paraId="73E71C13" w14:textId="77777777" w:rsidR="00D625BB" w:rsidRDefault="00000000">
      <w:pPr>
        <w:numPr>
          <w:ilvl w:val="0"/>
          <w:numId w:val="2"/>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Eliminó cualquier estatus de registro “duplicado no subsanado”.</w:t>
      </w:r>
    </w:p>
    <w:p w14:paraId="042D0901" w14:textId="77777777" w:rsidR="00D625BB" w:rsidRDefault="00000000">
      <w:pPr>
        <w:numPr>
          <w:ilvl w:val="0"/>
          <w:numId w:val="2"/>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Actualizó su condición como militante activa del </w:t>
      </w:r>
      <w:r>
        <w:rPr>
          <w:rFonts w:ascii="Arial" w:eastAsia="Arial" w:hAnsi="Arial" w:cs="Arial"/>
          <w:i/>
          <w:iCs/>
          <w:color w:val="000000"/>
          <w:sz w:val="24"/>
          <w:szCs w:val="24"/>
        </w:rPr>
        <w:t>PRI.</w:t>
      </w:r>
    </w:p>
    <w:p w14:paraId="4EBF27D4" w14:textId="77777777" w:rsidR="00D625BB" w:rsidRDefault="00000000">
      <w:pPr>
        <w:numPr>
          <w:ilvl w:val="0"/>
          <w:numId w:val="2"/>
        </w:numPr>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Expidió la constancia de militancia vigente CEN-CNARP-0138-26 y la remitió -vía correo electrónico- a la </w:t>
      </w:r>
      <w:proofErr w:type="spellStart"/>
      <w:r>
        <w:rPr>
          <w:rFonts w:ascii="Arial" w:eastAsia="Arial" w:hAnsi="Arial" w:cs="Arial"/>
          <w:i/>
          <w:iCs/>
          <w:color w:val="000000"/>
          <w:sz w:val="24"/>
          <w:szCs w:val="24"/>
        </w:rPr>
        <w:t>incidentista</w:t>
      </w:r>
      <w:proofErr w:type="spellEnd"/>
      <w:r>
        <w:rPr>
          <w:rFonts w:ascii="Arial" w:eastAsia="Arial" w:hAnsi="Arial" w:cs="Arial"/>
          <w:i/>
          <w:iCs/>
          <w:color w:val="000000"/>
          <w:sz w:val="24"/>
          <w:szCs w:val="24"/>
        </w:rPr>
        <w:t>.</w:t>
      </w:r>
    </w:p>
    <w:p w14:paraId="1667E043" w14:textId="77777777" w:rsidR="00D625BB" w:rsidRDefault="00000000">
      <w:pPr>
        <w:numPr>
          <w:ilvl w:val="0"/>
          <w:numId w:val="2"/>
        </w:numPr>
        <w:pBdr>
          <w:top w:val="nil"/>
          <w:left w:val="nil"/>
          <w:bottom w:val="nil"/>
          <w:right w:val="nil"/>
          <w:between w:val="nil"/>
        </w:pBdr>
        <w:spacing w:after="28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Notificó a la Dirección Ejecutiva de Prerrogativas y Partidos Políticos del </w:t>
      </w:r>
      <w:r>
        <w:rPr>
          <w:rFonts w:ascii="Arial" w:eastAsia="Arial" w:hAnsi="Arial" w:cs="Arial"/>
          <w:i/>
          <w:iCs/>
          <w:color w:val="000000"/>
          <w:sz w:val="24"/>
          <w:szCs w:val="24"/>
        </w:rPr>
        <w:t xml:space="preserve">INE </w:t>
      </w:r>
      <w:r>
        <w:rPr>
          <w:rFonts w:ascii="Arial" w:eastAsia="Arial" w:hAnsi="Arial" w:cs="Arial"/>
          <w:color w:val="000000"/>
          <w:sz w:val="24"/>
          <w:szCs w:val="24"/>
        </w:rPr>
        <w:t>sobre la reincorporación del citado registro, su corrección sobre el estatus previo y la vigencia de afiliación.</w:t>
      </w:r>
    </w:p>
    <w:p w14:paraId="2A132190"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A efecto de acreditar lo anterior, mediante copia del oficio CNARP/0287/2026 se remitieron, en copia certificada, las documentales siguientes</w:t>
      </w:r>
      <w:r>
        <w:rPr>
          <w:rFonts w:ascii="Arial" w:eastAsia="Arial" w:hAnsi="Arial" w:cs="Arial"/>
          <w:sz w:val="24"/>
          <w:szCs w:val="24"/>
          <w:vertAlign w:val="superscript"/>
        </w:rPr>
        <w:footnoteReference w:id="10"/>
      </w:r>
      <w:r>
        <w:rPr>
          <w:rFonts w:ascii="Arial" w:eastAsia="Arial" w:hAnsi="Arial" w:cs="Arial"/>
          <w:sz w:val="24"/>
          <w:szCs w:val="24"/>
        </w:rPr>
        <w:t>:</w:t>
      </w:r>
    </w:p>
    <w:p w14:paraId="3AFB6622" w14:textId="77777777" w:rsidR="00D625BB" w:rsidRDefault="00000000">
      <w:pPr>
        <w:numPr>
          <w:ilvl w:val="0"/>
          <w:numId w:val="4"/>
        </w:numPr>
        <w:spacing w:before="280" w:after="0" w:line="360" w:lineRule="auto"/>
        <w:jc w:val="both"/>
        <w:rPr>
          <w:rFonts w:ascii="Arial" w:eastAsia="Arial" w:hAnsi="Arial" w:cs="Arial"/>
          <w:i/>
          <w:iCs/>
          <w:sz w:val="24"/>
          <w:szCs w:val="24"/>
        </w:rPr>
      </w:pPr>
      <w:r>
        <w:rPr>
          <w:rFonts w:ascii="Arial" w:eastAsia="Arial" w:hAnsi="Arial" w:cs="Arial"/>
          <w:sz w:val="24"/>
          <w:szCs w:val="24"/>
        </w:rPr>
        <w:t xml:space="preserve">Constancia de inscripción como militante activa, a nombre de la </w:t>
      </w:r>
      <w:proofErr w:type="spellStart"/>
      <w:r>
        <w:rPr>
          <w:rFonts w:ascii="Arial" w:eastAsia="Arial" w:hAnsi="Arial" w:cs="Arial"/>
          <w:i/>
          <w:iCs/>
          <w:sz w:val="24"/>
          <w:szCs w:val="24"/>
        </w:rPr>
        <w:t>incidentista</w:t>
      </w:r>
      <w:proofErr w:type="spellEnd"/>
      <w:r>
        <w:rPr>
          <w:rFonts w:ascii="Arial" w:eastAsia="Arial" w:hAnsi="Arial" w:cs="Arial"/>
          <w:i/>
          <w:iCs/>
          <w:sz w:val="24"/>
          <w:szCs w:val="24"/>
        </w:rPr>
        <w:t>.</w:t>
      </w:r>
    </w:p>
    <w:p w14:paraId="5989F181" w14:textId="77777777" w:rsidR="00D625BB" w:rsidRDefault="00000000">
      <w:pPr>
        <w:numPr>
          <w:ilvl w:val="0"/>
          <w:numId w:val="4"/>
        </w:numPr>
        <w:spacing w:after="0" w:line="360" w:lineRule="auto"/>
        <w:jc w:val="both"/>
        <w:rPr>
          <w:rFonts w:ascii="Arial" w:eastAsia="Arial" w:hAnsi="Arial" w:cs="Arial"/>
          <w:sz w:val="24"/>
          <w:szCs w:val="24"/>
        </w:rPr>
      </w:pPr>
      <w:r>
        <w:rPr>
          <w:rFonts w:ascii="Arial" w:eastAsia="Arial" w:hAnsi="Arial" w:cs="Arial"/>
          <w:sz w:val="24"/>
          <w:szCs w:val="24"/>
        </w:rPr>
        <w:t xml:space="preserve">Comprobante de afiliación en el Sistema de Verificación del Padrón de Personas Afiliadas a los Partidos Políticos del </w:t>
      </w:r>
      <w:r>
        <w:rPr>
          <w:rFonts w:ascii="Arial" w:eastAsia="Arial" w:hAnsi="Arial" w:cs="Arial"/>
          <w:i/>
          <w:iCs/>
          <w:sz w:val="24"/>
          <w:szCs w:val="24"/>
        </w:rPr>
        <w:t>INE</w:t>
      </w:r>
      <w:r>
        <w:rPr>
          <w:rFonts w:ascii="Arial" w:eastAsia="Arial" w:hAnsi="Arial" w:cs="Arial"/>
          <w:sz w:val="24"/>
          <w:szCs w:val="24"/>
        </w:rPr>
        <w:t xml:space="preserve">, correspondiente al registro de la </w:t>
      </w:r>
      <w:proofErr w:type="spellStart"/>
      <w:r>
        <w:rPr>
          <w:rFonts w:ascii="Arial" w:eastAsia="Arial" w:hAnsi="Arial" w:cs="Arial"/>
          <w:i/>
          <w:iCs/>
          <w:sz w:val="24"/>
          <w:szCs w:val="24"/>
        </w:rPr>
        <w:t>incidentista</w:t>
      </w:r>
      <w:proofErr w:type="spellEnd"/>
      <w:r>
        <w:rPr>
          <w:rFonts w:ascii="Arial" w:eastAsia="Arial" w:hAnsi="Arial" w:cs="Arial"/>
          <w:sz w:val="24"/>
          <w:szCs w:val="24"/>
        </w:rPr>
        <w:t>.</w:t>
      </w:r>
    </w:p>
    <w:p w14:paraId="1C02C2D3" w14:textId="77777777" w:rsidR="00D625BB" w:rsidRDefault="00000000">
      <w:pPr>
        <w:numPr>
          <w:ilvl w:val="0"/>
          <w:numId w:val="4"/>
        </w:numPr>
        <w:spacing w:after="0" w:line="360" w:lineRule="auto"/>
        <w:jc w:val="both"/>
        <w:rPr>
          <w:rFonts w:ascii="Arial" w:eastAsia="Arial" w:hAnsi="Arial" w:cs="Arial"/>
          <w:sz w:val="24"/>
          <w:szCs w:val="24"/>
        </w:rPr>
      </w:pPr>
      <w:r>
        <w:rPr>
          <w:rFonts w:ascii="Arial" w:eastAsia="Arial" w:hAnsi="Arial" w:cs="Arial"/>
          <w:sz w:val="24"/>
          <w:szCs w:val="24"/>
        </w:rPr>
        <w:lastRenderedPageBreak/>
        <w:t xml:space="preserve">Oficio CNARP/0270/2026 por el que se informó a la Dirección Ejecutiva de Prerrogativas y Partidos Políticos del </w:t>
      </w:r>
      <w:r>
        <w:rPr>
          <w:rFonts w:ascii="Arial" w:eastAsia="Arial" w:hAnsi="Arial" w:cs="Arial"/>
          <w:i/>
          <w:iCs/>
          <w:sz w:val="24"/>
          <w:szCs w:val="24"/>
        </w:rPr>
        <w:t>INE</w:t>
      </w:r>
      <w:r>
        <w:rPr>
          <w:rFonts w:ascii="Arial" w:eastAsia="Arial" w:hAnsi="Arial" w:cs="Arial"/>
          <w:sz w:val="24"/>
          <w:szCs w:val="24"/>
        </w:rPr>
        <w:t xml:space="preserve">, la reincorporación del registro de militancia de la </w:t>
      </w:r>
      <w:proofErr w:type="spellStart"/>
      <w:r>
        <w:rPr>
          <w:rFonts w:ascii="Arial" w:eastAsia="Arial" w:hAnsi="Arial" w:cs="Arial"/>
          <w:i/>
          <w:iCs/>
          <w:sz w:val="24"/>
          <w:szCs w:val="24"/>
        </w:rPr>
        <w:t>incidentista</w:t>
      </w:r>
      <w:proofErr w:type="spellEnd"/>
      <w:r>
        <w:rPr>
          <w:rFonts w:ascii="Arial" w:eastAsia="Arial" w:hAnsi="Arial" w:cs="Arial"/>
          <w:sz w:val="24"/>
          <w:szCs w:val="24"/>
        </w:rPr>
        <w:t>.</w:t>
      </w:r>
    </w:p>
    <w:p w14:paraId="30F8CDC7" w14:textId="77777777" w:rsidR="00D625BB" w:rsidRDefault="00000000">
      <w:pPr>
        <w:numPr>
          <w:ilvl w:val="0"/>
          <w:numId w:val="4"/>
        </w:numPr>
        <w:spacing w:after="0" w:line="360" w:lineRule="auto"/>
        <w:jc w:val="both"/>
        <w:rPr>
          <w:rFonts w:ascii="Arial" w:eastAsia="Arial" w:hAnsi="Arial" w:cs="Arial"/>
          <w:sz w:val="24"/>
          <w:szCs w:val="24"/>
        </w:rPr>
      </w:pPr>
      <w:r>
        <w:rPr>
          <w:rFonts w:ascii="Arial" w:eastAsia="Arial" w:hAnsi="Arial" w:cs="Arial"/>
          <w:sz w:val="24"/>
          <w:szCs w:val="24"/>
        </w:rPr>
        <w:t>Acuse del oficio citado en el punto anterior.</w:t>
      </w:r>
    </w:p>
    <w:p w14:paraId="53FB1CD0" w14:textId="77777777" w:rsidR="00D625BB" w:rsidRDefault="00000000">
      <w:pPr>
        <w:numPr>
          <w:ilvl w:val="0"/>
          <w:numId w:val="4"/>
        </w:numPr>
        <w:spacing w:after="280" w:line="360" w:lineRule="auto"/>
        <w:jc w:val="both"/>
        <w:rPr>
          <w:rFonts w:ascii="Arial" w:eastAsia="Arial" w:hAnsi="Arial" w:cs="Arial"/>
          <w:sz w:val="24"/>
          <w:szCs w:val="24"/>
        </w:rPr>
      </w:pPr>
      <w:r>
        <w:rPr>
          <w:rFonts w:ascii="Arial" w:eastAsia="Arial" w:hAnsi="Arial" w:cs="Arial"/>
          <w:sz w:val="24"/>
          <w:szCs w:val="24"/>
        </w:rPr>
        <w:t xml:space="preserve">Oficio CNARP/0271/2026, de veintisiete de febrero, por el que el titular de la </w:t>
      </w:r>
      <w:r>
        <w:rPr>
          <w:rFonts w:ascii="Arial" w:eastAsia="Arial" w:hAnsi="Arial" w:cs="Arial"/>
          <w:i/>
          <w:iCs/>
          <w:sz w:val="24"/>
          <w:szCs w:val="24"/>
        </w:rPr>
        <w:t xml:space="preserve">autoridad vinculada </w:t>
      </w:r>
      <w:r>
        <w:rPr>
          <w:rFonts w:ascii="Arial" w:eastAsia="Arial" w:hAnsi="Arial" w:cs="Arial"/>
          <w:sz w:val="24"/>
          <w:szCs w:val="24"/>
        </w:rPr>
        <w:t>informó a este Tribunal sobre las acciones realizadas en cumplimiento a la sentencia.</w:t>
      </w:r>
    </w:p>
    <w:p w14:paraId="638D4960"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Además de la impresión del correo electrónico mediante el cual se remitió a la </w:t>
      </w:r>
      <w:proofErr w:type="spellStart"/>
      <w:r>
        <w:rPr>
          <w:rFonts w:ascii="Arial" w:eastAsia="Arial" w:hAnsi="Arial" w:cs="Arial"/>
          <w:i/>
          <w:iCs/>
          <w:sz w:val="24"/>
          <w:szCs w:val="24"/>
        </w:rPr>
        <w:t>incidentista</w:t>
      </w:r>
      <w:proofErr w:type="spellEnd"/>
      <w:r>
        <w:rPr>
          <w:rFonts w:ascii="Arial" w:eastAsia="Arial" w:hAnsi="Arial" w:cs="Arial"/>
          <w:sz w:val="24"/>
          <w:szCs w:val="24"/>
        </w:rPr>
        <w:t xml:space="preserve">, la constancia que acredita su inscripción como militante del </w:t>
      </w:r>
      <w:r>
        <w:rPr>
          <w:rFonts w:ascii="Arial" w:eastAsia="Arial" w:hAnsi="Arial" w:cs="Arial"/>
          <w:i/>
          <w:iCs/>
          <w:sz w:val="24"/>
          <w:szCs w:val="24"/>
        </w:rPr>
        <w:t>PRI</w:t>
      </w:r>
      <w:r>
        <w:rPr>
          <w:rFonts w:ascii="Arial" w:eastAsia="Arial" w:hAnsi="Arial" w:cs="Arial"/>
          <w:sz w:val="24"/>
          <w:szCs w:val="24"/>
        </w:rPr>
        <w:t>.</w:t>
      </w:r>
    </w:p>
    <w:p w14:paraId="3E44E4B5"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Documentales que, en términos de lo dispuesto en el artículo 16, fracción II, en relación con el 18 de la </w:t>
      </w:r>
      <w:r>
        <w:rPr>
          <w:rFonts w:ascii="Arial" w:eastAsia="Arial" w:hAnsi="Arial" w:cs="Arial"/>
          <w:i/>
          <w:iCs/>
          <w:sz w:val="24"/>
          <w:szCs w:val="24"/>
        </w:rPr>
        <w:t>Ley de Justicia Electoral,</w:t>
      </w:r>
      <w:r>
        <w:rPr>
          <w:rFonts w:ascii="Arial" w:eastAsia="Arial" w:hAnsi="Arial" w:cs="Arial"/>
          <w:sz w:val="24"/>
          <w:szCs w:val="24"/>
        </w:rPr>
        <w:t xml:space="preserve"> son de naturaleza privada, al haber sido expedidas por autoridad partidista; no obstante, conforme al diverso 22, fracción IV de la ley en referencia, a juicio de este Tribunal, hacen prueba plena y resultan suficientes para generar certeza respecto del hecho que hacen constar</w:t>
      </w:r>
      <w:r>
        <w:rPr>
          <w:rFonts w:ascii="Arial" w:eastAsia="Arial" w:hAnsi="Arial" w:cs="Arial"/>
          <w:sz w:val="24"/>
          <w:szCs w:val="24"/>
          <w:vertAlign w:val="superscript"/>
        </w:rPr>
        <w:footnoteReference w:id="11"/>
      </w:r>
      <w:r>
        <w:rPr>
          <w:rFonts w:ascii="Arial" w:eastAsia="Arial" w:hAnsi="Arial" w:cs="Arial"/>
          <w:sz w:val="24"/>
          <w:szCs w:val="24"/>
        </w:rPr>
        <w:t xml:space="preserve">, esto es, las acciones realizadas por la </w:t>
      </w:r>
      <w:r>
        <w:rPr>
          <w:rFonts w:ascii="Arial" w:eastAsia="Arial" w:hAnsi="Arial" w:cs="Arial"/>
          <w:i/>
          <w:iCs/>
          <w:sz w:val="24"/>
          <w:szCs w:val="24"/>
        </w:rPr>
        <w:t xml:space="preserve">autoridad vinculada </w:t>
      </w:r>
      <w:r>
        <w:rPr>
          <w:rFonts w:ascii="Arial" w:eastAsia="Arial" w:hAnsi="Arial" w:cs="Arial"/>
          <w:sz w:val="24"/>
          <w:szCs w:val="24"/>
        </w:rPr>
        <w:t>a efecto de dar cumplimiento a lo ordenado en la sentencia.</w:t>
      </w:r>
    </w:p>
    <w:p w14:paraId="7406BEC1" w14:textId="77777777" w:rsidR="00D625BB" w:rsidRDefault="00000000">
      <w:pPr>
        <w:pStyle w:val="Ttulo1"/>
        <w:rPr>
          <w:rFonts w:ascii="Arial" w:eastAsia="Arial" w:hAnsi="Arial" w:cs="Arial"/>
          <w:sz w:val="24"/>
          <w:szCs w:val="24"/>
        </w:rPr>
      </w:pPr>
      <w:bookmarkStart w:id="11" w:name="_heading=h.mhfvfx7f66pk" w:colFirst="0" w:colLast="0"/>
      <w:bookmarkEnd w:id="11"/>
      <w:r>
        <w:rPr>
          <w:rFonts w:ascii="Arial" w:eastAsia="Arial" w:hAnsi="Arial" w:cs="Arial"/>
          <w:sz w:val="24"/>
          <w:szCs w:val="24"/>
        </w:rPr>
        <w:t>4.5. Determinación</w:t>
      </w:r>
    </w:p>
    <w:p w14:paraId="41D0EB7F" w14:textId="77777777" w:rsidR="00D625BB" w:rsidRDefault="00000000">
      <w:pPr>
        <w:spacing w:before="280" w:after="280" w:line="360" w:lineRule="auto"/>
        <w:jc w:val="both"/>
        <w:rPr>
          <w:rFonts w:ascii="Arial" w:eastAsia="Arial" w:hAnsi="Arial" w:cs="Arial"/>
          <w:sz w:val="24"/>
          <w:szCs w:val="24"/>
        </w:rPr>
      </w:pPr>
      <w:r>
        <w:rPr>
          <w:rFonts w:ascii="Arial" w:eastAsia="Arial" w:hAnsi="Arial" w:cs="Arial"/>
          <w:sz w:val="24"/>
          <w:szCs w:val="24"/>
        </w:rPr>
        <w:t xml:space="preserve">Este Tribunal determina </w:t>
      </w:r>
      <w:r>
        <w:rPr>
          <w:rFonts w:ascii="Arial" w:eastAsia="Arial" w:hAnsi="Arial" w:cs="Arial"/>
          <w:b/>
          <w:bCs/>
          <w:sz w:val="24"/>
          <w:szCs w:val="24"/>
        </w:rPr>
        <w:t>infundado</w:t>
      </w:r>
      <w:r>
        <w:rPr>
          <w:rFonts w:ascii="Arial" w:eastAsia="Arial" w:hAnsi="Arial" w:cs="Arial"/>
          <w:sz w:val="24"/>
          <w:szCs w:val="24"/>
        </w:rPr>
        <w:t xml:space="preserve"> el incidente planteado, con base en lo expuesto a continuación.</w:t>
      </w:r>
    </w:p>
    <w:p w14:paraId="06E74ADF"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Del análisis de las constancias remitidas por la </w:t>
      </w:r>
      <w:r>
        <w:rPr>
          <w:rFonts w:ascii="Arial" w:eastAsia="Arial" w:hAnsi="Arial" w:cs="Arial"/>
          <w:i/>
          <w:iCs/>
          <w:sz w:val="24"/>
          <w:szCs w:val="24"/>
        </w:rPr>
        <w:t xml:space="preserve">autoridad vinculada </w:t>
      </w:r>
      <w:r>
        <w:rPr>
          <w:rFonts w:ascii="Arial" w:eastAsia="Arial" w:hAnsi="Arial" w:cs="Arial"/>
          <w:sz w:val="24"/>
          <w:szCs w:val="24"/>
        </w:rPr>
        <w:t xml:space="preserve">se acredita que, contrario a lo sostenido por la </w:t>
      </w:r>
      <w:proofErr w:type="spellStart"/>
      <w:r>
        <w:rPr>
          <w:rFonts w:ascii="Arial" w:eastAsia="Arial" w:hAnsi="Arial" w:cs="Arial"/>
          <w:i/>
          <w:iCs/>
          <w:sz w:val="24"/>
          <w:szCs w:val="24"/>
        </w:rPr>
        <w:t>incidentista</w:t>
      </w:r>
      <w:proofErr w:type="spellEnd"/>
      <w:r>
        <w:rPr>
          <w:rFonts w:ascii="Arial" w:eastAsia="Arial" w:hAnsi="Arial" w:cs="Arial"/>
          <w:i/>
          <w:iCs/>
          <w:sz w:val="24"/>
          <w:szCs w:val="24"/>
        </w:rPr>
        <w:t xml:space="preserve">, </w:t>
      </w:r>
      <w:r>
        <w:rPr>
          <w:rFonts w:ascii="Arial" w:eastAsia="Arial" w:hAnsi="Arial" w:cs="Arial"/>
          <w:sz w:val="24"/>
          <w:szCs w:val="24"/>
        </w:rPr>
        <w:t>se realizaron todas las acciones ordenadas por este Tribunal, en aras de restituirle el derecho político-electoral vulnerado.</w:t>
      </w:r>
    </w:p>
    <w:p w14:paraId="722FF76B"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Es así, puesto que, como se refirió en el apartado previo, en autos consta que la </w:t>
      </w:r>
      <w:r>
        <w:rPr>
          <w:rFonts w:ascii="Arial" w:eastAsia="Arial" w:hAnsi="Arial" w:cs="Arial"/>
          <w:i/>
          <w:iCs/>
          <w:sz w:val="24"/>
          <w:szCs w:val="24"/>
        </w:rPr>
        <w:t xml:space="preserve">autoridad vinculada </w:t>
      </w:r>
      <w:r>
        <w:rPr>
          <w:rFonts w:ascii="Arial" w:eastAsia="Arial" w:hAnsi="Arial" w:cs="Arial"/>
          <w:sz w:val="24"/>
          <w:szCs w:val="24"/>
        </w:rPr>
        <w:t xml:space="preserve">ha ejecutado las acciones necesarias para reincorporar el registro de la </w:t>
      </w:r>
      <w:r>
        <w:rPr>
          <w:rFonts w:ascii="Arial" w:eastAsia="Arial" w:hAnsi="Arial" w:cs="Arial"/>
          <w:i/>
          <w:iCs/>
          <w:sz w:val="24"/>
          <w:szCs w:val="24"/>
        </w:rPr>
        <w:t xml:space="preserve">actora </w:t>
      </w:r>
      <w:r>
        <w:rPr>
          <w:rFonts w:ascii="Arial" w:eastAsia="Arial" w:hAnsi="Arial" w:cs="Arial"/>
          <w:sz w:val="24"/>
          <w:szCs w:val="24"/>
        </w:rPr>
        <w:t>en el padrón de militantes, a efecto de que aparezca como “afiliado válido” o “militante activa”;</w:t>
      </w:r>
      <w:r>
        <w:rPr>
          <w:rFonts w:ascii="Arial" w:eastAsia="Arial" w:hAnsi="Arial" w:cs="Arial"/>
          <w:i/>
          <w:iCs/>
          <w:sz w:val="24"/>
          <w:szCs w:val="24"/>
        </w:rPr>
        <w:t xml:space="preserve"> </w:t>
      </w:r>
      <w:r>
        <w:rPr>
          <w:rFonts w:ascii="Arial" w:eastAsia="Arial" w:hAnsi="Arial" w:cs="Arial"/>
          <w:sz w:val="24"/>
          <w:szCs w:val="24"/>
        </w:rPr>
        <w:t xml:space="preserve">eliminando así, cualquier irregularidad en cuanto al estatus de “duplicado no </w:t>
      </w:r>
      <w:r>
        <w:rPr>
          <w:rFonts w:ascii="Arial" w:eastAsia="Arial" w:hAnsi="Arial" w:cs="Arial"/>
          <w:sz w:val="24"/>
          <w:szCs w:val="24"/>
        </w:rPr>
        <w:lastRenderedPageBreak/>
        <w:t xml:space="preserve">subsanado”. Asimismo, que le expidió la constancia de militancia solicitada y, que tales actuaciones fueron informadas al </w:t>
      </w:r>
      <w:r>
        <w:rPr>
          <w:rFonts w:ascii="Arial" w:eastAsia="Arial" w:hAnsi="Arial" w:cs="Arial"/>
          <w:i/>
          <w:iCs/>
          <w:sz w:val="24"/>
          <w:szCs w:val="24"/>
        </w:rPr>
        <w:t>INE.</w:t>
      </w:r>
    </w:p>
    <w:p w14:paraId="3533BCBB"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De ahí que, las constancias remitidas sean suficientes para que este Tribunal determine cumplida la sentencia emitida y, en consecuencia, no sea procedente hacer efectivo el apercibimiento realizado en la sentencia, tal como lo solicita la </w:t>
      </w:r>
      <w:proofErr w:type="spellStart"/>
      <w:r>
        <w:rPr>
          <w:rFonts w:ascii="Arial" w:eastAsia="Arial" w:hAnsi="Arial" w:cs="Arial"/>
          <w:i/>
          <w:iCs/>
          <w:sz w:val="24"/>
          <w:szCs w:val="24"/>
        </w:rPr>
        <w:t>incidentista</w:t>
      </w:r>
      <w:proofErr w:type="spellEnd"/>
      <w:r>
        <w:rPr>
          <w:rFonts w:ascii="Arial" w:eastAsia="Arial" w:hAnsi="Arial" w:cs="Arial"/>
          <w:sz w:val="24"/>
          <w:szCs w:val="24"/>
        </w:rPr>
        <w:t>.</w:t>
      </w:r>
    </w:p>
    <w:p w14:paraId="1CDC2B53"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Máxime que, esta no compareció a realizar ninguna manifestación o inconformidad con motivo de la vista que se le otorgó.</w:t>
      </w:r>
    </w:p>
    <w:p w14:paraId="4576DD61"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Sin embargo, no se inadvierte que la </w:t>
      </w:r>
      <w:r>
        <w:rPr>
          <w:rFonts w:ascii="Arial" w:eastAsia="Arial" w:hAnsi="Arial" w:cs="Arial"/>
          <w:b/>
          <w:bCs/>
          <w:sz w:val="24"/>
          <w:szCs w:val="24"/>
        </w:rPr>
        <w:t>temporalidad</w:t>
      </w:r>
      <w:r>
        <w:rPr>
          <w:rFonts w:ascii="Arial" w:eastAsia="Arial" w:hAnsi="Arial" w:cs="Arial"/>
          <w:sz w:val="24"/>
          <w:szCs w:val="24"/>
        </w:rPr>
        <w:t xml:space="preserve"> otorgada a la </w:t>
      </w:r>
      <w:r>
        <w:rPr>
          <w:rFonts w:ascii="Arial" w:eastAsia="Arial" w:hAnsi="Arial" w:cs="Arial"/>
          <w:i/>
          <w:iCs/>
          <w:sz w:val="24"/>
          <w:szCs w:val="24"/>
        </w:rPr>
        <w:t xml:space="preserve">autoridad vinculada </w:t>
      </w:r>
      <w:r>
        <w:rPr>
          <w:rFonts w:ascii="Arial" w:eastAsia="Arial" w:hAnsi="Arial" w:cs="Arial"/>
          <w:sz w:val="24"/>
          <w:szCs w:val="24"/>
        </w:rPr>
        <w:t>para cumplir con lo ordenado fue de cinco días hábiles; por lo que, si la sentencia se le notificó el doce de febrero, es el caso que, el plazo concedido transcurrió del trece al diecinueve siguientes</w:t>
      </w:r>
      <w:r>
        <w:rPr>
          <w:rFonts w:ascii="Arial" w:eastAsia="Arial" w:hAnsi="Arial" w:cs="Arial"/>
          <w:sz w:val="24"/>
          <w:szCs w:val="24"/>
          <w:vertAlign w:val="superscript"/>
        </w:rPr>
        <w:footnoteReference w:id="12"/>
      </w:r>
      <w:r>
        <w:rPr>
          <w:rFonts w:ascii="Arial" w:eastAsia="Arial" w:hAnsi="Arial" w:cs="Arial"/>
          <w:sz w:val="24"/>
          <w:szCs w:val="24"/>
        </w:rPr>
        <w:t>.</w:t>
      </w:r>
    </w:p>
    <w:p w14:paraId="7C179DFD"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Por tanto, considerando que las constancias de cumplimiento fueron remitidas hasta el veintisiete de febrero y, previo requerimiento de la ponencia instructora, se determina </w:t>
      </w:r>
      <w:r>
        <w:rPr>
          <w:rFonts w:ascii="Arial" w:eastAsia="Arial" w:hAnsi="Arial" w:cs="Arial"/>
          <w:b/>
          <w:bCs/>
          <w:sz w:val="24"/>
          <w:szCs w:val="24"/>
        </w:rPr>
        <w:t xml:space="preserve">conminar </w:t>
      </w:r>
      <w:r>
        <w:rPr>
          <w:rFonts w:ascii="Arial" w:eastAsia="Arial" w:hAnsi="Arial" w:cs="Arial"/>
          <w:sz w:val="24"/>
          <w:szCs w:val="24"/>
        </w:rPr>
        <w:t xml:space="preserve">a la </w:t>
      </w:r>
      <w:r>
        <w:rPr>
          <w:rFonts w:ascii="Arial" w:eastAsia="Arial" w:hAnsi="Arial" w:cs="Arial"/>
          <w:i/>
          <w:iCs/>
          <w:sz w:val="24"/>
          <w:szCs w:val="24"/>
        </w:rPr>
        <w:t xml:space="preserve">autoridad vinculada, </w:t>
      </w:r>
      <w:r>
        <w:rPr>
          <w:rFonts w:ascii="Arial" w:eastAsia="Arial" w:hAnsi="Arial" w:cs="Arial"/>
          <w:sz w:val="24"/>
          <w:szCs w:val="24"/>
        </w:rPr>
        <w:t>para que, en lo subsecuente, acate en tiempo y forma lo mandatado por este órgano jurisdiccional.</w:t>
      </w:r>
    </w:p>
    <w:p w14:paraId="3114E541" w14:textId="77777777" w:rsidR="00D625BB" w:rsidRDefault="00000000">
      <w:pPr>
        <w:pStyle w:val="Ttulo1"/>
        <w:shd w:val="clear" w:color="auto" w:fill="DEEBF6"/>
        <w:jc w:val="center"/>
        <w:rPr>
          <w:rFonts w:ascii="Arial" w:eastAsia="Arial" w:hAnsi="Arial" w:cs="Arial"/>
          <w:color w:val="2E74B5"/>
          <w:sz w:val="24"/>
          <w:szCs w:val="24"/>
        </w:rPr>
      </w:pPr>
      <w:bookmarkStart w:id="12" w:name="_heading=h.j485z3ntipnn" w:colFirst="0" w:colLast="0"/>
      <w:bookmarkEnd w:id="12"/>
      <w:r>
        <w:rPr>
          <w:rFonts w:ascii="Arial" w:eastAsia="Arial" w:hAnsi="Arial" w:cs="Arial"/>
          <w:sz w:val="24"/>
          <w:szCs w:val="24"/>
        </w:rPr>
        <w:t>V. Pronunciamiento</w:t>
      </w:r>
    </w:p>
    <w:p w14:paraId="09ABA949" w14:textId="77777777" w:rsidR="00D625BB" w:rsidRDefault="00000000">
      <w:pPr>
        <w:spacing w:before="240" w:line="360" w:lineRule="auto"/>
        <w:jc w:val="both"/>
        <w:rPr>
          <w:rFonts w:ascii="Arial" w:eastAsia="Arial" w:hAnsi="Arial" w:cs="Arial"/>
          <w:sz w:val="24"/>
          <w:szCs w:val="24"/>
        </w:rPr>
      </w:pPr>
      <w:r>
        <w:rPr>
          <w:rFonts w:ascii="Arial" w:eastAsia="Arial" w:hAnsi="Arial" w:cs="Arial"/>
          <w:sz w:val="24"/>
          <w:szCs w:val="24"/>
        </w:rPr>
        <w:t xml:space="preserve">Relativo a los dos planteamientos adicionales realizados por la </w:t>
      </w:r>
      <w:proofErr w:type="spellStart"/>
      <w:r>
        <w:rPr>
          <w:rFonts w:ascii="Arial" w:eastAsia="Arial" w:hAnsi="Arial" w:cs="Arial"/>
          <w:i/>
          <w:iCs/>
          <w:sz w:val="24"/>
          <w:szCs w:val="24"/>
        </w:rPr>
        <w:t>incidentista</w:t>
      </w:r>
      <w:proofErr w:type="spellEnd"/>
      <w:r>
        <w:rPr>
          <w:rFonts w:ascii="Arial" w:eastAsia="Arial" w:hAnsi="Arial" w:cs="Arial"/>
          <w:sz w:val="24"/>
          <w:szCs w:val="24"/>
        </w:rPr>
        <w:t>, consistentes en:</w:t>
      </w:r>
    </w:p>
    <w:p w14:paraId="198A119D" w14:textId="77777777" w:rsidR="00D625BB" w:rsidRDefault="00000000">
      <w:pPr>
        <w:numPr>
          <w:ilvl w:val="0"/>
          <w:numId w:val="3"/>
        </w:numPr>
        <w:pBdr>
          <w:top w:val="nil"/>
          <w:left w:val="nil"/>
          <w:bottom w:val="nil"/>
          <w:right w:val="nil"/>
          <w:between w:val="nil"/>
        </w:pBdr>
        <w:spacing w:before="240" w:after="0" w:line="360" w:lineRule="auto"/>
        <w:jc w:val="both"/>
        <w:rPr>
          <w:rFonts w:ascii="Arial" w:eastAsia="Arial" w:hAnsi="Arial" w:cs="Arial"/>
          <w:color w:val="000000"/>
          <w:sz w:val="24"/>
          <w:szCs w:val="24"/>
        </w:rPr>
      </w:pPr>
      <w:r>
        <w:rPr>
          <w:rFonts w:ascii="Arial" w:eastAsia="Arial" w:hAnsi="Arial" w:cs="Arial"/>
          <w:color w:val="000000"/>
          <w:sz w:val="24"/>
          <w:szCs w:val="24"/>
        </w:rPr>
        <w:t>Derivado de que el once de febrero se publicó la</w:t>
      </w:r>
      <w:r>
        <w:rPr>
          <w:rFonts w:ascii="Arial" w:eastAsia="Arial" w:hAnsi="Arial" w:cs="Arial"/>
          <w:i/>
          <w:iCs/>
          <w:color w:val="000000"/>
          <w:sz w:val="24"/>
          <w:szCs w:val="24"/>
        </w:rPr>
        <w:t xml:space="preserve"> convocatoria para el proceso interno ordinario de elección de las personas titulares de la presidencia y de la secretaría general del Comité Directivo Estatal del Partido Revolucionario Institucional de Michoacán, para el período estatutario 2026-2030, </w:t>
      </w:r>
      <w:r>
        <w:rPr>
          <w:rFonts w:ascii="Arial" w:eastAsia="Arial" w:hAnsi="Arial" w:cs="Arial"/>
          <w:color w:val="000000"/>
          <w:sz w:val="24"/>
          <w:szCs w:val="24"/>
        </w:rPr>
        <w:t>la emisión de su constancia y reconocimiento es de vital importancia, puesto que de no tenerla se encontraría imposibilitada para ejercer sus derechos político-electorales.</w:t>
      </w:r>
    </w:p>
    <w:p w14:paraId="60D2816F" w14:textId="77777777" w:rsidR="00D625BB" w:rsidRDefault="00000000">
      <w:pPr>
        <w:numPr>
          <w:ilvl w:val="0"/>
          <w:numId w:val="3"/>
        </w:numPr>
        <w:pBdr>
          <w:top w:val="nil"/>
          <w:left w:val="nil"/>
          <w:bottom w:val="nil"/>
          <w:right w:val="nil"/>
          <w:between w:val="nil"/>
        </w:pBdr>
        <w:spacing w:line="360" w:lineRule="auto"/>
        <w:jc w:val="both"/>
        <w:rPr>
          <w:rFonts w:ascii="Arial" w:eastAsia="Arial" w:hAnsi="Arial" w:cs="Arial"/>
          <w:color w:val="000000"/>
          <w:sz w:val="24"/>
          <w:szCs w:val="24"/>
        </w:rPr>
      </w:pPr>
      <w:r>
        <w:rPr>
          <w:rFonts w:ascii="Arial" w:eastAsia="Arial" w:hAnsi="Arial" w:cs="Arial"/>
          <w:color w:val="000000"/>
          <w:sz w:val="24"/>
          <w:szCs w:val="24"/>
        </w:rPr>
        <w:lastRenderedPageBreak/>
        <w:t>Todos los días y horas se consideren como hábiles para la actuación del asunto.</w:t>
      </w:r>
    </w:p>
    <w:p w14:paraId="06BC7185"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Resulta lo siguiente:</w:t>
      </w:r>
    </w:p>
    <w:p w14:paraId="065BA7E7"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 xml:space="preserve">Respecto al primero de ellos, tal como se refirió en el Acuerdo Plenario sobre solicitud de medidas cautelares, el señalamiento de cuestiones relativas a un posible registro dentro del proceso electoral </w:t>
      </w:r>
      <w:proofErr w:type="spellStart"/>
      <w:r>
        <w:rPr>
          <w:rFonts w:ascii="Arial" w:eastAsia="Arial" w:hAnsi="Arial" w:cs="Arial"/>
          <w:sz w:val="24"/>
          <w:szCs w:val="24"/>
        </w:rPr>
        <w:t>intrapartidario</w:t>
      </w:r>
      <w:proofErr w:type="spellEnd"/>
      <w:r>
        <w:rPr>
          <w:rFonts w:ascii="Arial" w:eastAsia="Arial" w:hAnsi="Arial" w:cs="Arial"/>
          <w:sz w:val="24"/>
          <w:szCs w:val="24"/>
        </w:rPr>
        <w:t xml:space="preserve"> escapan de la materia del cumplimiento del juicio, ya que este fue promovido, únicamente, en contra de la omisión de reconocerle su registro como militante y otorgarle la constancia respectiva; por lo que es inviable la pretensión de estudiar cuestiones ajenas.</w:t>
      </w:r>
    </w:p>
    <w:p w14:paraId="0544FF52"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En cuanto al segundo de los señalamientos, tal cuestión fue atendida mediante acuerdo de veinte de febrero, en el sentido de que, tal como fue precisado desde la radicación del asunto, al no tener relación con algún proceso electoral, únicamente se tendrían los</w:t>
      </w:r>
      <w:r>
        <w:rPr>
          <w:rFonts w:ascii="Arial" w:eastAsia="Arial" w:hAnsi="Arial" w:cs="Arial"/>
          <w:b/>
          <w:bCs/>
          <w:sz w:val="24"/>
          <w:szCs w:val="24"/>
        </w:rPr>
        <w:t xml:space="preserve"> </w:t>
      </w:r>
      <w:r>
        <w:rPr>
          <w:rFonts w:ascii="Arial" w:eastAsia="Arial" w:hAnsi="Arial" w:cs="Arial"/>
          <w:sz w:val="24"/>
          <w:szCs w:val="24"/>
        </w:rPr>
        <w:t>días y horas hábiles para actuar</w:t>
      </w:r>
      <w:r>
        <w:rPr>
          <w:rFonts w:ascii="Arial" w:eastAsia="Arial" w:hAnsi="Arial" w:cs="Arial"/>
          <w:sz w:val="24"/>
          <w:szCs w:val="24"/>
          <w:vertAlign w:val="superscript"/>
        </w:rPr>
        <w:footnoteReference w:id="13"/>
      </w:r>
      <w:r>
        <w:rPr>
          <w:rFonts w:ascii="Arial" w:eastAsia="Arial" w:hAnsi="Arial" w:cs="Arial"/>
          <w:sz w:val="24"/>
          <w:szCs w:val="24"/>
        </w:rPr>
        <w:t xml:space="preserve">; de conformidad con el artículo 8 de la </w:t>
      </w:r>
      <w:r>
        <w:rPr>
          <w:rFonts w:ascii="Arial" w:eastAsia="Arial" w:hAnsi="Arial" w:cs="Arial"/>
          <w:i/>
          <w:iCs/>
          <w:sz w:val="24"/>
          <w:szCs w:val="24"/>
        </w:rPr>
        <w:t>Ley de Justicia Electoral,</w:t>
      </w:r>
      <w:r>
        <w:rPr>
          <w:rFonts w:ascii="Arial" w:eastAsia="Arial" w:hAnsi="Arial" w:cs="Arial"/>
          <w:sz w:val="24"/>
          <w:szCs w:val="24"/>
        </w:rPr>
        <w:t xml:space="preserve"> así como del </w:t>
      </w:r>
      <w:r>
        <w:rPr>
          <w:rFonts w:ascii="Arial" w:eastAsia="Arial" w:hAnsi="Arial" w:cs="Arial"/>
          <w:i/>
          <w:iCs/>
          <w:sz w:val="24"/>
          <w:szCs w:val="24"/>
        </w:rPr>
        <w:t>Acuerdo del Pleno del Tribunal Electoral del Estado por el que se establece el horario de labores y días inhábiles de este órgano jurisdiccional, para el año dos mil veintiséis</w:t>
      </w:r>
      <w:r>
        <w:rPr>
          <w:rFonts w:ascii="Arial" w:eastAsia="Arial" w:hAnsi="Arial" w:cs="Arial"/>
          <w:i/>
          <w:iCs/>
          <w:sz w:val="24"/>
          <w:szCs w:val="24"/>
          <w:vertAlign w:val="superscript"/>
        </w:rPr>
        <w:t xml:space="preserve"> </w:t>
      </w:r>
      <w:r>
        <w:rPr>
          <w:rFonts w:ascii="Arial" w:eastAsia="Arial" w:hAnsi="Arial" w:cs="Arial"/>
          <w:i/>
          <w:iCs/>
          <w:sz w:val="24"/>
          <w:szCs w:val="24"/>
          <w:vertAlign w:val="superscript"/>
        </w:rPr>
        <w:footnoteReference w:id="14"/>
      </w:r>
      <w:r>
        <w:rPr>
          <w:rFonts w:ascii="Arial" w:eastAsia="Arial" w:hAnsi="Arial" w:cs="Arial"/>
          <w:i/>
          <w:iCs/>
          <w:sz w:val="24"/>
          <w:szCs w:val="24"/>
        </w:rPr>
        <w:t>.</w:t>
      </w:r>
      <w:r>
        <w:rPr>
          <w:rFonts w:ascii="Arial" w:eastAsia="Arial" w:hAnsi="Arial" w:cs="Arial"/>
          <w:sz w:val="24"/>
          <w:szCs w:val="24"/>
        </w:rPr>
        <w:t xml:space="preserve"> De ahí que sea inatendible su solicitud.</w:t>
      </w:r>
    </w:p>
    <w:p w14:paraId="43039B52" w14:textId="77777777" w:rsidR="00D625BB" w:rsidRDefault="00000000">
      <w:pPr>
        <w:spacing w:line="360" w:lineRule="auto"/>
        <w:jc w:val="both"/>
        <w:rPr>
          <w:rFonts w:ascii="Arial" w:eastAsia="Arial" w:hAnsi="Arial" w:cs="Arial"/>
          <w:sz w:val="24"/>
          <w:szCs w:val="24"/>
        </w:rPr>
      </w:pPr>
      <w:r>
        <w:rPr>
          <w:rFonts w:ascii="Arial" w:eastAsia="Arial" w:hAnsi="Arial" w:cs="Arial"/>
          <w:sz w:val="24"/>
          <w:szCs w:val="24"/>
        </w:rPr>
        <w:t>Por lo anteriormente expuesto y fundado, se emiten los siguientes:</w:t>
      </w:r>
    </w:p>
    <w:p w14:paraId="7C6A6AE8" w14:textId="77777777" w:rsidR="00D625BB" w:rsidRDefault="00000000">
      <w:pPr>
        <w:pStyle w:val="Ttulo1"/>
        <w:shd w:val="clear" w:color="auto" w:fill="DEEBF6"/>
        <w:jc w:val="center"/>
        <w:rPr>
          <w:rFonts w:ascii="Arial" w:eastAsia="Arial" w:hAnsi="Arial" w:cs="Arial"/>
          <w:color w:val="2E74B5"/>
          <w:sz w:val="24"/>
          <w:szCs w:val="24"/>
        </w:rPr>
      </w:pPr>
      <w:bookmarkStart w:id="13" w:name="_heading=h.qrprg4lb9m9f" w:colFirst="0" w:colLast="0"/>
      <w:bookmarkEnd w:id="13"/>
      <w:r>
        <w:rPr>
          <w:rFonts w:ascii="Arial" w:eastAsia="Arial" w:hAnsi="Arial" w:cs="Arial"/>
          <w:sz w:val="24"/>
          <w:szCs w:val="24"/>
        </w:rPr>
        <w:t>VI. Resolutivos</w:t>
      </w:r>
    </w:p>
    <w:p w14:paraId="1994497C" w14:textId="77777777" w:rsidR="00D625BB" w:rsidRDefault="00000000">
      <w:pPr>
        <w:tabs>
          <w:tab w:val="right" w:pos="7655"/>
        </w:tabs>
        <w:spacing w:before="280" w:after="280" w:line="360" w:lineRule="auto"/>
        <w:jc w:val="both"/>
        <w:rPr>
          <w:rFonts w:ascii="Arial" w:eastAsia="Arial" w:hAnsi="Arial" w:cs="Arial"/>
          <w:sz w:val="24"/>
          <w:szCs w:val="24"/>
        </w:rPr>
      </w:pPr>
      <w:bookmarkStart w:id="14" w:name="_heading=h.lnxbz9" w:colFirst="0" w:colLast="0"/>
      <w:bookmarkEnd w:id="14"/>
      <w:r>
        <w:rPr>
          <w:rFonts w:ascii="Arial" w:eastAsia="Arial" w:hAnsi="Arial" w:cs="Arial"/>
          <w:b/>
          <w:bCs/>
          <w:sz w:val="24"/>
          <w:szCs w:val="24"/>
        </w:rPr>
        <w:t xml:space="preserve">Primero. </w:t>
      </w:r>
      <w:r>
        <w:rPr>
          <w:rFonts w:ascii="Arial" w:eastAsia="Arial" w:hAnsi="Arial" w:cs="Arial"/>
          <w:sz w:val="24"/>
          <w:szCs w:val="24"/>
        </w:rPr>
        <w:t>Se declara</w:t>
      </w:r>
      <w:r>
        <w:rPr>
          <w:rFonts w:ascii="Arial" w:eastAsia="Arial" w:hAnsi="Arial" w:cs="Arial"/>
          <w:b/>
          <w:bCs/>
          <w:sz w:val="24"/>
          <w:szCs w:val="24"/>
        </w:rPr>
        <w:t xml:space="preserve"> infundado </w:t>
      </w:r>
      <w:r>
        <w:rPr>
          <w:rFonts w:ascii="Arial" w:eastAsia="Arial" w:hAnsi="Arial" w:cs="Arial"/>
          <w:sz w:val="24"/>
          <w:szCs w:val="24"/>
        </w:rPr>
        <w:t>el incidente de incumplimiento de sentencia planteado.</w:t>
      </w:r>
    </w:p>
    <w:p w14:paraId="68D3CF9E" w14:textId="77777777" w:rsidR="00D625BB" w:rsidRDefault="00000000">
      <w:pPr>
        <w:tabs>
          <w:tab w:val="right" w:pos="7655"/>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Segundo. </w:t>
      </w:r>
      <w:r>
        <w:rPr>
          <w:rFonts w:ascii="Arial" w:eastAsia="Arial" w:hAnsi="Arial" w:cs="Arial"/>
          <w:sz w:val="24"/>
          <w:szCs w:val="24"/>
        </w:rPr>
        <w:t xml:space="preserve">Se declara </w:t>
      </w:r>
      <w:r>
        <w:rPr>
          <w:rFonts w:ascii="Arial" w:eastAsia="Arial" w:hAnsi="Arial" w:cs="Arial"/>
          <w:b/>
          <w:bCs/>
          <w:sz w:val="24"/>
          <w:szCs w:val="24"/>
        </w:rPr>
        <w:t xml:space="preserve">cumplida </w:t>
      </w:r>
      <w:r>
        <w:rPr>
          <w:rFonts w:ascii="Arial" w:eastAsia="Arial" w:hAnsi="Arial" w:cs="Arial"/>
          <w:sz w:val="24"/>
          <w:szCs w:val="24"/>
        </w:rPr>
        <w:t>la sentencia emitida en el juicio de la ciudadanía TEEM-JDC-001/2026.</w:t>
      </w:r>
    </w:p>
    <w:p w14:paraId="20D0DBBC" w14:textId="77777777" w:rsidR="00D625BB" w:rsidRDefault="00000000">
      <w:pPr>
        <w:tabs>
          <w:tab w:val="right" w:pos="7655"/>
        </w:tabs>
        <w:spacing w:before="280" w:after="280" w:line="360" w:lineRule="auto"/>
        <w:jc w:val="both"/>
        <w:rPr>
          <w:rFonts w:ascii="Arial" w:eastAsia="Arial" w:hAnsi="Arial" w:cs="Arial"/>
          <w:sz w:val="24"/>
          <w:szCs w:val="24"/>
        </w:rPr>
      </w:pPr>
      <w:r>
        <w:rPr>
          <w:rFonts w:ascii="Arial" w:eastAsia="Arial" w:hAnsi="Arial" w:cs="Arial"/>
          <w:b/>
          <w:bCs/>
          <w:sz w:val="24"/>
          <w:szCs w:val="24"/>
        </w:rPr>
        <w:t xml:space="preserve">Tercero. </w:t>
      </w:r>
      <w:r>
        <w:rPr>
          <w:rFonts w:ascii="Arial" w:eastAsia="Arial" w:hAnsi="Arial" w:cs="Arial"/>
          <w:sz w:val="24"/>
          <w:szCs w:val="24"/>
        </w:rPr>
        <w:t xml:space="preserve">Se </w:t>
      </w:r>
      <w:r>
        <w:rPr>
          <w:rFonts w:ascii="Arial" w:eastAsia="Arial" w:hAnsi="Arial" w:cs="Arial"/>
          <w:b/>
          <w:bCs/>
          <w:sz w:val="24"/>
          <w:szCs w:val="24"/>
        </w:rPr>
        <w:t xml:space="preserve">conmina </w:t>
      </w:r>
      <w:r>
        <w:rPr>
          <w:rFonts w:ascii="Arial" w:eastAsia="Arial" w:hAnsi="Arial" w:cs="Arial"/>
          <w:sz w:val="24"/>
          <w:szCs w:val="24"/>
        </w:rPr>
        <w:t>a la Coordinación Nacional de Afiliación y Registro Partidario del Partido Revolucionario Institucional, para que, en lo sucesivo acate en tiempo y forma lo ordenado.</w:t>
      </w:r>
    </w:p>
    <w:p w14:paraId="078A6E07" w14:textId="77777777" w:rsidR="00D625BB" w:rsidRDefault="00000000">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b/>
          <w:bCs/>
          <w:color w:val="000000"/>
          <w:sz w:val="24"/>
          <w:szCs w:val="24"/>
        </w:rPr>
        <w:lastRenderedPageBreak/>
        <w:t xml:space="preserve">Notifíquese: personalmente, </w:t>
      </w:r>
      <w:r>
        <w:rPr>
          <w:rFonts w:ascii="Arial" w:eastAsia="Arial" w:hAnsi="Arial" w:cs="Arial"/>
          <w:color w:val="000000"/>
          <w:sz w:val="24"/>
          <w:szCs w:val="24"/>
        </w:rPr>
        <w:t xml:space="preserve">a la actora; </w:t>
      </w:r>
      <w:r>
        <w:rPr>
          <w:rFonts w:ascii="Arial" w:eastAsia="Arial" w:hAnsi="Arial" w:cs="Arial"/>
          <w:b/>
          <w:bCs/>
          <w:color w:val="000000"/>
          <w:sz w:val="24"/>
          <w:szCs w:val="24"/>
        </w:rPr>
        <w:t xml:space="preserve">por oficio, </w:t>
      </w:r>
      <w:r>
        <w:rPr>
          <w:rFonts w:ascii="Arial" w:eastAsia="Arial" w:hAnsi="Arial" w:cs="Arial"/>
          <w:color w:val="000000"/>
          <w:sz w:val="24"/>
          <w:szCs w:val="24"/>
        </w:rPr>
        <w:t>a la</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Comisión Nacional de Justicia Partidaria, así como a la Coordinación Nacional de Afiliación y Registro Partidario, ambas del Partido Revolucionario Institucional; y, </w:t>
      </w:r>
      <w:r>
        <w:rPr>
          <w:rFonts w:ascii="Arial" w:eastAsia="Arial" w:hAnsi="Arial" w:cs="Arial"/>
          <w:b/>
          <w:bCs/>
          <w:color w:val="000000"/>
          <w:sz w:val="24"/>
          <w:szCs w:val="24"/>
        </w:rPr>
        <w:t xml:space="preserve">por estrados </w:t>
      </w:r>
      <w:r>
        <w:rPr>
          <w:rFonts w:ascii="Arial" w:eastAsia="Arial" w:hAnsi="Arial" w:cs="Arial"/>
          <w:color w:val="000000"/>
          <w:sz w:val="24"/>
          <w:szCs w:val="24"/>
        </w:rPr>
        <w:t xml:space="preserve">a las demás personas interesadas; de conformidad con los artículos 37, fracciones I, II y III, 38 y 39 de la Ley de Justicia en Materia Electoral y de Participación Ciudadana del Estado de Michoacán de Ocampo; y 137, 139, 140 y 142 del Reglamento Interior del Tribunal Electoral del Estado. </w:t>
      </w:r>
    </w:p>
    <w:p w14:paraId="64ABB4E5" w14:textId="77777777" w:rsidR="00D625BB" w:rsidRDefault="00000000">
      <w:pPr>
        <w:pBdr>
          <w:top w:val="nil"/>
          <w:left w:val="nil"/>
          <w:bottom w:val="nil"/>
          <w:right w:val="nil"/>
          <w:between w:val="nil"/>
        </w:pBdr>
        <w:spacing w:before="280" w:after="280" w:line="360" w:lineRule="auto"/>
        <w:jc w:val="both"/>
        <w:rPr>
          <w:rFonts w:ascii="Arial" w:eastAsia="Arial" w:hAnsi="Arial" w:cs="Arial"/>
          <w:color w:val="000000"/>
          <w:sz w:val="24"/>
          <w:szCs w:val="24"/>
        </w:rPr>
      </w:pPr>
      <w:r>
        <w:rPr>
          <w:rFonts w:ascii="Arial" w:eastAsia="Arial" w:hAnsi="Arial" w:cs="Arial"/>
          <w:color w:val="000000"/>
          <w:sz w:val="24"/>
          <w:szCs w:val="24"/>
        </w:rPr>
        <w:t>Realizadas las notificaciones, agréguense a los autos para que obren como corresponda y, en su oportunidad, archívese como asunto total y definitivamente concluido.</w:t>
      </w:r>
    </w:p>
    <w:p w14:paraId="2A47916E" w14:textId="53CE9F46" w:rsidR="00D625BB" w:rsidRDefault="00000000">
      <w:pPr>
        <w:keepNext/>
        <w:shd w:val="clear" w:color="auto" w:fill="FFFFFF"/>
        <w:tabs>
          <w:tab w:val="left" w:pos="360"/>
        </w:tabs>
        <w:spacing w:before="280" w:after="0" w:line="360" w:lineRule="auto"/>
        <w:jc w:val="both"/>
        <w:rPr>
          <w:rFonts w:ascii="Arial" w:eastAsia="Arial" w:hAnsi="Arial" w:cs="Arial"/>
          <w:b/>
          <w:bCs/>
          <w:sz w:val="24"/>
          <w:szCs w:val="24"/>
        </w:rPr>
      </w:pPr>
      <w:r>
        <w:rPr>
          <w:rFonts w:ascii="Arial" w:eastAsia="Arial" w:hAnsi="Arial" w:cs="Arial"/>
          <w:sz w:val="24"/>
          <w:szCs w:val="24"/>
        </w:rPr>
        <w:t>Así, en Sesión Pública celebrada el día de hoy, a las catorce horas con veintis</w:t>
      </w:r>
      <w:r w:rsidR="00906045">
        <w:rPr>
          <w:rFonts w:ascii="Arial" w:eastAsia="Arial" w:hAnsi="Arial" w:cs="Arial"/>
          <w:sz w:val="24"/>
          <w:szCs w:val="24"/>
        </w:rPr>
        <w:t>iete</w:t>
      </w:r>
      <w:r>
        <w:rPr>
          <w:rFonts w:ascii="Arial" w:eastAsia="Arial" w:hAnsi="Arial" w:cs="Arial"/>
          <w:sz w:val="24"/>
          <w:szCs w:val="24"/>
        </w:rPr>
        <w:t xml:space="preserve"> minutos, por unanimidad de votos, lo resolvieron y firman las Magistraturas Integrantes del Pleno del Tribunal Electoral del Estado de Michoacán, la Magistrada Presidenta Amelí Gissel Navarro Lepe, las Magistradas Yurisha Andrade Morales y Alma Rosa Bahena Villalobos, así como los Magistrados Adrián Hernández Pinedo -</w:t>
      </w:r>
      <w:r>
        <w:rPr>
          <w:rFonts w:ascii="Arial" w:eastAsia="Arial" w:hAnsi="Arial" w:cs="Arial"/>
          <w:i/>
          <w:iCs/>
          <w:sz w:val="24"/>
          <w:szCs w:val="24"/>
        </w:rPr>
        <w:t>quien fue ponente</w:t>
      </w:r>
      <w:r>
        <w:rPr>
          <w:rFonts w:ascii="Arial" w:eastAsia="Arial" w:hAnsi="Arial" w:cs="Arial"/>
          <w:sz w:val="24"/>
          <w:szCs w:val="24"/>
        </w:rPr>
        <w:t xml:space="preserve">- y Eric López Villaseñor, ante el Secretario General de Acuerdos, Víctor Hugo Arroyo Sandoval, quien autoriza y da fe. </w:t>
      </w:r>
      <w:r>
        <w:rPr>
          <w:rFonts w:ascii="Arial" w:eastAsia="Arial" w:hAnsi="Arial" w:cs="Arial"/>
          <w:b/>
          <w:bCs/>
          <w:sz w:val="24"/>
          <w:szCs w:val="24"/>
        </w:rPr>
        <w:t>Conste.</w:t>
      </w:r>
    </w:p>
    <w:tbl>
      <w:tblPr>
        <w:tblStyle w:val="aa"/>
        <w:tblW w:w="8370" w:type="dxa"/>
        <w:tblInd w:w="-147" w:type="dxa"/>
        <w:tblLayout w:type="fixed"/>
        <w:tblLook w:val="0400" w:firstRow="0" w:lastRow="0" w:firstColumn="0" w:lastColumn="0" w:noHBand="0" w:noVBand="1"/>
      </w:tblPr>
      <w:tblGrid>
        <w:gridCol w:w="3973"/>
        <w:gridCol w:w="4397"/>
      </w:tblGrid>
      <w:tr w:rsidR="00D625BB" w14:paraId="5ADD9C6A" w14:textId="77777777">
        <w:trPr>
          <w:trHeight w:val="1567"/>
        </w:trPr>
        <w:tc>
          <w:tcPr>
            <w:tcW w:w="8370" w:type="dxa"/>
            <w:gridSpan w:val="2"/>
            <w:vAlign w:val="center"/>
          </w:tcPr>
          <w:p w14:paraId="16A2F371"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MAGISTRADA PRESIDENTA</w:t>
            </w:r>
          </w:p>
          <w:p w14:paraId="0461FEA9" w14:textId="77777777" w:rsidR="00D625BB" w:rsidRDefault="00D625BB">
            <w:pPr>
              <w:spacing w:before="240" w:line="360" w:lineRule="auto"/>
              <w:jc w:val="center"/>
              <w:rPr>
                <w:rFonts w:ascii="Arial" w:eastAsia="Arial" w:hAnsi="Arial" w:cs="Arial"/>
                <w:b/>
                <w:bCs/>
                <w:sz w:val="24"/>
                <w:szCs w:val="24"/>
              </w:rPr>
            </w:pPr>
          </w:p>
          <w:p w14:paraId="3E734D3F" w14:textId="77777777" w:rsidR="00D625BB" w:rsidRDefault="00D625BB">
            <w:pPr>
              <w:spacing w:before="240" w:line="360" w:lineRule="auto"/>
              <w:jc w:val="center"/>
              <w:rPr>
                <w:rFonts w:ascii="Arial" w:eastAsia="Arial" w:hAnsi="Arial" w:cs="Arial"/>
                <w:b/>
                <w:bCs/>
                <w:sz w:val="24"/>
                <w:szCs w:val="24"/>
              </w:rPr>
            </w:pPr>
          </w:p>
          <w:p w14:paraId="68673809"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AMELÍ GISSEL NAVARRO LEPE</w:t>
            </w:r>
          </w:p>
        </w:tc>
      </w:tr>
      <w:tr w:rsidR="00D625BB" w14:paraId="71EC627B" w14:textId="77777777">
        <w:trPr>
          <w:trHeight w:val="1830"/>
        </w:trPr>
        <w:tc>
          <w:tcPr>
            <w:tcW w:w="3973" w:type="dxa"/>
            <w:vAlign w:val="center"/>
          </w:tcPr>
          <w:p w14:paraId="02C684F9" w14:textId="77777777" w:rsidR="00D625BB" w:rsidRDefault="00D625BB">
            <w:pPr>
              <w:spacing w:before="240" w:line="360" w:lineRule="auto"/>
              <w:rPr>
                <w:rFonts w:ascii="Arial" w:eastAsia="Arial" w:hAnsi="Arial" w:cs="Arial"/>
                <w:b/>
                <w:bCs/>
                <w:sz w:val="24"/>
                <w:szCs w:val="24"/>
              </w:rPr>
            </w:pPr>
          </w:p>
          <w:p w14:paraId="14E7FE9B"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MAGISTRADA</w:t>
            </w:r>
          </w:p>
          <w:p w14:paraId="231F31FE" w14:textId="77777777" w:rsidR="00D625BB" w:rsidRDefault="00D625BB">
            <w:pPr>
              <w:spacing w:before="240" w:line="360" w:lineRule="auto"/>
              <w:jc w:val="center"/>
              <w:rPr>
                <w:rFonts w:ascii="Arial" w:eastAsia="Arial" w:hAnsi="Arial" w:cs="Arial"/>
                <w:b/>
                <w:bCs/>
                <w:sz w:val="24"/>
                <w:szCs w:val="24"/>
              </w:rPr>
            </w:pPr>
          </w:p>
          <w:p w14:paraId="7ECD91CB" w14:textId="77777777" w:rsidR="00D625BB" w:rsidRDefault="00D625BB">
            <w:pPr>
              <w:spacing w:before="240" w:line="360" w:lineRule="auto"/>
              <w:jc w:val="center"/>
              <w:rPr>
                <w:rFonts w:ascii="Arial" w:eastAsia="Arial" w:hAnsi="Arial" w:cs="Arial"/>
                <w:b/>
                <w:bCs/>
                <w:sz w:val="24"/>
                <w:szCs w:val="24"/>
              </w:rPr>
            </w:pPr>
          </w:p>
          <w:p w14:paraId="2F5F259D"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YURISHA ANDRADE MORALES</w:t>
            </w:r>
          </w:p>
        </w:tc>
        <w:tc>
          <w:tcPr>
            <w:tcW w:w="4397" w:type="dxa"/>
            <w:vAlign w:val="center"/>
          </w:tcPr>
          <w:p w14:paraId="7032BE17" w14:textId="77777777" w:rsidR="00D625BB" w:rsidRDefault="00D625BB">
            <w:pPr>
              <w:spacing w:before="240" w:line="360" w:lineRule="auto"/>
              <w:rPr>
                <w:rFonts w:ascii="Arial" w:eastAsia="Arial" w:hAnsi="Arial" w:cs="Arial"/>
                <w:b/>
                <w:bCs/>
                <w:sz w:val="24"/>
                <w:szCs w:val="24"/>
              </w:rPr>
            </w:pPr>
          </w:p>
          <w:p w14:paraId="65B37230"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MAGISTRADA</w:t>
            </w:r>
          </w:p>
          <w:p w14:paraId="303082C4" w14:textId="77777777" w:rsidR="00D625BB" w:rsidRDefault="00D625BB">
            <w:pPr>
              <w:spacing w:before="240" w:line="360" w:lineRule="auto"/>
              <w:jc w:val="center"/>
              <w:rPr>
                <w:rFonts w:ascii="Arial" w:eastAsia="Arial" w:hAnsi="Arial" w:cs="Arial"/>
                <w:b/>
                <w:bCs/>
                <w:sz w:val="24"/>
                <w:szCs w:val="24"/>
              </w:rPr>
            </w:pPr>
          </w:p>
          <w:p w14:paraId="50155F2F" w14:textId="77777777" w:rsidR="00D625BB" w:rsidRDefault="00D625BB">
            <w:pPr>
              <w:spacing w:before="240" w:line="360" w:lineRule="auto"/>
              <w:jc w:val="center"/>
              <w:rPr>
                <w:rFonts w:ascii="Arial" w:eastAsia="Arial" w:hAnsi="Arial" w:cs="Arial"/>
                <w:b/>
                <w:bCs/>
                <w:sz w:val="24"/>
                <w:szCs w:val="24"/>
              </w:rPr>
            </w:pPr>
          </w:p>
          <w:p w14:paraId="5EF180F0"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ALMA ROSA BAHENA VILLALOBOS</w:t>
            </w:r>
          </w:p>
        </w:tc>
      </w:tr>
      <w:tr w:rsidR="00D625BB" w14:paraId="5C47D4C9" w14:textId="77777777">
        <w:trPr>
          <w:trHeight w:val="1830"/>
        </w:trPr>
        <w:tc>
          <w:tcPr>
            <w:tcW w:w="3973" w:type="dxa"/>
            <w:vAlign w:val="center"/>
          </w:tcPr>
          <w:p w14:paraId="148B0D16"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lastRenderedPageBreak/>
              <w:t>MAGISTRADO</w:t>
            </w:r>
          </w:p>
          <w:p w14:paraId="3581B6F8" w14:textId="77777777" w:rsidR="00D625BB" w:rsidRDefault="00D625BB">
            <w:pPr>
              <w:spacing w:before="240" w:line="360" w:lineRule="auto"/>
              <w:jc w:val="center"/>
              <w:rPr>
                <w:rFonts w:ascii="Arial" w:eastAsia="Arial" w:hAnsi="Arial" w:cs="Arial"/>
                <w:b/>
                <w:bCs/>
                <w:sz w:val="24"/>
                <w:szCs w:val="24"/>
              </w:rPr>
            </w:pPr>
          </w:p>
          <w:p w14:paraId="4C5527DA" w14:textId="77777777" w:rsidR="00D625BB" w:rsidRDefault="00D625BB">
            <w:pPr>
              <w:spacing w:before="240" w:line="360" w:lineRule="auto"/>
              <w:jc w:val="center"/>
              <w:rPr>
                <w:rFonts w:ascii="Arial" w:eastAsia="Arial" w:hAnsi="Arial" w:cs="Arial"/>
                <w:b/>
                <w:bCs/>
                <w:sz w:val="24"/>
                <w:szCs w:val="24"/>
              </w:rPr>
            </w:pPr>
          </w:p>
          <w:p w14:paraId="79E6B547"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ADRIÁN HERNÁNDEZ PINEDO</w:t>
            </w:r>
          </w:p>
        </w:tc>
        <w:tc>
          <w:tcPr>
            <w:tcW w:w="4397" w:type="dxa"/>
            <w:vAlign w:val="center"/>
          </w:tcPr>
          <w:p w14:paraId="22C551E4"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MAGISTRADO</w:t>
            </w:r>
          </w:p>
          <w:p w14:paraId="06E35D4A" w14:textId="77777777" w:rsidR="00D625BB" w:rsidRDefault="00D625BB">
            <w:pPr>
              <w:spacing w:before="240" w:line="360" w:lineRule="auto"/>
              <w:jc w:val="center"/>
              <w:rPr>
                <w:rFonts w:ascii="Arial" w:eastAsia="Arial" w:hAnsi="Arial" w:cs="Arial"/>
                <w:b/>
                <w:bCs/>
                <w:sz w:val="24"/>
                <w:szCs w:val="24"/>
              </w:rPr>
            </w:pPr>
          </w:p>
          <w:p w14:paraId="5B7EA1F8" w14:textId="77777777" w:rsidR="00D625BB" w:rsidRDefault="00D625BB">
            <w:pPr>
              <w:spacing w:before="240" w:line="360" w:lineRule="auto"/>
              <w:jc w:val="center"/>
              <w:rPr>
                <w:rFonts w:ascii="Arial" w:eastAsia="Arial" w:hAnsi="Arial" w:cs="Arial"/>
                <w:b/>
                <w:bCs/>
                <w:sz w:val="24"/>
                <w:szCs w:val="24"/>
              </w:rPr>
            </w:pPr>
          </w:p>
          <w:p w14:paraId="241888E1"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ERIC LÓPEZ VILLASEÑOR</w:t>
            </w:r>
          </w:p>
        </w:tc>
      </w:tr>
      <w:tr w:rsidR="00D625BB" w14:paraId="32BA1BDD" w14:textId="77777777">
        <w:trPr>
          <w:trHeight w:val="1100"/>
        </w:trPr>
        <w:tc>
          <w:tcPr>
            <w:tcW w:w="8370" w:type="dxa"/>
            <w:gridSpan w:val="2"/>
            <w:vAlign w:val="center"/>
          </w:tcPr>
          <w:p w14:paraId="4ABB13F0" w14:textId="77777777" w:rsidR="00D625BB" w:rsidRDefault="00D625BB">
            <w:pPr>
              <w:spacing w:before="240" w:line="360" w:lineRule="auto"/>
              <w:rPr>
                <w:rFonts w:ascii="Arial" w:eastAsia="Arial" w:hAnsi="Arial" w:cs="Arial"/>
                <w:b/>
                <w:bCs/>
                <w:sz w:val="24"/>
                <w:szCs w:val="24"/>
              </w:rPr>
            </w:pPr>
          </w:p>
          <w:p w14:paraId="05F8ADC4"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SECRETARIO GENERAL DE ACUERDOS</w:t>
            </w:r>
          </w:p>
          <w:p w14:paraId="302EE7EF" w14:textId="77777777" w:rsidR="00D625BB" w:rsidRDefault="00D625BB">
            <w:pPr>
              <w:spacing w:before="240" w:line="360" w:lineRule="auto"/>
              <w:jc w:val="center"/>
              <w:rPr>
                <w:rFonts w:ascii="Arial" w:eastAsia="Arial" w:hAnsi="Arial" w:cs="Arial"/>
                <w:b/>
                <w:bCs/>
                <w:sz w:val="24"/>
                <w:szCs w:val="24"/>
              </w:rPr>
            </w:pPr>
          </w:p>
          <w:p w14:paraId="12848A5A" w14:textId="77777777" w:rsidR="00D625BB" w:rsidRDefault="00D625BB">
            <w:pPr>
              <w:spacing w:before="240" w:line="360" w:lineRule="auto"/>
              <w:rPr>
                <w:rFonts w:ascii="Arial" w:eastAsia="Arial" w:hAnsi="Arial" w:cs="Arial"/>
                <w:b/>
                <w:bCs/>
                <w:sz w:val="24"/>
                <w:szCs w:val="24"/>
              </w:rPr>
            </w:pPr>
          </w:p>
          <w:p w14:paraId="01BC5FF6" w14:textId="77777777" w:rsidR="00D625BB" w:rsidRDefault="00000000">
            <w:pPr>
              <w:spacing w:before="240" w:line="360" w:lineRule="auto"/>
              <w:jc w:val="center"/>
              <w:rPr>
                <w:rFonts w:ascii="Arial" w:eastAsia="Arial" w:hAnsi="Arial" w:cs="Arial"/>
                <w:b/>
                <w:bCs/>
                <w:sz w:val="24"/>
                <w:szCs w:val="24"/>
              </w:rPr>
            </w:pPr>
            <w:r>
              <w:rPr>
                <w:rFonts w:ascii="Arial" w:eastAsia="Arial" w:hAnsi="Arial" w:cs="Arial"/>
                <w:b/>
                <w:bCs/>
                <w:sz w:val="24"/>
                <w:szCs w:val="24"/>
              </w:rPr>
              <w:t>VÍCTOR HUGO ARROYO SANDOVAL</w:t>
            </w:r>
          </w:p>
        </w:tc>
      </w:tr>
    </w:tbl>
    <w:p w14:paraId="28CBA94F" w14:textId="190F510A" w:rsidR="00D625BB" w:rsidRDefault="00000000">
      <w:pPr>
        <w:spacing w:before="280" w:after="28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Resolución Incidental emitida por el Pleno del Tribunal Electoral del Estado, en sesión pública </w:t>
      </w:r>
      <w:r w:rsidR="00906045">
        <w:rPr>
          <w:rFonts w:ascii="Arial Narrow" w:eastAsia="Arial Narrow" w:hAnsi="Arial Narrow" w:cs="Arial Narrow"/>
          <w:sz w:val="20"/>
          <w:szCs w:val="20"/>
        </w:rPr>
        <w:t xml:space="preserve">virtual </w:t>
      </w:r>
      <w:r>
        <w:rPr>
          <w:rFonts w:ascii="Arial Narrow" w:eastAsia="Arial Narrow" w:hAnsi="Arial Narrow" w:cs="Arial Narrow"/>
          <w:sz w:val="20"/>
          <w:szCs w:val="20"/>
        </w:rPr>
        <w:t xml:space="preserve">celebrada el doce de marzo de dos mil veintiséis, dentro del </w:t>
      </w:r>
      <w:r w:rsidR="009847DB">
        <w:rPr>
          <w:rFonts w:ascii="Arial Narrow" w:eastAsia="Arial Narrow" w:hAnsi="Arial Narrow" w:cs="Arial Narrow"/>
          <w:sz w:val="20"/>
          <w:szCs w:val="20"/>
        </w:rPr>
        <w:t xml:space="preserve">Incidente de Incumplimiento de Sentencia derivado del </w:t>
      </w:r>
      <w:r>
        <w:rPr>
          <w:rFonts w:ascii="Arial Narrow" w:eastAsia="Arial Narrow" w:hAnsi="Arial Narrow" w:cs="Arial Narrow"/>
          <w:sz w:val="20"/>
          <w:szCs w:val="20"/>
        </w:rPr>
        <w:t xml:space="preserve">Juicio para la Protección de los Derechos Político-Electorales del Ciudadano </w:t>
      </w:r>
      <w:r>
        <w:rPr>
          <w:rFonts w:ascii="Arial Narrow" w:eastAsia="Arial Narrow" w:hAnsi="Arial Narrow" w:cs="Arial Narrow"/>
          <w:b/>
          <w:bCs/>
          <w:sz w:val="20"/>
          <w:szCs w:val="20"/>
        </w:rPr>
        <w:t>TEEM-JDC-001/2026</w:t>
      </w:r>
      <w:r>
        <w:rPr>
          <w:rFonts w:ascii="Arial Narrow" w:eastAsia="Arial Narrow" w:hAnsi="Arial Narrow" w:cs="Arial Narrow"/>
          <w:sz w:val="20"/>
          <w:szCs w:val="20"/>
        </w:rPr>
        <w:t xml:space="preserve">; documento que consta de diez páginas, incluida la presente; misma que se firma de manera electrónica. Doy fe. </w:t>
      </w:r>
    </w:p>
    <w:p w14:paraId="282AF2C6" w14:textId="77777777" w:rsidR="00D625BB" w:rsidRDefault="00000000">
      <w:pPr>
        <w:spacing w:before="280" w:after="280" w:line="240" w:lineRule="auto"/>
        <w:jc w:val="both"/>
        <w:rPr>
          <w:rFonts w:ascii="Arial" w:eastAsia="Arial" w:hAnsi="Arial" w:cs="Arial"/>
          <w:sz w:val="24"/>
          <w:szCs w:val="24"/>
        </w:rPr>
      </w:pPr>
      <w:r>
        <w:rPr>
          <w:rFonts w:ascii="Arial Narrow" w:eastAsia="Arial Narrow" w:hAnsi="Arial Narrow" w:cs="Arial Narrow"/>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D625BB" w:rsidSect="00906045">
      <w:headerReference w:type="default" r:id="rId9"/>
      <w:footerReference w:type="even" r:id="rId10"/>
      <w:footerReference w:type="default" r:id="rId11"/>
      <w:headerReference w:type="first" r:id="rId12"/>
      <w:pgSz w:w="12240" w:h="19298"/>
      <w:pgMar w:top="2002" w:right="1418" w:bottom="1701" w:left="3119"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9CD9A" w14:textId="77777777" w:rsidR="003E542C" w:rsidRDefault="003E542C">
      <w:pPr>
        <w:spacing w:after="0" w:line="240" w:lineRule="auto"/>
      </w:pPr>
      <w:r>
        <w:separator/>
      </w:r>
    </w:p>
  </w:endnote>
  <w:endnote w:type="continuationSeparator" w:id="0">
    <w:p w14:paraId="15864C76" w14:textId="77777777" w:rsidR="003E542C" w:rsidRDefault="003E54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B2246462-5A3F-4D80-A6C8-2C1019EAB705}"/>
    <w:embedBold r:id="rId2" w:fontKey="{3A1E76B9-8F98-4A36-9A31-F9E2013E1BB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3" w:fontKey="{AB5DAF79-4EFC-41AD-8134-355C149290BB}"/>
    <w:embedBold r:id="rId4" w:fontKey="{B623E7CD-A76D-494E-8D8E-C2D1C44FFB48}"/>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Regular r:id="rId5" w:fontKey="{2885ABB5-E885-440F-AF99-977824A153EB}"/>
  </w:font>
  <w:font w:name="Georgia">
    <w:panose1 w:val="02040502050405020303"/>
    <w:charset w:val="00"/>
    <w:family w:val="roman"/>
    <w:pitch w:val="variable"/>
    <w:sig w:usb0="00000287" w:usb1="00000000" w:usb2="00000000" w:usb3="00000000" w:csb0="0000009F" w:csb1="00000000"/>
    <w:embedItalic r:id="rId6" w:fontKey="{E0A80AC2-3C0D-466F-BED1-E9200DA5A0B0}"/>
  </w:font>
  <w:font w:name="Arial Narrow">
    <w:panose1 w:val="020B0606020202030204"/>
    <w:charset w:val="00"/>
    <w:family w:val="swiss"/>
    <w:pitch w:val="variable"/>
    <w:sig w:usb0="00000287" w:usb1="00000800" w:usb2="00000000" w:usb3="00000000" w:csb0="0000009F" w:csb1="00000000"/>
    <w:embedRegular r:id="rId7" w:fontKey="{80BAB300-8AB7-4E72-8D18-5D94E44B82AF}"/>
    <w:embedBold r:id="rId8" w:fontKey="{206D7454-5F2D-4520-9E6E-7BF2F611FA05}"/>
    <w:embedItalic r:id="rId9" w:fontKey="{4F526A8C-38E8-4CCD-9170-B0E547D45AE7}"/>
    <w:embedBoldItalic r:id="rId10" w:fontKey="{55144128-6F83-4EC6-9F91-BD618432D6A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7C3E1" w14:textId="77777777" w:rsidR="00D625BB" w:rsidRDefault="00000000">
    <w:pPr>
      <w:pBdr>
        <w:top w:val="nil"/>
        <w:left w:val="nil"/>
        <w:bottom w:val="nil"/>
        <w:right w:val="nil"/>
        <w:between w:val="nil"/>
      </w:pBdr>
      <w:tabs>
        <w:tab w:val="center" w:pos="4419"/>
        <w:tab w:val="right" w:pos="8838"/>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5F261E9" w14:textId="77777777" w:rsidR="00D625BB" w:rsidRDefault="00D625BB">
    <w:pPr>
      <w:pBdr>
        <w:top w:val="nil"/>
        <w:left w:val="nil"/>
        <w:bottom w:val="nil"/>
        <w:right w:val="nil"/>
        <w:between w:val="nil"/>
      </w:pBdr>
      <w:tabs>
        <w:tab w:val="center" w:pos="4419"/>
        <w:tab w:val="right" w:pos="8838"/>
      </w:tabs>
      <w:spacing w:after="0" w:line="240" w:lineRule="auto"/>
      <w:rPr>
        <w:color w:val="000000"/>
      </w:rPr>
    </w:pPr>
  </w:p>
  <w:p w14:paraId="5EA2F2F2" w14:textId="77777777" w:rsidR="00D625BB" w:rsidRDefault="00D625BB"/>
  <w:p w14:paraId="2C4F1CCF" w14:textId="77777777" w:rsidR="00D625BB" w:rsidRDefault="00D625B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45BB0" w14:textId="77777777" w:rsidR="00D625BB" w:rsidRDefault="00D625BB">
    <w:pPr>
      <w:pBdr>
        <w:top w:val="nil"/>
        <w:left w:val="nil"/>
        <w:bottom w:val="nil"/>
        <w:right w:val="nil"/>
        <w:between w:val="nil"/>
      </w:pBdr>
      <w:tabs>
        <w:tab w:val="center" w:pos="4419"/>
        <w:tab w:val="right" w:pos="8838"/>
      </w:tabs>
      <w:spacing w:after="0" w:line="240" w:lineRule="auto"/>
      <w:jc w:val="center"/>
      <w:rPr>
        <w:rFonts w:ascii="Arial Narrow" w:eastAsia="Arial Narrow" w:hAnsi="Arial Narrow" w:cs="Arial Narrow"/>
        <w:color w:val="000000"/>
        <w:sz w:val="20"/>
        <w:szCs w:val="20"/>
      </w:rPr>
    </w:pPr>
  </w:p>
  <w:p w14:paraId="009E3380" w14:textId="77777777" w:rsidR="00D625BB" w:rsidRDefault="00000000">
    <w:pPr>
      <w:pBdr>
        <w:top w:val="nil"/>
        <w:left w:val="nil"/>
        <w:bottom w:val="nil"/>
        <w:right w:val="nil"/>
        <w:between w:val="nil"/>
      </w:pBdr>
      <w:tabs>
        <w:tab w:val="center" w:pos="4419"/>
        <w:tab w:val="right" w:pos="8838"/>
      </w:tabs>
      <w:spacing w:after="0" w:line="240" w:lineRule="auto"/>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fldChar w:fldCharType="begin"/>
    </w:r>
    <w:r>
      <w:rPr>
        <w:rFonts w:ascii="Arial Narrow" w:eastAsia="Arial Narrow" w:hAnsi="Arial Narrow" w:cs="Arial Narrow"/>
        <w:color w:val="000000"/>
        <w:sz w:val="20"/>
        <w:szCs w:val="20"/>
      </w:rPr>
      <w:instrText>PAGE</w:instrText>
    </w:r>
    <w:r>
      <w:rPr>
        <w:rFonts w:ascii="Arial Narrow" w:eastAsia="Arial Narrow" w:hAnsi="Arial Narrow" w:cs="Arial Narrow"/>
        <w:color w:val="000000"/>
        <w:sz w:val="20"/>
        <w:szCs w:val="20"/>
      </w:rPr>
      <w:fldChar w:fldCharType="separate"/>
    </w:r>
    <w:r w:rsidR="009847DB">
      <w:rPr>
        <w:rFonts w:ascii="Arial Narrow" w:eastAsia="Arial Narrow" w:hAnsi="Arial Narrow" w:cs="Arial Narrow"/>
        <w:noProof/>
        <w:color w:val="000000"/>
        <w:sz w:val="20"/>
        <w:szCs w:val="20"/>
      </w:rPr>
      <w:t>2</w:t>
    </w:r>
    <w:r>
      <w:rPr>
        <w:rFonts w:ascii="Arial Narrow" w:eastAsia="Arial Narrow" w:hAnsi="Arial Narrow" w:cs="Arial Narrow"/>
        <w:color w:val="000000"/>
        <w:sz w:val="20"/>
        <w:szCs w:val="20"/>
      </w:rPr>
      <w:fldChar w:fldCharType="end"/>
    </w:r>
  </w:p>
  <w:p w14:paraId="502A70B1" w14:textId="77777777" w:rsidR="00D625BB" w:rsidRDefault="00D625BB">
    <w:pPr>
      <w:pBdr>
        <w:top w:val="nil"/>
        <w:left w:val="nil"/>
        <w:bottom w:val="nil"/>
        <w:right w:val="nil"/>
        <w:between w:val="nil"/>
      </w:pBdr>
      <w:tabs>
        <w:tab w:val="center" w:pos="4419"/>
        <w:tab w:val="right" w:pos="8838"/>
      </w:tabs>
      <w:spacing w:after="0" w:line="240" w:lineRule="auto"/>
      <w:rPr>
        <w:color w:val="000000"/>
      </w:rPr>
    </w:pPr>
  </w:p>
  <w:p w14:paraId="0732232D" w14:textId="77777777" w:rsidR="00D625BB" w:rsidRDefault="00D625BB"/>
  <w:p w14:paraId="297C315E" w14:textId="77777777" w:rsidR="00D625BB" w:rsidRDefault="00D625B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E7DE8" w14:textId="77777777" w:rsidR="003E542C" w:rsidRDefault="003E542C">
      <w:pPr>
        <w:spacing w:after="0" w:line="240" w:lineRule="auto"/>
      </w:pPr>
      <w:r>
        <w:separator/>
      </w:r>
    </w:p>
  </w:footnote>
  <w:footnote w:type="continuationSeparator" w:id="0">
    <w:p w14:paraId="0F56A0A1" w14:textId="77777777" w:rsidR="003E542C" w:rsidRDefault="003E542C">
      <w:pPr>
        <w:spacing w:after="0" w:line="240" w:lineRule="auto"/>
      </w:pPr>
      <w:r>
        <w:continuationSeparator/>
      </w:r>
    </w:p>
  </w:footnote>
  <w:footnote w:id="1">
    <w:p w14:paraId="36CC176A" w14:textId="77777777" w:rsidR="00D625BB" w:rsidRDefault="00000000">
      <w:pPr>
        <w:spacing w:after="0" w:line="240" w:lineRule="auto"/>
        <w:jc w:val="both"/>
        <w:rPr>
          <w:rFonts w:ascii="Arial Narrow" w:eastAsia="Arial Narrow" w:hAnsi="Arial Narrow" w:cs="Arial Narrow"/>
          <w:sz w:val="20"/>
          <w:szCs w:val="20"/>
        </w:rPr>
      </w:pPr>
      <w:r>
        <w:rPr>
          <w:vertAlign w:val="superscript"/>
        </w:rPr>
        <w:footnoteRef/>
      </w:r>
      <w:r>
        <w:rPr>
          <w:rFonts w:ascii="Arial Narrow" w:eastAsia="Arial Narrow" w:hAnsi="Arial Narrow" w:cs="Arial Narrow"/>
          <w:sz w:val="20"/>
          <w:szCs w:val="20"/>
        </w:rPr>
        <w:t xml:space="preserve"> Las fechas que se citen corresponden al dos mil veintiséis, salvo señalamiento expreso.</w:t>
      </w:r>
    </w:p>
  </w:footnote>
  <w:footnote w:id="2">
    <w:p w14:paraId="4EAB1BC5" w14:textId="77777777" w:rsidR="00D625BB"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20 a 22 del incidente.</w:t>
      </w:r>
    </w:p>
  </w:footnote>
  <w:footnote w:id="3">
    <w:p w14:paraId="155526D7" w14:textId="77777777" w:rsidR="00D625BB"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 23 del incidente.</w:t>
      </w:r>
    </w:p>
  </w:footnote>
  <w:footnote w:id="4">
    <w:p w14:paraId="7EBFCA83" w14:textId="77777777" w:rsidR="00D625BB"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25 y 26 del incidente. </w:t>
      </w:r>
    </w:p>
  </w:footnote>
  <w:footnote w:id="5">
    <w:p w14:paraId="1EC8FD93" w14:textId="77777777" w:rsidR="00D625BB"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42 a 45 del incidente.</w:t>
      </w:r>
    </w:p>
  </w:footnote>
  <w:footnote w:id="6">
    <w:p w14:paraId="1FB4BF27" w14:textId="77777777" w:rsidR="00D625BB"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Acuerdo que le fue notificado el tres siguiente -fojas 46 a 47, 60 y 61 del incidente-.</w:t>
      </w:r>
    </w:p>
  </w:footnote>
  <w:footnote w:id="7">
    <w:p w14:paraId="74161155" w14:textId="77777777" w:rsidR="00D625BB"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91 y 92 del incidente.</w:t>
      </w:r>
    </w:p>
  </w:footnote>
  <w:footnote w:id="8">
    <w:p w14:paraId="0DA3E5BD" w14:textId="77777777" w:rsidR="00D625BB"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24/2001, emitida por la </w:t>
      </w:r>
      <w:r>
        <w:rPr>
          <w:rFonts w:ascii="Arial Narrow" w:eastAsia="Arial Narrow" w:hAnsi="Arial Narrow" w:cs="Arial Narrow"/>
          <w:i/>
          <w:iCs/>
          <w:color w:val="000000"/>
          <w:sz w:val="20"/>
          <w:szCs w:val="20"/>
        </w:rPr>
        <w:t>Sala Superior</w:t>
      </w:r>
      <w:r>
        <w:rPr>
          <w:rFonts w:ascii="Arial Narrow" w:eastAsia="Arial Narrow" w:hAnsi="Arial Narrow" w:cs="Arial Narrow"/>
          <w:color w:val="000000"/>
          <w:sz w:val="20"/>
          <w:szCs w:val="20"/>
        </w:rPr>
        <w:t>, de rubro: </w:t>
      </w:r>
      <w:r>
        <w:rPr>
          <w:rFonts w:ascii="Arial Narrow" w:eastAsia="Arial Narrow" w:hAnsi="Arial Narrow" w:cs="Arial Narrow"/>
          <w:i/>
          <w:iCs/>
          <w:color w:val="000000"/>
          <w:sz w:val="20"/>
          <w:szCs w:val="20"/>
        </w:rPr>
        <w:t>TRIBUNAL ELECTORAL DEL PODER JUDICIAL DE LA FEDERACIÓN. ESTÁ FACULTADO CONSTITUCIONALMENTE PARA EXIGIR EL CUMPLIMIENTO DE TODAS SUS RESOLUCIONES.</w:t>
      </w:r>
    </w:p>
  </w:footnote>
  <w:footnote w:id="9">
    <w:p w14:paraId="63B140E0" w14:textId="77777777" w:rsidR="00D625BB"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Jurisprudencia 15/2011, de la </w:t>
      </w:r>
      <w:r>
        <w:rPr>
          <w:rFonts w:ascii="Arial Narrow" w:eastAsia="Arial Narrow" w:hAnsi="Arial Narrow" w:cs="Arial Narrow"/>
          <w:i/>
          <w:iCs/>
          <w:color w:val="000000"/>
          <w:sz w:val="20"/>
          <w:szCs w:val="20"/>
        </w:rPr>
        <w:t>Sala Superior,</w:t>
      </w:r>
      <w:r>
        <w:rPr>
          <w:rFonts w:ascii="Arial Narrow" w:eastAsia="Arial Narrow" w:hAnsi="Arial Narrow" w:cs="Arial Narrow"/>
          <w:color w:val="000000"/>
          <w:sz w:val="20"/>
          <w:szCs w:val="20"/>
        </w:rPr>
        <w:t xml:space="preserve"> de rubro: </w:t>
      </w:r>
      <w:r>
        <w:rPr>
          <w:rFonts w:ascii="Arial Narrow" w:eastAsia="Arial Narrow" w:hAnsi="Arial Narrow" w:cs="Arial Narrow"/>
          <w:i/>
          <w:iCs/>
          <w:color w:val="000000"/>
          <w:sz w:val="20"/>
          <w:szCs w:val="20"/>
        </w:rPr>
        <w:t>PLAZO PARA PRESENTAR UN MEDIO DE IMPUGNACIÓN, TRATÁNDOSE DE OMISIONES.</w:t>
      </w:r>
    </w:p>
  </w:footnote>
  <w:footnote w:id="10">
    <w:p w14:paraId="2212BA94" w14:textId="77777777" w:rsidR="00D625BB"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Fojas 73 a 87 del incidente.</w:t>
      </w:r>
    </w:p>
  </w:footnote>
  <w:footnote w:id="11">
    <w:p w14:paraId="438C7424" w14:textId="77777777" w:rsidR="00D625BB"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Lo que además es acorde con el criterio de </w:t>
      </w:r>
      <w:r>
        <w:rPr>
          <w:rFonts w:ascii="Arial Narrow" w:eastAsia="Arial Narrow" w:hAnsi="Arial Narrow" w:cs="Arial Narrow"/>
          <w:i/>
          <w:iCs/>
          <w:color w:val="000000"/>
          <w:sz w:val="20"/>
          <w:szCs w:val="20"/>
        </w:rPr>
        <w:t xml:space="preserve">Sala Superior, </w:t>
      </w:r>
      <w:r>
        <w:rPr>
          <w:rFonts w:ascii="Arial Narrow" w:eastAsia="Arial Narrow" w:hAnsi="Arial Narrow" w:cs="Arial Narrow"/>
          <w:color w:val="000000"/>
          <w:sz w:val="20"/>
          <w:szCs w:val="20"/>
        </w:rPr>
        <w:t>respecto al sistema de valoración libre -SUP-JRC-440/2000-.</w:t>
      </w:r>
    </w:p>
  </w:footnote>
  <w:footnote w:id="12">
    <w:p w14:paraId="7E5061A4" w14:textId="77777777" w:rsidR="00D625BB"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Descontando el sábado catorce y domingo quince, al ser días inhábiles.</w:t>
      </w:r>
    </w:p>
  </w:footnote>
  <w:footnote w:id="13">
    <w:p w14:paraId="6CBEC53D" w14:textId="77777777" w:rsidR="00D625BB" w:rsidRDefault="0000000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Entendiéndose por estos, todos a excepción de sábados, domingos y los inhábiles en términos de ley.</w:t>
      </w:r>
    </w:p>
  </w:footnote>
  <w:footnote w:id="14">
    <w:p w14:paraId="6DA1AE51" w14:textId="77777777" w:rsidR="00D625BB" w:rsidRDefault="00000000">
      <w:pPr>
        <w:pBdr>
          <w:top w:val="nil"/>
          <w:left w:val="nil"/>
          <w:bottom w:val="nil"/>
          <w:right w:val="nil"/>
          <w:between w:val="nil"/>
        </w:pBdr>
        <w:spacing w:after="0" w:line="240" w:lineRule="auto"/>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Consultable en: </w:t>
      </w:r>
      <w:hyperlink r:id="rId1">
        <w:r w:rsidR="00D625BB">
          <w:rPr>
            <w:rFonts w:ascii="Arial Narrow" w:eastAsia="Arial Narrow" w:hAnsi="Arial Narrow" w:cs="Arial Narrow"/>
            <w:color w:val="0563C1"/>
            <w:sz w:val="20"/>
            <w:szCs w:val="20"/>
            <w:u w:val="single"/>
          </w:rPr>
          <w:t>https://teemich.org.mx/wp-content/uploads/2026/01/ACUERDO-TEEM-AP-17-2025.pdf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BAC8E" w14:textId="77777777" w:rsidR="00D625BB" w:rsidRDefault="00000000">
    <w:pPr>
      <w:jc w:val="right"/>
      <w:rPr>
        <w:rFonts w:ascii="Arial" w:eastAsia="Arial" w:hAnsi="Arial" w:cs="Arial"/>
        <w:sz w:val="20"/>
        <w:szCs w:val="20"/>
      </w:rPr>
    </w:pPr>
    <w:r>
      <w:rPr>
        <w:noProof/>
      </w:rPr>
      <w:drawing>
        <wp:anchor distT="0" distB="0" distL="114300" distR="114300" simplePos="0" relativeHeight="251658240" behindDoc="0" locked="0" layoutInCell="1" hidden="0" allowOverlap="1" wp14:anchorId="3333A4F4" wp14:editId="5F4BE514">
          <wp:simplePos x="0" y="0"/>
          <wp:positionH relativeFrom="margin">
            <wp:align>left</wp:align>
          </wp:positionH>
          <wp:positionV relativeFrom="margin">
            <wp:posOffset>-811528</wp:posOffset>
          </wp:positionV>
          <wp:extent cx="1704975" cy="552450"/>
          <wp:effectExtent l="0" t="0" r="0" b="0"/>
          <wp:wrapSquare wrapText="bothSides" distT="0" distB="0" distL="114300" distR="114300"/>
          <wp:docPr id="1808212067"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020" t="13239" r="5120" b="9972"/>
                  <a:stretch>
                    <a:fillRect/>
                  </a:stretch>
                </pic:blipFill>
                <pic:spPr>
                  <a:xfrm>
                    <a:off x="0" y="0"/>
                    <a:ext cx="1704975" cy="552450"/>
                  </a:xfrm>
                  <a:prstGeom prst="rect">
                    <a:avLst/>
                  </a:prstGeom>
                  <a:ln/>
                </pic:spPr>
              </pic:pic>
            </a:graphicData>
          </a:graphic>
        </wp:anchor>
      </w:drawing>
    </w:r>
  </w:p>
  <w:p w14:paraId="1C279B08" w14:textId="77777777" w:rsidR="00D625BB" w:rsidRDefault="00000000">
    <w:pPr>
      <w:spacing w:after="0"/>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Incidente de Incumplimiento de Sentencia</w:t>
    </w:r>
  </w:p>
  <w:p w14:paraId="36733469" w14:textId="77777777" w:rsidR="00D625BB" w:rsidRDefault="00000000">
    <w:pPr>
      <w:spacing w:after="0"/>
      <w:jc w:val="right"/>
      <w:rPr>
        <w:rFonts w:ascii="Arial Narrow" w:eastAsia="Arial Narrow" w:hAnsi="Arial Narrow" w:cs="Arial Narrow"/>
        <w:b/>
        <w:bCs/>
        <w:sz w:val="20"/>
        <w:szCs w:val="20"/>
      </w:rPr>
    </w:pPr>
    <w:r>
      <w:rPr>
        <w:rFonts w:ascii="Arial Narrow" w:eastAsia="Arial Narrow" w:hAnsi="Arial Narrow" w:cs="Arial Narrow"/>
        <w:b/>
        <w:bCs/>
        <w:color w:val="000000"/>
        <w:sz w:val="20"/>
        <w:szCs w:val="20"/>
      </w:rPr>
      <w:t>TEEM-JDC-001/202</w:t>
    </w:r>
    <w:r>
      <w:rPr>
        <w:rFonts w:ascii="Arial Narrow" w:eastAsia="Arial Narrow" w:hAnsi="Arial Narrow" w:cs="Arial Narrow"/>
        <w:b/>
        <w:bCs/>
        <w:sz w:val="20"/>
        <w:szCs w:val="20"/>
      </w:rPr>
      <w:t>6</w:t>
    </w:r>
  </w:p>
  <w:p w14:paraId="7CAE63F4" w14:textId="77777777" w:rsidR="00D625BB" w:rsidRDefault="00D625BB">
    <w:pPr>
      <w:spacing w:after="0"/>
      <w:jc w:val="right"/>
      <w:rPr>
        <w:rFonts w:ascii="Arial" w:eastAsia="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C8914" w14:textId="77777777" w:rsidR="00D625BB" w:rsidRDefault="00000000">
    <w:pPr>
      <w:rPr>
        <w:b/>
        <w:bCs/>
        <w:sz w:val="20"/>
        <w:szCs w:val="20"/>
      </w:rPr>
    </w:pPr>
    <w:r>
      <w:rPr>
        <w:noProof/>
      </w:rPr>
      <w:drawing>
        <wp:anchor distT="0" distB="0" distL="114300" distR="114300" simplePos="0" relativeHeight="251659264" behindDoc="0" locked="0" layoutInCell="1" hidden="0" allowOverlap="1" wp14:anchorId="7DA01232" wp14:editId="00E6F184">
          <wp:simplePos x="0" y="0"/>
          <wp:positionH relativeFrom="margin">
            <wp:posOffset>-311777</wp:posOffset>
          </wp:positionH>
          <wp:positionV relativeFrom="margin">
            <wp:posOffset>-976621</wp:posOffset>
          </wp:positionV>
          <wp:extent cx="1897380" cy="719455"/>
          <wp:effectExtent l="0" t="0" r="0" b="0"/>
          <wp:wrapSquare wrapText="bothSides" distT="0" distB="0" distL="114300" distR="114300"/>
          <wp:docPr id="1808212066"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276396D7" w14:textId="77777777" w:rsidR="00D625BB" w:rsidRDefault="00D625BB">
    <w:pPr>
      <w:rPr>
        <w:b/>
        <w:bCs/>
        <w:sz w:val="20"/>
        <w:szCs w:val="20"/>
      </w:rPr>
    </w:pPr>
  </w:p>
  <w:p w14:paraId="329E7007" w14:textId="77777777" w:rsidR="00D625BB" w:rsidRDefault="00D625BB">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5619A"/>
    <w:multiLevelType w:val="multilevel"/>
    <w:tmpl w:val="34FE5366"/>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8F6F33"/>
    <w:multiLevelType w:val="multilevel"/>
    <w:tmpl w:val="7A5CA92C"/>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C8B1DE1"/>
    <w:multiLevelType w:val="multilevel"/>
    <w:tmpl w:val="DC5C353A"/>
    <w:lvl w:ilvl="0">
      <w:start w:val="1"/>
      <w:numFmt w:val="bullet"/>
      <w:lvlText w:val="●"/>
      <w:lvlJc w:val="left"/>
      <w:pPr>
        <w:ind w:left="720" w:hanging="360"/>
      </w:pPr>
      <w:rPr>
        <w:rFonts w:ascii="Noto Sans Symbols" w:eastAsia="Noto Sans Symbols" w:hAnsi="Noto Sans Symbols" w:cs="Noto Sans Symbols"/>
        <w:b/>
        <w:bCs/>
      </w:rPr>
    </w:lvl>
    <w:lvl w:ilvl="1">
      <w:start w:val="1"/>
      <w:numFmt w:val="decimal"/>
      <w:lvlText w:val="●.%2"/>
      <w:lvlJc w:val="left"/>
      <w:pPr>
        <w:ind w:left="750" w:hanging="390"/>
      </w:pPr>
      <w:rPr>
        <w:b/>
        <w:bCs/>
      </w:rPr>
    </w:lvl>
    <w:lvl w:ilvl="2">
      <w:start w:val="1"/>
      <w:numFmt w:val="decimal"/>
      <w:lvlText w:val="●.%2.%3"/>
      <w:lvlJc w:val="left"/>
      <w:pPr>
        <w:ind w:left="1080" w:hanging="720"/>
      </w:pPr>
      <w:rPr>
        <w:b/>
        <w:bCs/>
      </w:rPr>
    </w:lvl>
    <w:lvl w:ilvl="3">
      <w:start w:val="1"/>
      <w:numFmt w:val="decimal"/>
      <w:lvlText w:val="●.%2.%3.%4"/>
      <w:lvlJc w:val="left"/>
      <w:pPr>
        <w:ind w:left="1440" w:hanging="1080"/>
      </w:pPr>
      <w:rPr>
        <w:b/>
        <w:bCs/>
      </w:rPr>
    </w:lvl>
    <w:lvl w:ilvl="4">
      <w:start w:val="1"/>
      <w:numFmt w:val="decimal"/>
      <w:lvlText w:val="●.%2.%3.%4.%5"/>
      <w:lvlJc w:val="left"/>
      <w:pPr>
        <w:ind w:left="1440" w:hanging="1080"/>
      </w:pPr>
      <w:rPr>
        <w:b/>
        <w:bCs/>
      </w:rPr>
    </w:lvl>
    <w:lvl w:ilvl="5">
      <w:start w:val="1"/>
      <w:numFmt w:val="decimal"/>
      <w:lvlText w:val="●.%2.%3.%4.%5.%6"/>
      <w:lvlJc w:val="left"/>
      <w:pPr>
        <w:ind w:left="1800" w:hanging="1440"/>
      </w:pPr>
      <w:rPr>
        <w:b/>
        <w:bCs/>
      </w:rPr>
    </w:lvl>
    <w:lvl w:ilvl="6">
      <w:start w:val="1"/>
      <w:numFmt w:val="decimal"/>
      <w:lvlText w:val="●.%2.%3.%4.%5.%6.%7"/>
      <w:lvlJc w:val="left"/>
      <w:pPr>
        <w:ind w:left="1800" w:hanging="1440"/>
      </w:pPr>
      <w:rPr>
        <w:b/>
        <w:bCs/>
      </w:rPr>
    </w:lvl>
    <w:lvl w:ilvl="7">
      <w:start w:val="1"/>
      <w:numFmt w:val="decimal"/>
      <w:lvlText w:val="●.%2.%3.%4.%5.%6.%7.%8"/>
      <w:lvlJc w:val="left"/>
      <w:pPr>
        <w:ind w:left="2160" w:hanging="1800"/>
      </w:pPr>
      <w:rPr>
        <w:b/>
        <w:bCs/>
      </w:rPr>
    </w:lvl>
    <w:lvl w:ilvl="8">
      <w:start w:val="1"/>
      <w:numFmt w:val="decimal"/>
      <w:lvlText w:val="●.%2.%3.%4.%5.%6.%7.%8.%9"/>
      <w:lvlJc w:val="left"/>
      <w:pPr>
        <w:ind w:left="2160" w:hanging="1800"/>
      </w:pPr>
      <w:rPr>
        <w:b/>
        <w:bCs/>
      </w:rPr>
    </w:lvl>
  </w:abstractNum>
  <w:abstractNum w:abstractNumId="3" w15:restartNumberingAfterBreak="0">
    <w:nsid w:val="38F24BB7"/>
    <w:multiLevelType w:val="multilevel"/>
    <w:tmpl w:val="F6F470F8"/>
    <w:lvl w:ilvl="0">
      <w:start w:val="1"/>
      <w:numFmt w:val="decimal"/>
      <w:lvlText w:val="%1."/>
      <w:lvlJc w:val="left"/>
      <w:pPr>
        <w:ind w:left="720" w:hanging="360"/>
      </w:pPr>
      <w:rPr>
        <w:b/>
        <w:bCs/>
      </w:rPr>
    </w:lvl>
    <w:lvl w:ilvl="1">
      <w:start w:val="1"/>
      <w:numFmt w:val="decimal"/>
      <w:lvlText w:val="%1.%2."/>
      <w:lvlJc w:val="left"/>
      <w:pPr>
        <w:ind w:left="1440" w:hanging="720"/>
      </w:pPr>
      <w:rPr>
        <w:b/>
        <w:bCs/>
        <w:i w:val="0"/>
        <w:iCs w:val="0"/>
      </w:rPr>
    </w:lvl>
    <w:lvl w:ilvl="2">
      <w:start w:val="1"/>
      <w:numFmt w:val="decimal"/>
      <w:lvlText w:val="%1.%2.%3."/>
      <w:lvlJc w:val="left"/>
      <w:pPr>
        <w:ind w:left="1800" w:hanging="720"/>
      </w:pPr>
      <w:rPr>
        <w:i w:val="0"/>
        <w:iCs w:val="0"/>
      </w:rPr>
    </w:lvl>
    <w:lvl w:ilvl="3">
      <w:start w:val="1"/>
      <w:numFmt w:val="decimal"/>
      <w:lvlText w:val="%1.%2.%3.%4."/>
      <w:lvlJc w:val="left"/>
      <w:pPr>
        <w:ind w:left="2520" w:hanging="1080"/>
      </w:pPr>
      <w:rPr>
        <w:i w:val="0"/>
        <w:iCs w:val="0"/>
      </w:rPr>
    </w:lvl>
    <w:lvl w:ilvl="4">
      <w:start w:val="1"/>
      <w:numFmt w:val="decimal"/>
      <w:lvlText w:val="%1.%2.%3.%4.%5."/>
      <w:lvlJc w:val="left"/>
      <w:pPr>
        <w:ind w:left="2880" w:hanging="1080"/>
      </w:pPr>
      <w:rPr>
        <w:i w:val="0"/>
        <w:iCs w:val="0"/>
      </w:rPr>
    </w:lvl>
    <w:lvl w:ilvl="5">
      <w:start w:val="1"/>
      <w:numFmt w:val="decimal"/>
      <w:lvlText w:val="%1.%2.%3.%4.%5.%6."/>
      <w:lvlJc w:val="left"/>
      <w:pPr>
        <w:ind w:left="3600" w:hanging="1440"/>
      </w:pPr>
      <w:rPr>
        <w:i w:val="0"/>
        <w:iCs w:val="0"/>
      </w:rPr>
    </w:lvl>
    <w:lvl w:ilvl="6">
      <w:start w:val="1"/>
      <w:numFmt w:val="decimal"/>
      <w:lvlText w:val="%1.%2.%3.%4.%5.%6.%7."/>
      <w:lvlJc w:val="left"/>
      <w:pPr>
        <w:ind w:left="3960" w:hanging="1440"/>
      </w:pPr>
      <w:rPr>
        <w:i w:val="0"/>
        <w:iCs w:val="0"/>
      </w:rPr>
    </w:lvl>
    <w:lvl w:ilvl="7">
      <w:start w:val="1"/>
      <w:numFmt w:val="decimal"/>
      <w:lvlText w:val="%1.%2.%3.%4.%5.%6.%7.%8."/>
      <w:lvlJc w:val="left"/>
      <w:pPr>
        <w:ind w:left="4680" w:hanging="1800"/>
      </w:pPr>
      <w:rPr>
        <w:i w:val="0"/>
        <w:iCs w:val="0"/>
      </w:rPr>
    </w:lvl>
    <w:lvl w:ilvl="8">
      <w:start w:val="1"/>
      <w:numFmt w:val="decimal"/>
      <w:lvlText w:val="%1.%2.%3.%4.%5.%6.%7.%8.%9."/>
      <w:lvlJc w:val="left"/>
      <w:pPr>
        <w:ind w:left="5400" w:hanging="2160"/>
      </w:pPr>
      <w:rPr>
        <w:i w:val="0"/>
        <w:iCs w:val="0"/>
      </w:rPr>
    </w:lvl>
  </w:abstractNum>
  <w:num w:numId="1" w16cid:durableId="514542345">
    <w:abstractNumId w:val="3"/>
  </w:num>
  <w:num w:numId="2" w16cid:durableId="552741892">
    <w:abstractNumId w:val="1"/>
  </w:num>
  <w:num w:numId="3" w16cid:durableId="608850191">
    <w:abstractNumId w:val="0"/>
  </w:num>
  <w:num w:numId="4" w16cid:durableId="7951057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25BB"/>
    <w:rsid w:val="00321EFB"/>
    <w:rsid w:val="003E542C"/>
    <w:rsid w:val="00906045"/>
    <w:rsid w:val="009847DB"/>
    <w:rsid w:val="00D625BB"/>
    <w:rsid w:val="00EA686F"/>
    <w:rsid w:val="00EE3C8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86B75"/>
  <w15:docId w15:val="{5F7A370D-A38A-4307-A8D7-8043CC00C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paragraph" w:styleId="Piedepgina">
    <w:name w:val="footer"/>
    <w:basedOn w:val="Normal"/>
    <w:link w:val="PiedepginaCar"/>
    <w:uiPriority w:val="99"/>
    <w:unhideWhenUsed/>
    <w:rsid w:val="00F931D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931D1"/>
  </w:style>
  <w:style w:type="paragraph" w:styleId="Encabezado">
    <w:name w:val="header"/>
    <w:basedOn w:val="Normal"/>
    <w:link w:val="EncabezadoCar"/>
    <w:uiPriority w:val="99"/>
    <w:unhideWhenUsed/>
    <w:rsid w:val="00F931D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931D1"/>
  </w:style>
  <w:style w:type="character" w:styleId="Nmerodepgina">
    <w:name w:val="page number"/>
    <w:basedOn w:val="Fuentedeprrafopredeter"/>
    <w:rsid w:val="00F931D1"/>
  </w:style>
  <w:style w:type="paragraph" w:customStyle="1" w:styleId="Default">
    <w:name w:val="Default"/>
    <w:qFormat/>
    <w:rsid w:val="00F931D1"/>
    <w:pPr>
      <w:autoSpaceDE w:val="0"/>
      <w:autoSpaceDN w:val="0"/>
      <w:adjustRightInd w:val="0"/>
      <w:spacing w:after="0" w:line="240" w:lineRule="auto"/>
    </w:pPr>
    <w:rPr>
      <w:rFonts w:ascii="Arial" w:eastAsia="Times New Roman" w:hAnsi="Arial" w:cs="Arial"/>
      <w:color w:val="000000"/>
      <w:sz w:val="24"/>
      <w:szCs w:val="24"/>
      <w:lang w:eastAsia="es-ES"/>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Car"/>
    <w:basedOn w:val="Normal"/>
    <w:link w:val="TextonotapieCar"/>
    <w:uiPriority w:val="99"/>
    <w:unhideWhenUsed/>
    <w:qFormat/>
    <w:rsid w:val="00F931D1"/>
    <w:pPr>
      <w:spacing w:after="0" w:line="240" w:lineRule="auto"/>
    </w:pPr>
    <w:rPr>
      <w:rFonts w:ascii="Times New Roman" w:eastAsia="Times New Roman" w:hAnsi="Times New Roman" w:cs="Times New Roman"/>
      <w:sz w:val="20"/>
      <w:szCs w:val="20"/>
      <w:lang w:eastAsia="es-ES"/>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F931D1"/>
    <w:rPr>
      <w:rFonts w:ascii="Times New Roman" w:eastAsia="Times New Roman" w:hAnsi="Times New Roman" w:cs="Times New Roman"/>
      <w:kern w:val="0"/>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F931D1"/>
    <w:rPr>
      <w:vertAlign w:val="superscript"/>
    </w:rPr>
  </w:style>
  <w:style w:type="character" w:customStyle="1" w:styleId="Hipervnculo1">
    <w:name w:val="Hipervínculo1"/>
    <w:basedOn w:val="Fuentedeprrafopredeter"/>
    <w:uiPriority w:val="99"/>
    <w:unhideWhenUsed/>
    <w:rsid w:val="00F931D1"/>
    <w:rPr>
      <w:color w:val="0563C1"/>
      <w:u w:val="single"/>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931D1"/>
    <w:pPr>
      <w:spacing w:after="0" w:line="240" w:lineRule="auto"/>
      <w:jc w:val="both"/>
    </w:pPr>
    <w:rPr>
      <w:vertAlign w:val="superscript"/>
    </w:rPr>
  </w:style>
  <w:style w:type="character" w:styleId="Hipervnculo">
    <w:name w:val="Hyperlink"/>
    <w:basedOn w:val="Fuentedeprrafopredeter"/>
    <w:uiPriority w:val="99"/>
    <w:unhideWhenUsed/>
    <w:rsid w:val="00F931D1"/>
    <w:rPr>
      <w:color w:val="0563C1" w:themeColor="hyperlink"/>
      <w:u w:val="single"/>
    </w:rPr>
  </w:style>
  <w:style w:type="paragraph" w:styleId="TDC2">
    <w:name w:val="toc 2"/>
    <w:basedOn w:val="Normal"/>
    <w:next w:val="Normal"/>
    <w:autoRedefine/>
    <w:uiPriority w:val="39"/>
    <w:unhideWhenUsed/>
    <w:rsid w:val="00AE75C0"/>
    <w:pPr>
      <w:spacing w:after="100"/>
      <w:ind w:left="220"/>
    </w:p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201F49"/>
    <w:pPr>
      <w:ind w:left="720"/>
      <w:contextualSpacing/>
    </w:pPr>
  </w:style>
  <w:style w:type="table" w:customStyle="1" w:styleId="a">
    <w:basedOn w:val="TableNormal4"/>
    <w:tblPr>
      <w:tblStyleRowBandSize w:val="1"/>
      <w:tblStyleColBandSize w:val="1"/>
      <w:tblCellMar>
        <w:left w:w="115" w:type="dxa"/>
        <w:right w:w="115" w:type="dxa"/>
      </w:tblCellMar>
    </w:tblPr>
  </w:style>
  <w:style w:type="table" w:customStyle="1" w:styleId="a0">
    <w:basedOn w:val="TableNormal4"/>
    <w:tblPr>
      <w:tblStyleRowBandSize w:val="1"/>
      <w:tblStyleColBandSize w:val="1"/>
      <w:tblCellMar>
        <w:left w:w="115" w:type="dxa"/>
        <w:right w:w="115" w:type="dxa"/>
      </w:tblCellMar>
    </w:tblPr>
  </w:style>
  <w:style w:type="paragraph" w:styleId="TtuloTDC">
    <w:name w:val="TOC Heading"/>
    <w:next w:val="Normal"/>
    <w:uiPriority w:val="39"/>
    <w:unhideWhenUsed/>
    <w:qFormat/>
    <w:rsid w:val="006C096D"/>
    <w:pPr>
      <w:spacing w:before="240" w:after="0"/>
    </w:pPr>
    <w:rPr>
      <w:rFonts w:asciiTheme="majorHAnsi" w:eastAsiaTheme="majorEastAsia" w:hAnsiTheme="majorHAnsi" w:cstheme="majorBidi"/>
      <w:color w:val="2F5496" w:themeColor="accent1" w:themeShade="BF"/>
      <w:sz w:val="32"/>
      <w:szCs w:val="32"/>
      <w:lang w:val="es-MX"/>
    </w:rPr>
  </w:style>
  <w:style w:type="paragraph" w:styleId="TDC1">
    <w:name w:val="toc 1"/>
    <w:basedOn w:val="Normal"/>
    <w:next w:val="Normal"/>
    <w:autoRedefine/>
    <w:uiPriority w:val="39"/>
    <w:unhideWhenUsed/>
    <w:rsid w:val="00B039BA"/>
    <w:pPr>
      <w:tabs>
        <w:tab w:val="left" w:pos="426"/>
        <w:tab w:val="right" w:leader="dot" w:pos="7693"/>
      </w:tabs>
      <w:spacing w:after="0" w:line="240" w:lineRule="auto"/>
      <w:jc w:val="both"/>
    </w:pPr>
  </w:style>
  <w:style w:type="character" w:styleId="Refdecomentario">
    <w:name w:val="annotation reference"/>
    <w:basedOn w:val="Fuentedeprrafopredeter"/>
    <w:uiPriority w:val="99"/>
    <w:semiHidden/>
    <w:unhideWhenUsed/>
    <w:rsid w:val="00F86C36"/>
    <w:rPr>
      <w:sz w:val="16"/>
      <w:szCs w:val="16"/>
    </w:rPr>
  </w:style>
  <w:style w:type="paragraph" w:styleId="Textocomentario">
    <w:name w:val="annotation text"/>
    <w:basedOn w:val="Normal"/>
    <w:link w:val="TextocomentarioCar"/>
    <w:uiPriority w:val="99"/>
    <w:unhideWhenUsed/>
    <w:rsid w:val="00F86C36"/>
    <w:pPr>
      <w:spacing w:line="240" w:lineRule="auto"/>
    </w:pPr>
    <w:rPr>
      <w:sz w:val="20"/>
      <w:szCs w:val="20"/>
    </w:rPr>
  </w:style>
  <w:style w:type="character" w:customStyle="1" w:styleId="TextocomentarioCar">
    <w:name w:val="Texto comentario Car"/>
    <w:basedOn w:val="Fuentedeprrafopredeter"/>
    <w:link w:val="Textocomentario"/>
    <w:uiPriority w:val="99"/>
    <w:rsid w:val="00F86C36"/>
    <w:rPr>
      <w:sz w:val="20"/>
      <w:szCs w:val="20"/>
    </w:rPr>
  </w:style>
  <w:style w:type="paragraph" w:styleId="Asuntodelcomentario">
    <w:name w:val="annotation subject"/>
    <w:basedOn w:val="Textocomentario"/>
    <w:next w:val="Textocomentario"/>
    <w:link w:val="AsuntodelcomentarioCar"/>
    <w:uiPriority w:val="99"/>
    <w:semiHidden/>
    <w:unhideWhenUsed/>
    <w:rsid w:val="00F86C36"/>
    <w:rPr>
      <w:b/>
      <w:bCs/>
    </w:rPr>
  </w:style>
  <w:style w:type="character" w:customStyle="1" w:styleId="AsuntodelcomentarioCar">
    <w:name w:val="Asunto del comentario Car"/>
    <w:basedOn w:val="TextocomentarioCar"/>
    <w:link w:val="Asuntodelcomentario"/>
    <w:uiPriority w:val="99"/>
    <w:semiHidden/>
    <w:rsid w:val="00F86C36"/>
    <w:rPr>
      <w:b/>
      <w:bCs/>
      <w:sz w:val="20"/>
      <w:szCs w:val="20"/>
    </w:rPr>
  </w:style>
  <w:style w:type="table" w:customStyle="1" w:styleId="a1">
    <w:basedOn w:val="TableNormal4"/>
    <w:tblPr>
      <w:tblStyleRowBandSize w:val="1"/>
      <w:tblStyleColBandSize w:val="1"/>
      <w:tblCellMar>
        <w:left w:w="115" w:type="dxa"/>
        <w:right w:w="115" w:type="dxa"/>
      </w:tblCellMar>
    </w:tblPr>
  </w:style>
  <w:style w:type="table" w:customStyle="1" w:styleId="a2">
    <w:basedOn w:val="TableNormal4"/>
    <w:tblPr>
      <w:tblStyleRowBandSize w:val="1"/>
      <w:tblStyleColBandSize w:val="1"/>
      <w:tblCellMar>
        <w:left w:w="115" w:type="dxa"/>
        <w:right w:w="115" w:type="dxa"/>
      </w:tblCellMar>
    </w:tblPr>
  </w:style>
  <w:style w:type="table" w:customStyle="1" w:styleId="a3">
    <w:basedOn w:val="TableNormal4"/>
    <w:tblPr>
      <w:tblStyleRowBandSize w:val="1"/>
      <w:tblStyleColBandSize w:val="1"/>
      <w:tblCellMar>
        <w:left w:w="115" w:type="dxa"/>
        <w:right w:w="115" w:type="dxa"/>
      </w:tblCellMar>
    </w:tblPr>
  </w:style>
  <w:style w:type="table" w:customStyle="1" w:styleId="a4">
    <w:basedOn w:val="TableNormal4"/>
    <w:tblPr>
      <w:tblStyleRowBandSize w:val="1"/>
      <w:tblStyleColBandSize w:val="1"/>
      <w:tblCellMar>
        <w:left w:w="115" w:type="dxa"/>
        <w:right w:w="115" w:type="dxa"/>
      </w:tblCellMar>
    </w:tblPr>
  </w:style>
  <w:style w:type="table" w:customStyle="1" w:styleId="a5">
    <w:basedOn w:val="TableNormal4"/>
    <w:tblPr>
      <w:tblStyleRowBandSize w:val="1"/>
      <w:tblStyleColBandSize w:val="1"/>
      <w:tblCellMar>
        <w:left w:w="115" w:type="dxa"/>
        <w:right w:w="115" w:type="dxa"/>
      </w:tblCellMar>
    </w:tblPr>
  </w:style>
  <w:style w:type="table" w:customStyle="1" w:styleId="a6">
    <w:basedOn w:val="TableNormal4"/>
    <w:tblPr>
      <w:tblStyleRowBandSize w:val="1"/>
      <w:tblStyleColBandSize w:val="1"/>
      <w:tblCellMar>
        <w:left w:w="115" w:type="dxa"/>
        <w:right w:w="115" w:type="dxa"/>
      </w:tblCellMar>
    </w:tblPr>
  </w:style>
  <w:style w:type="character" w:styleId="Mencinsinresolver">
    <w:name w:val="Unresolved Mention"/>
    <w:basedOn w:val="Fuentedeprrafopredeter"/>
    <w:uiPriority w:val="99"/>
    <w:semiHidden/>
    <w:unhideWhenUsed/>
    <w:rsid w:val="004F05F1"/>
    <w:rPr>
      <w:color w:val="605E5C"/>
      <w:shd w:val="clear" w:color="auto" w:fill="E1DFDD"/>
    </w:rPr>
  </w:style>
  <w:style w:type="character" w:styleId="Hipervnculovisitado">
    <w:name w:val="FollowedHyperlink"/>
    <w:basedOn w:val="Fuentedeprrafopredeter"/>
    <w:uiPriority w:val="99"/>
    <w:semiHidden/>
    <w:unhideWhenUsed/>
    <w:rsid w:val="00E40777"/>
    <w:rPr>
      <w:color w:val="954F72" w:themeColor="followedHyperlink"/>
      <w:u w:val="single"/>
    </w:rPr>
  </w:style>
  <w:style w:type="paragraph" w:styleId="NormalWeb">
    <w:name w:val="Normal (Web)"/>
    <w:basedOn w:val="Normal"/>
    <w:uiPriority w:val="99"/>
    <w:unhideWhenUsed/>
    <w:rsid w:val="002C251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2C2517"/>
    <w:rPr>
      <w:b/>
      <w:bCs/>
    </w:rPr>
  </w:style>
  <w:style w:type="table" w:styleId="Tablaconcuadrcula">
    <w:name w:val="Table Grid"/>
    <w:basedOn w:val="Tablanormal"/>
    <w:uiPriority w:val="39"/>
    <w:rsid w:val="002D38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locked/>
    <w:rsid w:val="00A5727C"/>
    <w:rPr>
      <w:rFonts w:ascii="Arial" w:hAnsi="Arial" w:cs="Arial"/>
      <w:sz w:val="28"/>
      <w:szCs w:val="28"/>
    </w:rPr>
  </w:style>
  <w:style w:type="paragraph" w:styleId="Sinespaciado">
    <w:name w:val="No Spacing"/>
    <w:aliases w:val="RESOLUTIVOS"/>
    <w:link w:val="SinespaciadoCar"/>
    <w:uiPriority w:val="1"/>
    <w:qFormat/>
    <w:rsid w:val="00A5727C"/>
    <w:pPr>
      <w:spacing w:after="0" w:line="360" w:lineRule="auto"/>
      <w:jc w:val="both"/>
    </w:pPr>
    <w:rPr>
      <w:rFonts w:ascii="Arial" w:hAnsi="Arial" w:cs="Arial"/>
      <w:sz w:val="28"/>
      <w:szCs w:val="28"/>
    </w:rPr>
  </w:style>
  <w:style w:type="table" w:styleId="Tablaconcuadrcula1clara-nfasis1">
    <w:name w:val="Grid Table 1 Light Accent 1"/>
    <w:basedOn w:val="Tablanormal"/>
    <w:uiPriority w:val="46"/>
    <w:rsid w:val="006C3B35"/>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8A42E9"/>
  </w:style>
  <w:style w:type="table" w:customStyle="1" w:styleId="a7">
    <w:basedOn w:val="TableNormal1"/>
    <w:pPr>
      <w:spacing w:after="0" w:line="240" w:lineRule="auto"/>
    </w:pPr>
    <w:tblPr>
      <w:tblStyleRowBandSize w:val="1"/>
      <w:tblStyleColBandSize w:val="1"/>
      <w:tblCellMar>
        <w:left w:w="108" w:type="dxa"/>
        <w:right w:w="108" w:type="dxa"/>
      </w:tblCellMar>
    </w:tblPr>
    <w:tblStylePr w:type="firstRow">
      <w:rPr>
        <w:b/>
        <w:bCs/>
      </w:rPr>
      <w:tblPr/>
      <w:tcPr>
        <w:tcBorders>
          <w:bottom w:val="single" w:sz="12"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style>
  <w:style w:type="table" w:customStyle="1" w:styleId="a8">
    <w:basedOn w:val="TableNormal1"/>
    <w:tblPr>
      <w:tblStyleRowBandSize w:val="1"/>
      <w:tblStyleColBandSize w:val="1"/>
      <w:tblCellMar>
        <w:left w:w="115" w:type="dxa"/>
        <w:right w:w="115"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9">
    <w:basedOn w:val="TableNormal0"/>
    <w:pPr>
      <w:spacing w:after="0" w:line="240" w:lineRule="auto"/>
    </w:pPr>
    <w:tblPr>
      <w:tblStyleRowBandSize w:val="1"/>
      <w:tblStyleColBandSize w:val="1"/>
      <w:tblCellMar>
        <w:top w:w="0" w:type="dxa"/>
        <w:left w:w="108" w:type="dxa"/>
        <w:bottom w:w="0" w:type="dxa"/>
        <w:right w:w="108" w:type="dxa"/>
      </w:tblCellMar>
    </w:tblPr>
    <w:tblStylePr w:type="firstRow">
      <w:rPr>
        <w:b/>
        <w:bCs/>
      </w:rPr>
      <w:tblPr/>
      <w:tcPr>
        <w:tcBorders>
          <w:bottom w:val="single" w:sz="12" w:space="0" w:color="8EAADB"/>
        </w:tcBorders>
      </w:tcPr>
    </w:tblStylePr>
    <w:tblStylePr w:type="lastRow">
      <w:rPr>
        <w:b/>
        <w:bCs/>
      </w:rPr>
      <w:tblPr/>
      <w:tcPr>
        <w:tcBorders>
          <w:top w:val="single" w:sz="4" w:space="0" w:color="8EAADB"/>
        </w:tcBorders>
      </w:tcPr>
    </w:tblStylePr>
    <w:tblStylePr w:type="firstCol">
      <w:rPr>
        <w:b/>
        <w:bCs/>
      </w:rPr>
    </w:tblStylePr>
    <w:tblStylePr w:type="lastCol">
      <w:rPr>
        <w:b/>
        <w:bCs/>
      </w:rPr>
    </w:tblStylePr>
  </w:style>
  <w:style w:type="table" w:customStyle="1" w:styleId="aa">
    <w:basedOn w:val="TableNormal0"/>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teemich.org.mx/wp-content/uploads/2026/01/ACUERDO-TEEM-AP-17-2025.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w9UTfPJK/bpeMro1gjXsmHMCPQ==">CgMxLjAyCGguZ2pkZ3hzMg5oLnNmb2d0d3R0MW9seTIOaC5seWZidTdsY3podnoyDmguMmZmdXgxbDRrMHJ4MgloLjJldDkycDAyDmguN2E1eTc5cjY2aXRjMg1oLnM0eTF4amJ5OWw5Mg5oLmdwd3RkNDQ1OGtiYTIOaC5obnRqeXJ2cTZjZGgyDmguc245eTVxY3JiaTNxMg5oLmkwZmt3dWU3ZThzaTIOaC5taGZ2Zng3ZjY2cGsyDmguajQ4NXozbnRpcG5uMg5oLnFycHJnNGxiOW05ZjIIaC5sbnhiejk4AHIhMXNIYVRXdFhfWmhndkhib2lzNUFOX01XNXBnR3pNa3g3</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8BD4CA2-B434-4596-B0AB-02B13972E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2526</Words>
  <Characters>14000</Characters>
  <Application>Microsoft Office Word</Application>
  <DocSecurity>0</DocSecurity>
  <Lines>333</Lines>
  <Paragraphs>137</Paragraphs>
  <ScaleCrop>false</ScaleCrop>
  <Company/>
  <LinksUpToDate>false</LinksUpToDate>
  <CharactersWithSpaces>16389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kamila montaño</dc:creator>
  <cp:lastModifiedBy>VICTOR HUGO ARROYO SANDOVAL</cp:lastModifiedBy>
  <cp:revision>3</cp:revision>
  <dcterms:created xsi:type="dcterms:W3CDTF">2026-03-12T20:27:00Z</dcterms:created>
  <dcterms:modified xsi:type="dcterms:W3CDTF">2026-03-13T00:21:00Z</dcterms:modified>
</cp:coreProperties>
</file>