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40669" w14:textId="77777777" w:rsidR="00686E6F" w:rsidRDefault="00686E6F">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2"/>
        <w:tblpPr w:leftFromText="141" w:rightFromText="141" w:vertAnchor="page" w:horzAnchor="margin" w:tblpXSpec="right" w:tblpY="1763"/>
        <w:tblW w:w="4135" w:type="dxa"/>
        <w:tblInd w:w="0" w:type="dxa"/>
        <w:tblLayout w:type="fixed"/>
        <w:tblLook w:val="0000" w:firstRow="0" w:lastRow="0" w:firstColumn="0" w:lastColumn="0" w:noHBand="0" w:noVBand="0"/>
      </w:tblPr>
      <w:tblGrid>
        <w:gridCol w:w="4135"/>
      </w:tblGrid>
      <w:tr w:rsidR="00686E6F" w14:paraId="5E8810DF" w14:textId="77777777">
        <w:trPr>
          <w:trHeight w:val="898"/>
        </w:trPr>
        <w:tc>
          <w:tcPr>
            <w:tcW w:w="4135" w:type="dxa"/>
          </w:tcPr>
          <w:p w14:paraId="35C6CFA3" w14:textId="77777777" w:rsidR="00686E6F" w:rsidRDefault="00000000">
            <w:pPr>
              <w:spacing w:before="240" w:after="240"/>
              <w:jc w:val="center"/>
              <w:rPr>
                <w:rFonts w:ascii="Arial" w:eastAsia="Arial" w:hAnsi="Arial" w:cs="Arial"/>
                <w:b/>
                <w:bCs/>
                <w:sz w:val="23"/>
                <w:szCs w:val="23"/>
              </w:rPr>
            </w:pPr>
            <w:bookmarkStart w:id="0" w:name="_heading=h.g89ccdi8nhq7" w:colFirst="0" w:colLast="0"/>
            <w:bookmarkEnd w:id="0"/>
            <w:r>
              <w:rPr>
                <w:rFonts w:ascii="Arial" w:eastAsia="Arial" w:hAnsi="Arial" w:cs="Arial"/>
                <w:b/>
                <w:bCs/>
                <w:sz w:val="23"/>
                <w:szCs w:val="23"/>
              </w:rPr>
              <w:t>INCIDENTE DE INCUMPLIMIENTO           DE SENTENCIA</w:t>
            </w:r>
          </w:p>
          <w:p w14:paraId="27186826" w14:textId="77777777" w:rsidR="00686E6F" w:rsidRDefault="00000000">
            <w:pPr>
              <w:spacing w:before="240" w:after="240"/>
              <w:jc w:val="center"/>
              <w:rPr>
                <w:rFonts w:ascii="Arial" w:eastAsia="Arial" w:hAnsi="Arial" w:cs="Arial"/>
                <w:sz w:val="23"/>
                <w:szCs w:val="23"/>
              </w:rPr>
            </w:pPr>
            <w:r>
              <w:rPr>
                <w:rFonts w:ascii="Arial" w:eastAsia="Arial" w:hAnsi="Arial" w:cs="Arial"/>
                <w:b/>
                <w:bCs/>
                <w:sz w:val="23"/>
                <w:szCs w:val="23"/>
              </w:rPr>
              <w:t>JUICIO PARA LA PROTECCIÓN DE LOS DERECHOS POLÍTICO-ELECTORALES DEL CIUDADANO</w:t>
            </w:r>
          </w:p>
          <w:p w14:paraId="6E603BAA" w14:textId="77777777" w:rsidR="00686E6F" w:rsidRDefault="00000000">
            <w:pPr>
              <w:spacing w:before="240" w:after="240"/>
              <w:jc w:val="both"/>
              <w:rPr>
                <w:rFonts w:ascii="Arial" w:eastAsia="Arial" w:hAnsi="Arial" w:cs="Arial"/>
                <w:sz w:val="23"/>
                <w:szCs w:val="23"/>
              </w:rPr>
            </w:pPr>
            <w:r>
              <w:rPr>
                <w:rFonts w:ascii="Arial" w:eastAsia="Arial" w:hAnsi="Arial" w:cs="Arial"/>
                <w:b/>
                <w:bCs/>
                <w:sz w:val="23"/>
                <w:szCs w:val="23"/>
              </w:rPr>
              <w:t xml:space="preserve">EXPEDIENTE: </w:t>
            </w:r>
            <w:r>
              <w:rPr>
                <w:rFonts w:ascii="Arial" w:eastAsia="Arial" w:hAnsi="Arial" w:cs="Arial"/>
                <w:sz w:val="23"/>
                <w:szCs w:val="23"/>
              </w:rPr>
              <w:t>TEEM-JDC-201/2025</w:t>
            </w:r>
          </w:p>
          <w:p w14:paraId="7CDDDBFF" w14:textId="77777777" w:rsidR="00686E6F" w:rsidRDefault="00000000">
            <w:pPr>
              <w:spacing w:before="240" w:after="240"/>
              <w:jc w:val="both"/>
              <w:rPr>
                <w:rFonts w:ascii="Arial" w:eastAsia="Arial" w:hAnsi="Arial" w:cs="Arial"/>
                <w:sz w:val="23"/>
                <w:szCs w:val="23"/>
              </w:rPr>
            </w:pPr>
            <w:r>
              <w:rPr>
                <w:rFonts w:ascii="Arial" w:eastAsia="Arial" w:hAnsi="Arial" w:cs="Arial"/>
                <w:b/>
                <w:bCs/>
                <w:sz w:val="23"/>
                <w:szCs w:val="23"/>
              </w:rPr>
              <w:t xml:space="preserve">INCIDENTISTA: </w:t>
            </w:r>
            <w:r>
              <w:rPr>
                <w:rFonts w:ascii="Arial" w:eastAsia="Arial" w:hAnsi="Arial" w:cs="Arial"/>
                <w:sz w:val="23"/>
                <w:szCs w:val="23"/>
              </w:rPr>
              <w:t>JUAN CARLOS BARRAGÁN VÉLEZ</w:t>
            </w:r>
          </w:p>
          <w:p w14:paraId="664DAD8F" w14:textId="77777777" w:rsidR="00686E6F" w:rsidRDefault="00000000">
            <w:pPr>
              <w:pBdr>
                <w:top w:val="nil"/>
                <w:left w:val="nil"/>
                <w:bottom w:val="nil"/>
                <w:right w:val="nil"/>
                <w:between w:val="nil"/>
              </w:pBdr>
              <w:spacing w:before="240" w:after="240"/>
              <w:jc w:val="both"/>
              <w:rPr>
                <w:rFonts w:ascii="Arial" w:eastAsia="Arial" w:hAnsi="Arial" w:cs="Arial"/>
                <w:color w:val="000000"/>
                <w:sz w:val="23"/>
                <w:szCs w:val="23"/>
              </w:rPr>
            </w:pPr>
            <w:r>
              <w:rPr>
                <w:rFonts w:ascii="Arial" w:eastAsia="Arial" w:hAnsi="Arial" w:cs="Arial"/>
                <w:b/>
                <w:bCs/>
                <w:color w:val="000000"/>
                <w:sz w:val="23"/>
                <w:szCs w:val="23"/>
              </w:rPr>
              <w:t xml:space="preserve">AUTORIDAD INCIDENTADA: </w:t>
            </w:r>
            <w:r>
              <w:rPr>
                <w:rFonts w:ascii="Arial" w:eastAsia="Arial" w:hAnsi="Arial" w:cs="Arial"/>
                <w:color w:val="000000"/>
                <w:sz w:val="23"/>
                <w:szCs w:val="23"/>
              </w:rPr>
              <w:t>SECRETARIO DE FINANZAS Y ADMINISTRACIÓN DEL CONGRESO DEL ESTADO DE MICHOACÁN</w:t>
            </w:r>
          </w:p>
          <w:p w14:paraId="4D0844C1" w14:textId="77777777" w:rsidR="00686E6F" w:rsidRDefault="00000000">
            <w:pPr>
              <w:pBdr>
                <w:top w:val="nil"/>
                <w:left w:val="nil"/>
                <w:bottom w:val="nil"/>
                <w:right w:val="nil"/>
                <w:between w:val="nil"/>
              </w:pBdr>
              <w:spacing w:before="240" w:after="240"/>
              <w:jc w:val="both"/>
              <w:rPr>
                <w:rFonts w:ascii="Arial" w:eastAsia="Arial" w:hAnsi="Arial" w:cs="Arial"/>
                <w:color w:val="000000"/>
                <w:sz w:val="23"/>
                <w:szCs w:val="23"/>
              </w:rPr>
            </w:pPr>
            <w:r>
              <w:rPr>
                <w:rFonts w:ascii="Arial" w:eastAsia="Arial" w:hAnsi="Arial" w:cs="Arial"/>
                <w:b/>
                <w:bCs/>
                <w:color w:val="000000"/>
                <w:sz w:val="23"/>
                <w:szCs w:val="23"/>
              </w:rPr>
              <w:t>MAGISTRADO PONENTE:</w:t>
            </w:r>
            <w:r>
              <w:rPr>
                <w:rFonts w:ascii="Arial" w:eastAsia="Arial" w:hAnsi="Arial" w:cs="Arial"/>
                <w:color w:val="000000"/>
                <w:sz w:val="23"/>
                <w:szCs w:val="23"/>
              </w:rPr>
              <w:t xml:space="preserve"> ADRIÁN HERNÁNDEZ PINEDO</w:t>
            </w:r>
          </w:p>
          <w:p w14:paraId="514278FA" w14:textId="77777777" w:rsidR="00686E6F" w:rsidRDefault="00000000">
            <w:pPr>
              <w:pBdr>
                <w:top w:val="nil"/>
                <w:left w:val="nil"/>
                <w:bottom w:val="nil"/>
                <w:right w:val="nil"/>
                <w:between w:val="nil"/>
              </w:pBdr>
              <w:spacing w:after="240"/>
              <w:jc w:val="both"/>
              <w:rPr>
                <w:rFonts w:ascii="Arial" w:eastAsia="Arial" w:hAnsi="Arial" w:cs="Arial"/>
                <w:color w:val="000000"/>
                <w:sz w:val="23"/>
                <w:szCs w:val="23"/>
              </w:rPr>
            </w:pPr>
            <w:r>
              <w:rPr>
                <w:rFonts w:ascii="Arial" w:eastAsia="Arial" w:hAnsi="Arial" w:cs="Arial"/>
                <w:b/>
                <w:bCs/>
                <w:color w:val="000000"/>
                <w:sz w:val="23"/>
                <w:szCs w:val="23"/>
              </w:rPr>
              <w:t>SECRETARIO INSTRUCTOR Y PROYECTISTA:</w:t>
            </w:r>
            <w:r>
              <w:rPr>
                <w:rFonts w:ascii="Arial" w:eastAsia="Arial" w:hAnsi="Arial" w:cs="Arial"/>
                <w:color w:val="000000"/>
                <w:sz w:val="23"/>
                <w:szCs w:val="23"/>
              </w:rPr>
              <w:t xml:space="preserve"> ADÁN ALVARADO DOMÍNGUEZ</w:t>
            </w:r>
          </w:p>
          <w:p w14:paraId="7E27F8FD" w14:textId="77777777" w:rsidR="00686E6F" w:rsidRDefault="00000000">
            <w:pPr>
              <w:pBdr>
                <w:top w:val="nil"/>
                <w:left w:val="nil"/>
                <w:bottom w:val="nil"/>
                <w:right w:val="nil"/>
                <w:between w:val="nil"/>
              </w:pBdr>
              <w:spacing w:before="240" w:after="240"/>
              <w:jc w:val="both"/>
              <w:rPr>
                <w:rFonts w:ascii="Arial" w:eastAsia="Arial" w:hAnsi="Arial" w:cs="Arial"/>
                <w:color w:val="000000"/>
                <w:sz w:val="23"/>
                <w:szCs w:val="23"/>
              </w:rPr>
            </w:pPr>
            <w:r>
              <w:rPr>
                <w:rFonts w:ascii="Arial" w:eastAsia="Arial" w:hAnsi="Arial" w:cs="Arial"/>
                <w:b/>
                <w:bCs/>
                <w:color w:val="000000"/>
                <w:sz w:val="23"/>
                <w:szCs w:val="23"/>
              </w:rPr>
              <w:t>COLABORÓ:</w:t>
            </w:r>
            <w:r>
              <w:rPr>
                <w:rFonts w:ascii="Arial" w:eastAsia="Arial" w:hAnsi="Arial" w:cs="Arial"/>
                <w:color w:val="000000"/>
                <w:sz w:val="23"/>
                <w:szCs w:val="23"/>
              </w:rPr>
              <w:t xml:space="preserve"> IVÁN MARTÍNEZ TEJEDA</w:t>
            </w:r>
          </w:p>
        </w:tc>
      </w:tr>
    </w:tbl>
    <w:p w14:paraId="24FC2ABB" w14:textId="77777777" w:rsidR="00686E6F" w:rsidRDefault="00686E6F">
      <w:pPr>
        <w:spacing w:before="240"/>
        <w:jc w:val="both"/>
        <w:rPr>
          <w:rFonts w:ascii="Arial" w:eastAsia="Arial" w:hAnsi="Arial" w:cs="Arial"/>
          <w:sz w:val="26"/>
          <w:szCs w:val="26"/>
        </w:rPr>
      </w:pPr>
    </w:p>
    <w:p w14:paraId="79001B1A" w14:textId="77777777" w:rsidR="00686E6F" w:rsidRDefault="00686E6F">
      <w:pPr>
        <w:jc w:val="both"/>
        <w:rPr>
          <w:rFonts w:ascii="Arial" w:eastAsia="Arial" w:hAnsi="Arial" w:cs="Arial"/>
          <w:sz w:val="26"/>
          <w:szCs w:val="26"/>
        </w:rPr>
      </w:pPr>
    </w:p>
    <w:p w14:paraId="141CA61D" w14:textId="77777777" w:rsidR="00686E6F" w:rsidRDefault="00686E6F">
      <w:pPr>
        <w:spacing w:line="360" w:lineRule="auto"/>
        <w:jc w:val="right"/>
        <w:rPr>
          <w:rFonts w:ascii="Arial" w:eastAsia="Arial" w:hAnsi="Arial" w:cs="Arial"/>
          <w:sz w:val="26"/>
          <w:szCs w:val="26"/>
        </w:rPr>
      </w:pPr>
    </w:p>
    <w:p w14:paraId="2A1D6F24" w14:textId="77777777" w:rsidR="00686E6F" w:rsidRDefault="00686E6F">
      <w:pPr>
        <w:spacing w:line="360" w:lineRule="auto"/>
        <w:jc w:val="right"/>
        <w:rPr>
          <w:rFonts w:ascii="Arial" w:eastAsia="Arial" w:hAnsi="Arial" w:cs="Arial"/>
          <w:sz w:val="26"/>
          <w:szCs w:val="26"/>
        </w:rPr>
      </w:pPr>
    </w:p>
    <w:p w14:paraId="463D924B" w14:textId="77777777" w:rsidR="00686E6F" w:rsidRDefault="00686E6F">
      <w:pPr>
        <w:spacing w:line="360" w:lineRule="auto"/>
        <w:jc w:val="right"/>
        <w:rPr>
          <w:rFonts w:ascii="Arial" w:eastAsia="Arial" w:hAnsi="Arial" w:cs="Arial"/>
          <w:sz w:val="26"/>
          <w:szCs w:val="26"/>
        </w:rPr>
      </w:pPr>
    </w:p>
    <w:p w14:paraId="43221565" w14:textId="77777777" w:rsidR="00686E6F" w:rsidRDefault="00686E6F">
      <w:pPr>
        <w:spacing w:line="360" w:lineRule="auto"/>
        <w:jc w:val="right"/>
        <w:rPr>
          <w:rFonts w:ascii="Arial" w:eastAsia="Arial" w:hAnsi="Arial" w:cs="Arial"/>
          <w:sz w:val="26"/>
          <w:szCs w:val="26"/>
        </w:rPr>
      </w:pPr>
    </w:p>
    <w:p w14:paraId="0D9BAED8" w14:textId="77777777" w:rsidR="00686E6F" w:rsidRDefault="00686E6F">
      <w:pPr>
        <w:spacing w:line="360" w:lineRule="auto"/>
        <w:jc w:val="right"/>
        <w:rPr>
          <w:rFonts w:ascii="Arial" w:eastAsia="Arial" w:hAnsi="Arial" w:cs="Arial"/>
          <w:sz w:val="26"/>
          <w:szCs w:val="26"/>
        </w:rPr>
      </w:pPr>
    </w:p>
    <w:p w14:paraId="288F3E35" w14:textId="77777777" w:rsidR="00686E6F" w:rsidRDefault="00686E6F">
      <w:pPr>
        <w:spacing w:line="360" w:lineRule="auto"/>
        <w:jc w:val="right"/>
        <w:rPr>
          <w:rFonts w:ascii="Arial" w:eastAsia="Arial" w:hAnsi="Arial" w:cs="Arial"/>
          <w:sz w:val="26"/>
          <w:szCs w:val="26"/>
        </w:rPr>
      </w:pPr>
    </w:p>
    <w:p w14:paraId="1A523167" w14:textId="77777777" w:rsidR="00686E6F" w:rsidRDefault="00686E6F">
      <w:pPr>
        <w:spacing w:line="360" w:lineRule="auto"/>
        <w:jc w:val="right"/>
        <w:rPr>
          <w:rFonts w:ascii="Arial" w:eastAsia="Arial" w:hAnsi="Arial" w:cs="Arial"/>
          <w:sz w:val="26"/>
          <w:szCs w:val="26"/>
        </w:rPr>
      </w:pPr>
    </w:p>
    <w:p w14:paraId="5E3DEE18" w14:textId="77777777" w:rsidR="00686E6F" w:rsidRDefault="00686E6F">
      <w:pPr>
        <w:spacing w:line="360" w:lineRule="auto"/>
        <w:jc w:val="right"/>
        <w:rPr>
          <w:rFonts w:ascii="Arial" w:eastAsia="Arial" w:hAnsi="Arial" w:cs="Arial"/>
          <w:sz w:val="26"/>
          <w:szCs w:val="26"/>
        </w:rPr>
      </w:pPr>
    </w:p>
    <w:p w14:paraId="08E3F8F9" w14:textId="77777777" w:rsidR="00686E6F" w:rsidRDefault="00686E6F">
      <w:pPr>
        <w:spacing w:line="360" w:lineRule="auto"/>
        <w:jc w:val="right"/>
        <w:rPr>
          <w:rFonts w:ascii="Arial" w:eastAsia="Arial" w:hAnsi="Arial" w:cs="Arial"/>
          <w:sz w:val="26"/>
          <w:szCs w:val="26"/>
        </w:rPr>
      </w:pPr>
    </w:p>
    <w:p w14:paraId="2CD30B4D" w14:textId="77777777" w:rsidR="00686E6F" w:rsidRDefault="00686E6F">
      <w:pPr>
        <w:spacing w:line="360" w:lineRule="auto"/>
        <w:jc w:val="right"/>
        <w:rPr>
          <w:rFonts w:ascii="Arial" w:eastAsia="Arial" w:hAnsi="Arial" w:cs="Arial"/>
          <w:sz w:val="26"/>
          <w:szCs w:val="26"/>
        </w:rPr>
      </w:pPr>
    </w:p>
    <w:p w14:paraId="37654E35" w14:textId="77777777" w:rsidR="00686E6F" w:rsidRDefault="00686E6F">
      <w:pPr>
        <w:spacing w:line="360" w:lineRule="auto"/>
        <w:rPr>
          <w:rFonts w:ascii="Arial" w:eastAsia="Arial" w:hAnsi="Arial" w:cs="Arial"/>
          <w:sz w:val="26"/>
          <w:szCs w:val="26"/>
        </w:rPr>
      </w:pPr>
    </w:p>
    <w:p w14:paraId="44761ACD" w14:textId="77777777" w:rsidR="00686E6F" w:rsidRDefault="00686E6F">
      <w:pPr>
        <w:spacing w:line="360" w:lineRule="auto"/>
        <w:rPr>
          <w:rFonts w:ascii="Arial" w:eastAsia="Arial" w:hAnsi="Arial" w:cs="Arial"/>
          <w:sz w:val="26"/>
          <w:szCs w:val="26"/>
        </w:rPr>
      </w:pPr>
    </w:p>
    <w:p w14:paraId="01EEF242" w14:textId="77777777" w:rsidR="00686E6F" w:rsidRDefault="00686E6F">
      <w:pPr>
        <w:spacing w:line="360" w:lineRule="auto"/>
        <w:jc w:val="right"/>
        <w:rPr>
          <w:rFonts w:ascii="Arial" w:eastAsia="Arial" w:hAnsi="Arial" w:cs="Arial"/>
        </w:rPr>
      </w:pPr>
    </w:p>
    <w:p w14:paraId="46D081E7" w14:textId="77777777" w:rsidR="00686E6F" w:rsidRDefault="00686E6F">
      <w:pPr>
        <w:spacing w:line="360" w:lineRule="auto"/>
        <w:jc w:val="right"/>
        <w:rPr>
          <w:rFonts w:ascii="Arial" w:eastAsia="Arial" w:hAnsi="Arial" w:cs="Arial"/>
        </w:rPr>
      </w:pPr>
    </w:p>
    <w:p w14:paraId="4E4F674C" w14:textId="77777777" w:rsidR="00686E6F" w:rsidRDefault="00686E6F" w:rsidP="005A7025">
      <w:pPr>
        <w:spacing w:line="360" w:lineRule="auto"/>
        <w:rPr>
          <w:rFonts w:ascii="Arial" w:eastAsia="Arial" w:hAnsi="Arial" w:cs="Arial"/>
        </w:rPr>
      </w:pPr>
    </w:p>
    <w:p w14:paraId="573ABC61" w14:textId="77777777" w:rsidR="00686E6F" w:rsidRDefault="00000000">
      <w:pPr>
        <w:spacing w:line="360" w:lineRule="auto"/>
        <w:jc w:val="right"/>
        <w:rPr>
          <w:rFonts w:ascii="Arial" w:eastAsia="Arial" w:hAnsi="Arial" w:cs="Arial"/>
        </w:rPr>
      </w:pPr>
      <w:r>
        <w:rPr>
          <w:rFonts w:ascii="Arial" w:eastAsia="Arial" w:hAnsi="Arial" w:cs="Arial"/>
        </w:rPr>
        <w:t>Morelia, Michoacán a veinticinco de noviembre de dos mil veinticinco</w:t>
      </w:r>
      <w:r>
        <w:rPr>
          <w:rFonts w:ascii="Arial" w:eastAsia="Arial" w:hAnsi="Arial" w:cs="Arial"/>
          <w:vertAlign w:val="superscript"/>
        </w:rPr>
        <w:footnoteReference w:id="1"/>
      </w:r>
      <w:r>
        <w:rPr>
          <w:rFonts w:ascii="Arial" w:eastAsia="Arial" w:hAnsi="Arial" w:cs="Arial"/>
        </w:rPr>
        <w:t>.</w:t>
      </w:r>
    </w:p>
    <w:p w14:paraId="0359B30D" w14:textId="77777777" w:rsidR="00686E6F" w:rsidRDefault="00686E6F">
      <w:pPr>
        <w:spacing w:line="360" w:lineRule="auto"/>
        <w:jc w:val="right"/>
        <w:rPr>
          <w:rFonts w:ascii="Arial" w:eastAsia="Arial" w:hAnsi="Arial" w:cs="Arial"/>
        </w:rPr>
      </w:pPr>
    </w:p>
    <w:p w14:paraId="2336BD16" w14:textId="77777777" w:rsidR="00686E6F" w:rsidRDefault="00000000">
      <w:pPr>
        <w:spacing w:line="360" w:lineRule="auto"/>
        <w:jc w:val="both"/>
        <w:rPr>
          <w:rFonts w:ascii="Arial" w:eastAsia="Arial" w:hAnsi="Arial" w:cs="Arial"/>
        </w:rPr>
      </w:pPr>
      <w:r>
        <w:rPr>
          <w:rFonts w:ascii="Arial" w:eastAsia="Arial" w:hAnsi="Arial" w:cs="Arial"/>
          <w:b/>
          <w:bCs/>
        </w:rPr>
        <w:t xml:space="preserve">Resolución </w:t>
      </w:r>
      <w:r>
        <w:rPr>
          <w:rFonts w:ascii="Arial" w:eastAsia="Arial" w:hAnsi="Arial" w:cs="Arial"/>
        </w:rPr>
        <w:t>en cumplimiento a lo determinado por la Sala Regional del Tribunal Electoral del Poder Judicial de la Federación, correspondiente a la Quinta Circunscripción Plurinominal Electoral, con sede en Toluca de Lerdo, Estado de México</w:t>
      </w:r>
      <w:r>
        <w:rPr>
          <w:rFonts w:ascii="Arial" w:eastAsia="Arial" w:hAnsi="Arial" w:cs="Arial"/>
          <w:vertAlign w:val="superscript"/>
        </w:rPr>
        <w:footnoteReference w:id="2"/>
      </w:r>
      <w:r>
        <w:rPr>
          <w:rFonts w:ascii="Arial" w:eastAsia="Arial" w:hAnsi="Arial" w:cs="Arial"/>
        </w:rPr>
        <w:t>, y</w:t>
      </w:r>
      <w:r>
        <w:rPr>
          <w:rFonts w:ascii="Arial" w:eastAsia="Arial" w:hAnsi="Arial" w:cs="Arial"/>
          <w:b/>
          <w:bCs/>
        </w:rPr>
        <w:t xml:space="preserve"> </w:t>
      </w:r>
      <w:r>
        <w:rPr>
          <w:rFonts w:ascii="Arial" w:eastAsia="Arial" w:hAnsi="Arial" w:cs="Arial"/>
        </w:rPr>
        <w:t>que tiene por no presentada la incidencia planteada por Juan Carlos Barragán Vélez</w:t>
      </w:r>
      <w:r>
        <w:rPr>
          <w:rFonts w:ascii="Arial" w:eastAsia="Arial" w:hAnsi="Arial" w:cs="Arial"/>
          <w:vertAlign w:val="superscript"/>
        </w:rPr>
        <w:footnoteReference w:id="3"/>
      </w:r>
      <w:r>
        <w:rPr>
          <w:rFonts w:ascii="Arial" w:eastAsia="Arial" w:hAnsi="Arial" w:cs="Arial"/>
        </w:rPr>
        <w:t>.</w:t>
      </w:r>
    </w:p>
    <w:p w14:paraId="0600B3C9" w14:textId="77777777" w:rsidR="00686E6F" w:rsidRDefault="00000000">
      <w:pPr>
        <w:keepNext/>
        <w:keepLines/>
        <w:pBdr>
          <w:top w:val="nil"/>
          <w:left w:val="nil"/>
          <w:bottom w:val="nil"/>
          <w:right w:val="nil"/>
          <w:between w:val="nil"/>
        </w:pBdr>
        <w:spacing w:before="360" w:after="40" w:line="276" w:lineRule="auto"/>
        <w:jc w:val="center"/>
        <w:rPr>
          <w:rFonts w:ascii="Arial" w:eastAsia="Arial" w:hAnsi="Arial" w:cs="Arial"/>
          <w:b/>
          <w:bCs/>
          <w:color w:val="000000"/>
        </w:rPr>
      </w:pPr>
      <w:bookmarkStart w:id="1" w:name="_heading=h.cll5kx7xuhyh" w:colFirst="0" w:colLast="0"/>
      <w:bookmarkEnd w:id="1"/>
      <w:r>
        <w:rPr>
          <w:rFonts w:ascii="Arial" w:eastAsia="Arial" w:hAnsi="Arial" w:cs="Arial"/>
          <w:b/>
          <w:bCs/>
          <w:color w:val="000000"/>
        </w:rPr>
        <w:t>ÍNDICE</w:t>
      </w:r>
    </w:p>
    <w:p w14:paraId="63FDE1BC" w14:textId="77777777" w:rsidR="00686E6F" w:rsidRDefault="00000000">
      <w:pPr>
        <w:numPr>
          <w:ilvl w:val="0"/>
          <w:numId w:val="1"/>
        </w:numPr>
        <w:pBdr>
          <w:top w:val="nil"/>
          <w:left w:val="nil"/>
          <w:bottom w:val="nil"/>
          <w:right w:val="nil"/>
          <w:between w:val="nil"/>
        </w:pBdr>
        <w:spacing w:line="276" w:lineRule="auto"/>
        <w:ind w:left="709"/>
        <w:jc w:val="both"/>
        <w:rPr>
          <w:rFonts w:ascii="Arial" w:eastAsia="Arial" w:hAnsi="Arial" w:cs="Arial"/>
          <w:color w:val="000000"/>
        </w:rPr>
      </w:pPr>
      <w:r>
        <w:rPr>
          <w:rFonts w:ascii="Arial" w:eastAsia="Arial" w:hAnsi="Arial" w:cs="Arial"/>
          <w:color w:val="000000"/>
        </w:rPr>
        <w:t>Glosario………………………………………………………………………… 2</w:t>
      </w:r>
    </w:p>
    <w:p w14:paraId="1DC9E096" w14:textId="77777777" w:rsidR="00686E6F" w:rsidRDefault="00000000">
      <w:pPr>
        <w:numPr>
          <w:ilvl w:val="0"/>
          <w:numId w:val="1"/>
        </w:numPr>
        <w:pBdr>
          <w:top w:val="nil"/>
          <w:left w:val="nil"/>
          <w:bottom w:val="nil"/>
          <w:right w:val="nil"/>
          <w:between w:val="nil"/>
        </w:pBdr>
        <w:spacing w:line="276" w:lineRule="auto"/>
        <w:ind w:left="709"/>
        <w:jc w:val="both"/>
        <w:rPr>
          <w:rFonts w:ascii="Arial" w:eastAsia="Arial" w:hAnsi="Arial" w:cs="Arial"/>
          <w:color w:val="000000"/>
        </w:rPr>
      </w:pPr>
      <w:r>
        <w:rPr>
          <w:rFonts w:ascii="Arial" w:eastAsia="Arial" w:hAnsi="Arial" w:cs="Arial"/>
          <w:color w:val="000000"/>
        </w:rPr>
        <w:t>Antecedentes……………………………………………………………………2</w:t>
      </w:r>
    </w:p>
    <w:p w14:paraId="64B9948F" w14:textId="77777777" w:rsidR="00686E6F" w:rsidRDefault="00000000">
      <w:pPr>
        <w:numPr>
          <w:ilvl w:val="0"/>
          <w:numId w:val="1"/>
        </w:numPr>
        <w:pBdr>
          <w:top w:val="nil"/>
          <w:left w:val="nil"/>
          <w:bottom w:val="nil"/>
          <w:right w:val="nil"/>
          <w:between w:val="nil"/>
        </w:pBdr>
        <w:spacing w:line="276" w:lineRule="auto"/>
        <w:ind w:left="709"/>
        <w:jc w:val="both"/>
        <w:rPr>
          <w:rFonts w:ascii="Arial" w:eastAsia="Arial" w:hAnsi="Arial" w:cs="Arial"/>
          <w:color w:val="000000"/>
        </w:rPr>
      </w:pPr>
      <w:r>
        <w:rPr>
          <w:rFonts w:ascii="Arial" w:eastAsia="Arial" w:hAnsi="Arial" w:cs="Arial"/>
          <w:color w:val="000000"/>
        </w:rPr>
        <w:t>Competencia…………………………………………………………………… 5</w:t>
      </w:r>
    </w:p>
    <w:p w14:paraId="3E852963" w14:textId="77777777" w:rsidR="00686E6F" w:rsidRDefault="00000000">
      <w:pPr>
        <w:numPr>
          <w:ilvl w:val="0"/>
          <w:numId w:val="1"/>
        </w:numPr>
        <w:pBdr>
          <w:top w:val="nil"/>
          <w:left w:val="nil"/>
          <w:bottom w:val="nil"/>
          <w:right w:val="nil"/>
          <w:between w:val="nil"/>
        </w:pBdr>
        <w:spacing w:line="276" w:lineRule="auto"/>
        <w:ind w:left="709"/>
        <w:jc w:val="both"/>
        <w:rPr>
          <w:rFonts w:ascii="Arial" w:eastAsia="Arial" w:hAnsi="Arial" w:cs="Arial"/>
          <w:color w:val="000000"/>
        </w:rPr>
      </w:pPr>
      <w:r>
        <w:rPr>
          <w:rFonts w:ascii="Arial" w:eastAsia="Arial" w:hAnsi="Arial" w:cs="Arial"/>
          <w:color w:val="000000"/>
        </w:rPr>
        <w:t>Improcedencia…………………………………………………………………. 5</w:t>
      </w:r>
    </w:p>
    <w:p w14:paraId="159182F9" w14:textId="77777777" w:rsidR="00686E6F" w:rsidRDefault="00000000">
      <w:pPr>
        <w:numPr>
          <w:ilvl w:val="0"/>
          <w:numId w:val="1"/>
        </w:numPr>
        <w:pBdr>
          <w:top w:val="nil"/>
          <w:left w:val="nil"/>
          <w:bottom w:val="nil"/>
          <w:right w:val="nil"/>
          <w:between w:val="nil"/>
        </w:pBdr>
        <w:spacing w:line="276" w:lineRule="auto"/>
        <w:ind w:left="709"/>
        <w:jc w:val="both"/>
        <w:rPr>
          <w:rFonts w:ascii="Arial" w:eastAsia="Arial" w:hAnsi="Arial" w:cs="Arial"/>
          <w:color w:val="000000"/>
        </w:rPr>
      </w:pPr>
      <w:r>
        <w:rPr>
          <w:rFonts w:ascii="Arial" w:eastAsia="Arial" w:hAnsi="Arial" w:cs="Arial"/>
          <w:color w:val="000000"/>
        </w:rPr>
        <w:t>Cumplimiento……………………...…………………………………………... 8</w:t>
      </w:r>
    </w:p>
    <w:p w14:paraId="0A5A534A" w14:textId="0D4F3654" w:rsidR="00686E6F" w:rsidRDefault="00000000">
      <w:pPr>
        <w:numPr>
          <w:ilvl w:val="0"/>
          <w:numId w:val="1"/>
        </w:numPr>
        <w:pBdr>
          <w:top w:val="nil"/>
          <w:left w:val="nil"/>
          <w:bottom w:val="nil"/>
          <w:right w:val="nil"/>
          <w:between w:val="nil"/>
        </w:pBdr>
        <w:spacing w:line="276" w:lineRule="auto"/>
        <w:ind w:left="709"/>
        <w:jc w:val="both"/>
        <w:rPr>
          <w:rFonts w:ascii="Arial" w:eastAsia="Arial" w:hAnsi="Arial" w:cs="Arial"/>
          <w:color w:val="000000"/>
        </w:rPr>
      </w:pPr>
      <w:r>
        <w:rPr>
          <w:rFonts w:ascii="Arial" w:eastAsia="Arial" w:hAnsi="Arial" w:cs="Arial"/>
          <w:color w:val="000000"/>
        </w:rPr>
        <w:t>Cumplimiento de Sala Regional Toluca……………………………………. 10</w:t>
      </w:r>
    </w:p>
    <w:p w14:paraId="463A06A3" w14:textId="32E3F10F" w:rsidR="00686E6F" w:rsidRDefault="00000000">
      <w:pPr>
        <w:numPr>
          <w:ilvl w:val="0"/>
          <w:numId w:val="1"/>
        </w:numPr>
        <w:pBdr>
          <w:top w:val="nil"/>
          <w:left w:val="nil"/>
          <w:bottom w:val="nil"/>
          <w:right w:val="nil"/>
          <w:between w:val="nil"/>
        </w:pBdr>
        <w:spacing w:line="276" w:lineRule="auto"/>
        <w:ind w:left="709"/>
        <w:jc w:val="both"/>
        <w:rPr>
          <w:rFonts w:ascii="Arial" w:eastAsia="Arial" w:hAnsi="Arial" w:cs="Arial"/>
          <w:color w:val="000000"/>
        </w:rPr>
      </w:pPr>
      <w:r>
        <w:rPr>
          <w:rFonts w:ascii="Arial" w:eastAsia="Arial" w:hAnsi="Arial" w:cs="Arial"/>
          <w:color w:val="000000"/>
        </w:rPr>
        <w:t>Resuelve……………………………………………</w:t>
      </w:r>
      <w:r w:rsidR="00822958">
        <w:rPr>
          <w:rFonts w:ascii="Arial" w:eastAsia="Arial" w:hAnsi="Arial" w:cs="Arial"/>
          <w:color w:val="000000"/>
        </w:rPr>
        <w:t xml:space="preserve"> </w:t>
      </w:r>
      <w:r>
        <w:rPr>
          <w:rFonts w:ascii="Arial" w:eastAsia="Arial" w:hAnsi="Arial" w:cs="Arial"/>
          <w:color w:val="000000"/>
        </w:rPr>
        <w:t>…………………………10</w:t>
      </w:r>
    </w:p>
    <w:p w14:paraId="3B1D835E" w14:textId="77777777" w:rsidR="00686E6F" w:rsidRDefault="00000000">
      <w:pPr>
        <w:pStyle w:val="Ttulo1"/>
        <w:numPr>
          <w:ilvl w:val="0"/>
          <w:numId w:val="2"/>
        </w:numPr>
        <w:tabs>
          <w:tab w:val="left" w:pos="2145"/>
          <w:tab w:val="center" w:pos="4278"/>
        </w:tabs>
        <w:jc w:val="center"/>
        <w:rPr>
          <w:b w:val="0"/>
          <w:bCs w:val="0"/>
          <w:sz w:val="24"/>
          <w:szCs w:val="24"/>
        </w:rPr>
      </w:pPr>
      <w:r>
        <w:rPr>
          <w:rFonts w:ascii="Arial" w:eastAsia="Arial" w:hAnsi="Arial" w:cs="Arial"/>
          <w:color w:val="000000"/>
          <w:sz w:val="24"/>
          <w:szCs w:val="24"/>
        </w:rPr>
        <w:t>GLOSARIO</w:t>
      </w:r>
    </w:p>
    <w:tbl>
      <w:tblPr>
        <w:tblStyle w:val="a3"/>
        <w:tblpPr w:leftFromText="141" w:rightFromText="141" w:vertAnchor="text" w:tblpX="-185" w:tblpY="1"/>
        <w:tblW w:w="722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41"/>
        <w:gridCol w:w="5084"/>
      </w:tblGrid>
      <w:tr w:rsidR="00686E6F" w14:paraId="19AD4B9B" w14:textId="77777777">
        <w:trPr>
          <w:trHeight w:val="195"/>
        </w:trPr>
        <w:tc>
          <w:tcPr>
            <w:tcW w:w="2141" w:type="dxa"/>
          </w:tcPr>
          <w:p w14:paraId="7645730E" w14:textId="77777777" w:rsidR="00686E6F" w:rsidRDefault="00000000">
            <w:pPr>
              <w:pBdr>
                <w:top w:val="nil"/>
                <w:left w:val="nil"/>
                <w:bottom w:val="nil"/>
                <w:right w:val="nil"/>
                <w:between w:val="nil"/>
              </w:pBdr>
              <w:spacing w:after="120"/>
              <w:jc w:val="both"/>
              <w:rPr>
                <w:rFonts w:ascii="Arial Narrow" w:eastAsia="Arial Narrow" w:hAnsi="Arial Narrow" w:cs="Arial Narrow"/>
                <w:b/>
                <w:bCs/>
                <w:i/>
                <w:iCs/>
                <w:color w:val="000000"/>
                <w:sz w:val="24"/>
                <w:szCs w:val="24"/>
              </w:rPr>
            </w:pPr>
            <w:r>
              <w:rPr>
                <w:rFonts w:ascii="Arial Narrow" w:eastAsia="Arial Narrow" w:hAnsi="Arial Narrow" w:cs="Arial Narrow"/>
                <w:b/>
                <w:bCs/>
                <w:i/>
                <w:iCs/>
                <w:color w:val="000000"/>
                <w:sz w:val="24"/>
                <w:szCs w:val="24"/>
              </w:rPr>
              <w:t>Código Electoral:</w:t>
            </w:r>
          </w:p>
        </w:tc>
        <w:tc>
          <w:tcPr>
            <w:tcW w:w="5084" w:type="dxa"/>
          </w:tcPr>
          <w:p w14:paraId="615BCBFB" w14:textId="77777777" w:rsidR="00686E6F" w:rsidRDefault="00000000">
            <w:pPr>
              <w:pBdr>
                <w:top w:val="nil"/>
                <w:left w:val="nil"/>
                <w:bottom w:val="nil"/>
                <w:right w:val="nil"/>
                <w:between w:val="nil"/>
              </w:pBdr>
              <w:spacing w:after="120"/>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Código Electoral del Estado de Michoacán de Ocampo.</w:t>
            </w:r>
          </w:p>
        </w:tc>
      </w:tr>
      <w:tr w:rsidR="00686E6F" w14:paraId="2D90341E" w14:textId="77777777">
        <w:trPr>
          <w:trHeight w:val="195"/>
        </w:trPr>
        <w:tc>
          <w:tcPr>
            <w:tcW w:w="2141" w:type="dxa"/>
          </w:tcPr>
          <w:p w14:paraId="283A309C" w14:textId="77777777" w:rsidR="00686E6F" w:rsidRDefault="00000000">
            <w:pPr>
              <w:pBdr>
                <w:top w:val="nil"/>
                <w:left w:val="nil"/>
                <w:bottom w:val="nil"/>
                <w:right w:val="nil"/>
                <w:between w:val="nil"/>
              </w:pBdr>
              <w:spacing w:after="120"/>
              <w:jc w:val="both"/>
              <w:rPr>
                <w:rFonts w:ascii="Arial Narrow" w:eastAsia="Arial Narrow" w:hAnsi="Arial Narrow" w:cs="Arial Narrow"/>
                <w:b/>
                <w:bCs/>
                <w:i/>
                <w:iCs/>
                <w:color w:val="000000"/>
                <w:sz w:val="24"/>
                <w:szCs w:val="24"/>
              </w:rPr>
            </w:pPr>
            <w:r>
              <w:rPr>
                <w:rFonts w:ascii="Arial Narrow" w:eastAsia="Arial Narrow" w:hAnsi="Arial Narrow" w:cs="Arial Narrow"/>
                <w:b/>
                <w:bCs/>
                <w:i/>
                <w:iCs/>
                <w:color w:val="000000"/>
                <w:sz w:val="24"/>
                <w:szCs w:val="24"/>
              </w:rPr>
              <w:lastRenderedPageBreak/>
              <w:t>Congreso del Estado:</w:t>
            </w:r>
          </w:p>
        </w:tc>
        <w:tc>
          <w:tcPr>
            <w:tcW w:w="5084" w:type="dxa"/>
          </w:tcPr>
          <w:p w14:paraId="5B678618" w14:textId="77777777" w:rsidR="00686E6F" w:rsidRDefault="00000000">
            <w:pPr>
              <w:pBdr>
                <w:top w:val="nil"/>
                <w:left w:val="nil"/>
                <w:bottom w:val="nil"/>
                <w:right w:val="nil"/>
                <w:between w:val="nil"/>
              </w:pBdr>
              <w:spacing w:after="120"/>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Congreso del Estado de Michoacán de Ocampo.</w:t>
            </w:r>
          </w:p>
        </w:tc>
      </w:tr>
      <w:tr w:rsidR="00686E6F" w14:paraId="3A185B51" w14:textId="77777777">
        <w:trPr>
          <w:trHeight w:val="195"/>
        </w:trPr>
        <w:tc>
          <w:tcPr>
            <w:tcW w:w="2141" w:type="dxa"/>
          </w:tcPr>
          <w:p w14:paraId="102C1DDF" w14:textId="77777777" w:rsidR="00686E6F" w:rsidRDefault="00000000">
            <w:pPr>
              <w:pBdr>
                <w:top w:val="nil"/>
                <w:left w:val="nil"/>
                <w:bottom w:val="nil"/>
                <w:right w:val="nil"/>
                <w:between w:val="nil"/>
              </w:pBdr>
              <w:spacing w:after="120"/>
              <w:jc w:val="both"/>
              <w:rPr>
                <w:rFonts w:ascii="Arial Narrow" w:eastAsia="Arial Narrow" w:hAnsi="Arial Narrow" w:cs="Arial Narrow"/>
                <w:b/>
                <w:bCs/>
                <w:i/>
                <w:iCs/>
                <w:color w:val="000000"/>
                <w:sz w:val="24"/>
                <w:szCs w:val="24"/>
              </w:rPr>
            </w:pPr>
            <w:r>
              <w:rPr>
                <w:rFonts w:ascii="Arial Narrow" w:eastAsia="Arial Narrow" w:hAnsi="Arial Narrow" w:cs="Arial Narrow"/>
                <w:b/>
                <w:bCs/>
                <w:i/>
                <w:iCs/>
                <w:color w:val="000000"/>
                <w:sz w:val="24"/>
                <w:szCs w:val="24"/>
              </w:rPr>
              <w:t>Constitución General:</w:t>
            </w:r>
          </w:p>
        </w:tc>
        <w:tc>
          <w:tcPr>
            <w:tcW w:w="5084" w:type="dxa"/>
          </w:tcPr>
          <w:p w14:paraId="0782A59E" w14:textId="77777777" w:rsidR="00686E6F" w:rsidRDefault="00000000">
            <w:pPr>
              <w:pBdr>
                <w:top w:val="nil"/>
                <w:left w:val="nil"/>
                <w:bottom w:val="nil"/>
                <w:right w:val="nil"/>
                <w:between w:val="nil"/>
              </w:pBdr>
              <w:spacing w:after="120"/>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Constitución Política de los Estados Unidos Mexicanos.</w:t>
            </w:r>
          </w:p>
        </w:tc>
      </w:tr>
      <w:tr w:rsidR="00686E6F" w14:paraId="13CD4E87" w14:textId="77777777">
        <w:trPr>
          <w:trHeight w:val="195"/>
        </w:trPr>
        <w:tc>
          <w:tcPr>
            <w:tcW w:w="2141" w:type="dxa"/>
          </w:tcPr>
          <w:p w14:paraId="5373FFC0" w14:textId="77777777" w:rsidR="00686E6F" w:rsidRDefault="00000000">
            <w:pPr>
              <w:pBdr>
                <w:top w:val="nil"/>
                <w:left w:val="nil"/>
                <w:bottom w:val="nil"/>
                <w:right w:val="nil"/>
                <w:between w:val="nil"/>
              </w:pBdr>
              <w:spacing w:after="120"/>
              <w:jc w:val="both"/>
              <w:rPr>
                <w:rFonts w:ascii="Arial Narrow" w:eastAsia="Arial Narrow" w:hAnsi="Arial Narrow" w:cs="Arial Narrow"/>
                <w:b/>
                <w:bCs/>
                <w:i/>
                <w:iCs/>
                <w:color w:val="000000"/>
                <w:sz w:val="24"/>
                <w:szCs w:val="24"/>
              </w:rPr>
            </w:pPr>
            <w:r>
              <w:rPr>
                <w:rFonts w:ascii="Arial Narrow" w:eastAsia="Arial Narrow" w:hAnsi="Arial Narrow" w:cs="Arial Narrow"/>
                <w:b/>
                <w:bCs/>
                <w:i/>
                <w:iCs/>
                <w:color w:val="000000"/>
                <w:sz w:val="24"/>
                <w:szCs w:val="24"/>
              </w:rPr>
              <w:t>Constitución Local:</w:t>
            </w:r>
          </w:p>
        </w:tc>
        <w:tc>
          <w:tcPr>
            <w:tcW w:w="5084" w:type="dxa"/>
          </w:tcPr>
          <w:p w14:paraId="242753F9" w14:textId="77777777" w:rsidR="00686E6F" w:rsidRDefault="00000000">
            <w:pPr>
              <w:pBdr>
                <w:top w:val="nil"/>
                <w:left w:val="nil"/>
                <w:bottom w:val="nil"/>
                <w:right w:val="nil"/>
                <w:between w:val="nil"/>
              </w:pBdr>
              <w:spacing w:after="120"/>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Constitución Política del Estado Libre y Soberano de Michoacán de Ocampo.</w:t>
            </w:r>
          </w:p>
        </w:tc>
      </w:tr>
      <w:tr w:rsidR="00686E6F" w14:paraId="384F9A95" w14:textId="77777777">
        <w:trPr>
          <w:trHeight w:val="195"/>
        </w:trPr>
        <w:tc>
          <w:tcPr>
            <w:tcW w:w="2141" w:type="dxa"/>
            <w:vAlign w:val="center"/>
          </w:tcPr>
          <w:p w14:paraId="464A4711" w14:textId="77777777" w:rsidR="00686E6F" w:rsidRDefault="00000000">
            <w:pPr>
              <w:pBdr>
                <w:top w:val="nil"/>
                <w:left w:val="nil"/>
                <w:bottom w:val="nil"/>
                <w:right w:val="nil"/>
                <w:between w:val="nil"/>
              </w:pBdr>
              <w:spacing w:after="120"/>
              <w:rPr>
                <w:rFonts w:ascii="Arial Narrow" w:eastAsia="Arial Narrow" w:hAnsi="Arial Narrow" w:cs="Arial Narrow"/>
                <w:b/>
                <w:bCs/>
                <w:i/>
                <w:iCs/>
                <w:color w:val="000000"/>
                <w:sz w:val="24"/>
                <w:szCs w:val="24"/>
              </w:rPr>
            </w:pPr>
            <w:r>
              <w:rPr>
                <w:rFonts w:ascii="Arial Narrow" w:eastAsia="Arial Narrow" w:hAnsi="Arial Narrow" w:cs="Arial Narrow"/>
                <w:b/>
                <w:bCs/>
                <w:i/>
                <w:iCs/>
                <w:color w:val="000000"/>
                <w:sz w:val="24"/>
                <w:szCs w:val="24"/>
              </w:rPr>
              <w:t>Incidente</w:t>
            </w:r>
          </w:p>
        </w:tc>
        <w:tc>
          <w:tcPr>
            <w:tcW w:w="5084" w:type="dxa"/>
            <w:vAlign w:val="center"/>
          </w:tcPr>
          <w:p w14:paraId="2A952F98" w14:textId="77777777" w:rsidR="00686E6F" w:rsidRDefault="00000000">
            <w:pPr>
              <w:pBdr>
                <w:top w:val="nil"/>
                <w:left w:val="nil"/>
                <w:bottom w:val="nil"/>
                <w:right w:val="nil"/>
                <w:between w:val="nil"/>
              </w:pBdr>
              <w:spacing w:after="120"/>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Incidente de inejecución de sentencia promovido por Juan Carlos Barragán Vélez</w:t>
            </w:r>
          </w:p>
        </w:tc>
      </w:tr>
      <w:tr w:rsidR="00686E6F" w14:paraId="6F69F2F3" w14:textId="77777777">
        <w:trPr>
          <w:trHeight w:val="195"/>
        </w:trPr>
        <w:tc>
          <w:tcPr>
            <w:tcW w:w="2141" w:type="dxa"/>
            <w:vAlign w:val="center"/>
          </w:tcPr>
          <w:p w14:paraId="60EA2117" w14:textId="77777777" w:rsidR="00686E6F" w:rsidRDefault="00000000">
            <w:pPr>
              <w:pBdr>
                <w:top w:val="nil"/>
                <w:left w:val="nil"/>
                <w:bottom w:val="nil"/>
                <w:right w:val="nil"/>
                <w:between w:val="nil"/>
              </w:pBdr>
              <w:spacing w:after="120"/>
              <w:rPr>
                <w:rFonts w:ascii="Arial Narrow" w:eastAsia="Arial Narrow" w:hAnsi="Arial Narrow" w:cs="Arial Narrow"/>
                <w:b/>
                <w:bCs/>
                <w:i/>
                <w:iCs/>
                <w:color w:val="000000"/>
                <w:sz w:val="24"/>
                <w:szCs w:val="24"/>
              </w:rPr>
            </w:pPr>
            <w:r>
              <w:rPr>
                <w:rFonts w:ascii="Arial Narrow" w:eastAsia="Arial Narrow" w:hAnsi="Arial Narrow" w:cs="Arial Narrow"/>
                <w:b/>
                <w:bCs/>
                <w:i/>
                <w:iCs/>
                <w:color w:val="000000"/>
                <w:sz w:val="24"/>
                <w:szCs w:val="24"/>
              </w:rPr>
              <w:t>Incidentista:</w:t>
            </w:r>
          </w:p>
        </w:tc>
        <w:tc>
          <w:tcPr>
            <w:tcW w:w="5084" w:type="dxa"/>
            <w:vAlign w:val="center"/>
          </w:tcPr>
          <w:p w14:paraId="11045CD4" w14:textId="77777777" w:rsidR="00686E6F" w:rsidRDefault="00000000">
            <w:pPr>
              <w:pBdr>
                <w:top w:val="nil"/>
                <w:left w:val="nil"/>
                <w:bottom w:val="nil"/>
                <w:right w:val="nil"/>
                <w:between w:val="nil"/>
              </w:pBdr>
              <w:spacing w:after="120"/>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Juan Carlos Barragán Vélez.</w:t>
            </w:r>
          </w:p>
        </w:tc>
      </w:tr>
      <w:tr w:rsidR="00686E6F" w14:paraId="76267910" w14:textId="77777777">
        <w:trPr>
          <w:trHeight w:val="195"/>
        </w:trPr>
        <w:tc>
          <w:tcPr>
            <w:tcW w:w="2141" w:type="dxa"/>
          </w:tcPr>
          <w:p w14:paraId="4E9A4E7C" w14:textId="77777777" w:rsidR="00686E6F" w:rsidRDefault="00000000">
            <w:pPr>
              <w:pBdr>
                <w:top w:val="nil"/>
                <w:left w:val="nil"/>
                <w:bottom w:val="nil"/>
                <w:right w:val="nil"/>
                <w:between w:val="nil"/>
              </w:pBdr>
              <w:spacing w:after="120"/>
              <w:jc w:val="both"/>
              <w:rPr>
                <w:rFonts w:ascii="Arial Narrow" w:eastAsia="Arial Narrow" w:hAnsi="Arial Narrow" w:cs="Arial Narrow"/>
                <w:b/>
                <w:bCs/>
                <w:i/>
                <w:iCs/>
                <w:color w:val="000000"/>
                <w:sz w:val="24"/>
                <w:szCs w:val="24"/>
              </w:rPr>
            </w:pPr>
            <w:r>
              <w:rPr>
                <w:rFonts w:ascii="Arial Narrow" w:eastAsia="Arial Narrow" w:hAnsi="Arial Narrow" w:cs="Arial Narrow"/>
                <w:b/>
                <w:bCs/>
                <w:i/>
                <w:iCs/>
                <w:color w:val="000000"/>
                <w:sz w:val="24"/>
                <w:szCs w:val="24"/>
              </w:rPr>
              <w:t>Incidentado y/o Secretario de Administración:</w:t>
            </w:r>
          </w:p>
        </w:tc>
        <w:tc>
          <w:tcPr>
            <w:tcW w:w="5084" w:type="dxa"/>
          </w:tcPr>
          <w:p w14:paraId="10C1CEC8" w14:textId="77777777" w:rsidR="00686E6F" w:rsidRDefault="00000000">
            <w:pPr>
              <w:pBdr>
                <w:top w:val="nil"/>
                <w:left w:val="nil"/>
                <w:bottom w:val="nil"/>
                <w:right w:val="nil"/>
                <w:between w:val="nil"/>
              </w:pBdr>
              <w:spacing w:after="120"/>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Secretario de Finanzas y Administración del Congreso del Estado de Michoacán.</w:t>
            </w:r>
          </w:p>
        </w:tc>
      </w:tr>
      <w:tr w:rsidR="00686E6F" w14:paraId="058F4D9B" w14:textId="77777777">
        <w:trPr>
          <w:trHeight w:val="265"/>
        </w:trPr>
        <w:tc>
          <w:tcPr>
            <w:tcW w:w="2141" w:type="dxa"/>
          </w:tcPr>
          <w:p w14:paraId="3CFF53AC" w14:textId="77777777" w:rsidR="00686E6F" w:rsidRDefault="00000000">
            <w:pPr>
              <w:pBdr>
                <w:top w:val="nil"/>
                <w:left w:val="nil"/>
                <w:bottom w:val="nil"/>
                <w:right w:val="nil"/>
                <w:between w:val="nil"/>
              </w:pBdr>
              <w:spacing w:after="120"/>
              <w:jc w:val="both"/>
              <w:rPr>
                <w:rFonts w:ascii="Arial Narrow" w:eastAsia="Arial Narrow" w:hAnsi="Arial Narrow" w:cs="Arial Narrow"/>
                <w:b/>
                <w:bCs/>
                <w:i/>
                <w:iCs/>
                <w:color w:val="000000"/>
                <w:sz w:val="24"/>
                <w:szCs w:val="24"/>
              </w:rPr>
            </w:pPr>
            <w:r>
              <w:rPr>
                <w:rFonts w:ascii="Arial Narrow" w:eastAsia="Arial Narrow" w:hAnsi="Arial Narrow" w:cs="Arial Narrow"/>
                <w:b/>
                <w:bCs/>
                <w:i/>
                <w:iCs/>
                <w:color w:val="000000"/>
                <w:sz w:val="24"/>
                <w:szCs w:val="24"/>
              </w:rPr>
              <w:t>Juicio de la ciudadanía:</w:t>
            </w:r>
          </w:p>
        </w:tc>
        <w:tc>
          <w:tcPr>
            <w:tcW w:w="5084" w:type="dxa"/>
          </w:tcPr>
          <w:p w14:paraId="2A39C6E0" w14:textId="77777777" w:rsidR="00686E6F" w:rsidRDefault="00000000">
            <w:pPr>
              <w:pBdr>
                <w:top w:val="nil"/>
                <w:left w:val="nil"/>
                <w:bottom w:val="nil"/>
                <w:right w:val="nil"/>
                <w:between w:val="nil"/>
              </w:pBdr>
              <w:spacing w:after="120"/>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Juicio para la Protección de los Derechos Político-Electorales del Ciudadano TEEM-JDC-201/2025.</w:t>
            </w:r>
          </w:p>
        </w:tc>
      </w:tr>
      <w:tr w:rsidR="00686E6F" w14:paraId="0CCD6240" w14:textId="77777777">
        <w:trPr>
          <w:trHeight w:val="265"/>
        </w:trPr>
        <w:tc>
          <w:tcPr>
            <w:tcW w:w="2141" w:type="dxa"/>
          </w:tcPr>
          <w:p w14:paraId="65A0D8B2" w14:textId="77777777" w:rsidR="00686E6F" w:rsidRDefault="00000000">
            <w:pPr>
              <w:pBdr>
                <w:top w:val="nil"/>
                <w:left w:val="nil"/>
                <w:bottom w:val="nil"/>
                <w:right w:val="nil"/>
                <w:between w:val="nil"/>
              </w:pBdr>
              <w:spacing w:after="120"/>
              <w:jc w:val="both"/>
              <w:rPr>
                <w:rFonts w:ascii="Arial Narrow" w:eastAsia="Arial Narrow" w:hAnsi="Arial Narrow" w:cs="Arial Narrow"/>
                <w:b/>
                <w:bCs/>
                <w:i/>
                <w:iCs/>
                <w:color w:val="000000"/>
                <w:sz w:val="24"/>
                <w:szCs w:val="24"/>
              </w:rPr>
            </w:pPr>
            <w:r>
              <w:rPr>
                <w:rFonts w:ascii="Arial Narrow" w:eastAsia="Arial Narrow" w:hAnsi="Arial Narrow" w:cs="Arial Narrow"/>
                <w:b/>
                <w:bCs/>
                <w:i/>
                <w:iCs/>
                <w:color w:val="000000"/>
                <w:sz w:val="24"/>
                <w:szCs w:val="24"/>
              </w:rPr>
              <w:t>Ley de Justicia Electoral:</w:t>
            </w:r>
          </w:p>
        </w:tc>
        <w:tc>
          <w:tcPr>
            <w:tcW w:w="5084" w:type="dxa"/>
          </w:tcPr>
          <w:p w14:paraId="66A61701" w14:textId="77777777" w:rsidR="00686E6F" w:rsidRDefault="00000000">
            <w:pPr>
              <w:pBdr>
                <w:top w:val="nil"/>
                <w:left w:val="nil"/>
                <w:bottom w:val="nil"/>
                <w:right w:val="nil"/>
                <w:between w:val="nil"/>
              </w:pBdr>
              <w:spacing w:after="120"/>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Ley de Justicia en Materia Electoral y de Participación Ciudadana del Estado de Michoacán de Ocampo.</w:t>
            </w:r>
          </w:p>
        </w:tc>
      </w:tr>
      <w:tr w:rsidR="00686E6F" w14:paraId="575216AD" w14:textId="77777777">
        <w:trPr>
          <w:trHeight w:val="307"/>
        </w:trPr>
        <w:tc>
          <w:tcPr>
            <w:tcW w:w="2141" w:type="dxa"/>
          </w:tcPr>
          <w:p w14:paraId="3E3EDF68" w14:textId="77777777" w:rsidR="00686E6F" w:rsidRDefault="00000000">
            <w:pPr>
              <w:pBdr>
                <w:top w:val="nil"/>
                <w:left w:val="nil"/>
                <w:bottom w:val="nil"/>
                <w:right w:val="nil"/>
                <w:between w:val="nil"/>
              </w:pBdr>
              <w:spacing w:after="120"/>
              <w:jc w:val="both"/>
              <w:rPr>
                <w:rFonts w:ascii="Arial Narrow" w:eastAsia="Arial Narrow" w:hAnsi="Arial Narrow" w:cs="Arial Narrow"/>
                <w:b/>
                <w:bCs/>
                <w:i/>
                <w:iCs/>
                <w:color w:val="000000"/>
                <w:sz w:val="24"/>
                <w:szCs w:val="24"/>
              </w:rPr>
            </w:pPr>
            <w:r>
              <w:rPr>
                <w:rFonts w:ascii="Arial Narrow" w:eastAsia="Arial Narrow" w:hAnsi="Arial Narrow" w:cs="Arial Narrow"/>
                <w:b/>
                <w:bCs/>
                <w:i/>
                <w:iCs/>
                <w:color w:val="000000"/>
                <w:sz w:val="24"/>
                <w:szCs w:val="24"/>
              </w:rPr>
              <w:t>Resolución incidental</w:t>
            </w:r>
          </w:p>
        </w:tc>
        <w:tc>
          <w:tcPr>
            <w:tcW w:w="5084" w:type="dxa"/>
          </w:tcPr>
          <w:p w14:paraId="0D0D6E6D" w14:textId="77777777" w:rsidR="00686E6F" w:rsidRDefault="00000000">
            <w:pPr>
              <w:pBdr>
                <w:top w:val="nil"/>
                <w:left w:val="nil"/>
                <w:bottom w:val="nil"/>
                <w:right w:val="nil"/>
                <w:between w:val="nil"/>
              </w:pBdr>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Resolución incidental de nueve de octubre, dictada por el Tribunal Electoral del Estado.</w:t>
            </w:r>
          </w:p>
        </w:tc>
      </w:tr>
      <w:tr w:rsidR="00686E6F" w14:paraId="499DBED8" w14:textId="77777777">
        <w:trPr>
          <w:trHeight w:val="307"/>
        </w:trPr>
        <w:tc>
          <w:tcPr>
            <w:tcW w:w="2141" w:type="dxa"/>
          </w:tcPr>
          <w:p w14:paraId="033CC4D7" w14:textId="77777777" w:rsidR="00686E6F" w:rsidRDefault="00000000">
            <w:pPr>
              <w:pBdr>
                <w:top w:val="nil"/>
                <w:left w:val="nil"/>
                <w:bottom w:val="nil"/>
                <w:right w:val="nil"/>
                <w:between w:val="nil"/>
              </w:pBdr>
              <w:spacing w:after="120"/>
              <w:jc w:val="both"/>
              <w:rPr>
                <w:rFonts w:ascii="Arial Narrow" w:eastAsia="Arial Narrow" w:hAnsi="Arial Narrow" w:cs="Arial Narrow"/>
                <w:b/>
                <w:bCs/>
                <w:i/>
                <w:iCs/>
                <w:color w:val="000000"/>
                <w:sz w:val="24"/>
                <w:szCs w:val="24"/>
              </w:rPr>
            </w:pPr>
            <w:r>
              <w:rPr>
                <w:rFonts w:ascii="Arial Narrow" w:eastAsia="Arial Narrow" w:hAnsi="Arial Narrow" w:cs="Arial Narrow"/>
                <w:b/>
                <w:bCs/>
                <w:i/>
                <w:iCs/>
                <w:color w:val="000000"/>
                <w:sz w:val="24"/>
                <w:szCs w:val="24"/>
              </w:rPr>
              <w:t>Sala Regional Toluca y/o instancia federal</w:t>
            </w:r>
          </w:p>
        </w:tc>
        <w:tc>
          <w:tcPr>
            <w:tcW w:w="5084" w:type="dxa"/>
          </w:tcPr>
          <w:p w14:paraId="4D58255A" w14:textId="77777777" w:rsidR="00686E6F" w:rsidRDefault="00000000">
            <w:pPr>
              <w:pBdr>
                <w:top w:val="nil"/>
                <w:left w:val="nil"/>
                <w:bottom w:val="nil"/>
                <w:right w:val="nil"/>
                <w:between w:val="nil"/>
              </w:pBdr>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Sala Regional de la V Circunscripción Plurinominal del Tribunal Electoral del Poder Judicial de la Federación.</w:t>
            </w:r>
          </w:p>
        </w:tc>
      </w:tr>
      <w:tr w:rsidR="00686E6F" w14:paraId="2BECCE31" w14:textId="77777777">
        <w:trPr>
          <w:trHeight w:val="307"/>
        </w:trPr>
        <w:tc>
          <w:tcPr>
            <w:tcW w:w="2141" w:type="dxa"/>
          </w:tcPr>
          <w:p w14:paraId="43AF4A72" w14:textId="77777777" w:rsidR="00686E6F" w:rsidRDefault="00000000">
            <w:pPr>
              <w:pBdr>
                <w:top w:val="nil"/>
                <w:left w:val="nil"/>
                <w:bottom w:val="nil"/>
                <w:right w:val="nil"/>
                <w:between w:val="nil"/>
              </w:pBdr>
              <w:spacing w:after="120"/>
              <w:jc w:val="both"/>
              <w:rPr>
                <w:rFonts w:ascii="Arial Narrow" w:eastAsia="Arial Narrow" w:hAnsi="Arial Narrow" w:cs="Arial Narrow"/>
                <w:b/>
                <w:bCs/>
                <w:i/>
                <w:iCs/>
                <w:color w:val="000000"/>
                <w:sz w:val="24"/>
                <w:szCs w:val="24"/>
              </w:rPr>
            </w:pPr>
            <w:r>
              <w:rPr>
                <w:rFonts w:ascii="Arial Narrow" w:eastAsia="Arial Narrow" w:hAnsi="Arial Narrow" w:cs="Arial Narrow"/>
                <w:b/>
                <w:bCs/>
                <w:i/>
                <w:iCs/>
                <w:color w:val="000000"/>
                <w:sz w:val="24"/>
                <w:szCs w:val="24"/>
              </w:rPr>
              <w:t>Reglamento interior</w:t>
            </w:r>
          </w:p>
        </w:tc>
        <w:tc>
          <w:tcPr>
            <w:tcW w:w="5084" w:type="dxa"/>
          </w:tcPr>
          <w:p w14:paraId="36C7D96C" w14:textId="77777777" w:rsidR="00686E6F" w:rsidRDefault="00000000">
            <w:pPr>
              <w:pBdr>
                <w:top w:val="nil"/>
                <w:left w:val="nil"/>
                <w:bottom w:val="nil"/>
                <w:right w:val="nil"/>
                <w:between w:val="nil"/>
              </w:pBdr>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Reglamento Interior del Tribunal Electoral del Estado.</w:t>
            </w:r>
          </w:p>
        </w:tc>
      </w:tr>
      <w:tr w:rsidR="00686E6F" w14:paraId="71C2FEFB" w14:textId="77777777">
        <w:trPr>
          <w:trHeight w:val="307"/>
        </w:trPr>
        <w:tc>
          <w:tcPr>
            <w:tcW w:w="2141" w:type="dxa"/>
          </w:tcPr>
          <w:p w14:paraId="36AEEBFE" w14:textId="77777777" w:rsidR="00686E6F" w:rsidRDefault="00000000">
            <w:pPr>
              <w:pBdr>
                <w:top w:val="nil"/>
                <w:left w:val="nil"/>
                <w:bottom w:val="nil"/>
                <w:right w:val="nil"/>
                <w:between w:val="nil"/>
              </w:pBdr>
              <w:spacing w:after="120"/>
              <w:jc w:val="both"/>
              <w:rPr>
                <w:rFonts w:ascii="Arial Narrow" w:eastAsia="Arial Narrow" w:hAnsi="Arial Narrow" w:cs="Arial Narrow"/>
                <w:b/>
                <w:bCs/>
                <w:i/>
                <w:iCs/>
                <w:color w:val="000000"/>
                <w:sz w:val="24"/>
                <w:szCs w:val="24"/>
              </w:rPr>
            </w:pPr>
            <w:r>
              <w:rPr>
                <w:rFonts w:ascii="Arial Narrow" w:eastAsia="Arial Narrow" w:hAnsi="Arial Narrow" w:cs="Arial Narrow"/>
                <w:b/>
                <w:bCs/>
                <w:i/>
                <w:iCs/>
                <w:color w:val="000000"/>
                <w:sz w:val="24"/>
                <w:szCs w:val="24"/>
              </w:rPr>
              <w:t>Sentencia federal</w:t>
            </w:r>
          </w:p>
        </w:tc>
        <w:tc>
          <w:tcPr>
            <w:tcW w:w="5084" w:type="dxa"/>
          </w:tcPr>
          <w:p w14:paraId="6FA03FF8" w14:textId="77777777" w:rsidR="00686E6F" w:rsidRDefault="00000000">
            <w:pPr>
              <w:pBdr>
                <w:top w:val="nil"/>
                <w:left w:val="nil"/>
                <w:bottom w:val="nil"/>
                <w:right w:val="nil"/>
                <w:between w:val="nil"/>
              </w:pBdr>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Sentencia dictada en el juicio federal ST-JDC-295/2025.</w:t>
            </w:r>
          </w:p>
        </w:tc>
      </w:tr>
      <w:tr w:rsidR="00686E6F" w14:paraId="0116E73B" w14:textId="77777777">
        <w:trPr>
          <w:trHeight w:val="307"/>
        </w:trPr>
        <w:tc>
          <w:tcPr>
            <w:tcW w:w="2141" w:type="dxa"/>
          </w:tcPr>
          <w:p w14:paraId="60BCE6FB" w14:textId="77777777" w:rsidR="00686E6F" w:rsidRDefault="00000000">
            <w:pPr>
              <w:pBdr>
                <w:top w:val="nil"/>
                <w:left w:val="nil"/>
                <w:bottom w:val="nil"/>
                <w:right w:val="nil"/>
                <w:between w:val="nil"/>
              </w:pBdr>
              <w:spacing w:after="120"/>
              <w:jc w:val="both"/>
              <w:rPr>
                <w:rFonts w:ascii="Arial Narrow" w:eastAsia="Arial Narrow" w:hAnsi="Arial Narrow" w:cs="Arial Narrow"/>
                <w:b/>
                <w:bCs/>
                <w:i/>
                <w:iCs/>
                <w:color w:val="000000"/>
                <w:sz w:val="24"/>
                <w:szCs w:val="24"/>
              </w:rPr>
            </w:pPr>
            <w:r>
              <w:rPr>
                <w:rFonts w:ascii="Arial Narrow" w:eastAsia="Arial Narrow" w:hAnsi="Arial Narrow" w:cs="Arial Narrow"/>
                <w:b/>
                <w:bCs/>
                <w:i/>
                <w:iCs/>
                <w:color w:val="000000"/>
                <w:sz w:val="24"/>
                <w:szCs w:val="24"/>
              </w:rPr>
              <w:t>Sentencia local</w:t>
            </w:r>
          </w:p>
        </w:tc>
        <w:tc>
          <w:tcPr>
            <w:tcW w:w="5084" w:type="dxa"/>
          </w:tcPr>
          <w:p w14:paraId="49F61881" w14:textId="77777777" w:rsidR="00686E6F" w:rsidRDefault="00000000">
            <w:pPr>
              <w:pBdr>
                <w:top w:val="nil"/>
                <w:left w:val="nil"/>
                <w:bottom w:val="nil"/>
                <w:right w:val="nil"/>
                <w:between w:val="nil"/>
              </w:pBdr>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Sentencia dictada el veinticuatro de julio dentro del juicio TEEM-JDC-201/2025.</w:t>
            </w:r>
          </w:p>
        </w:tc>
      </w:tr>
      <w:tr w:rsidR="00686E6F" w14:paraId="6D4E99FF" w14:textId="77777777">
        <w:trPr>
          <w:trHeight w:val="307"/>
        </w:trPr>
        <w:tc>
          <w:tcPr>
            <w:tcW w:w="2141" w:type="dxa"/>
          </w:tcPr>
          <w:p w14:paraId="66B17828" w14:textId="77777777" w:rsidR="00686E6F" w:rsidRDefault="00000000">
            <w:pPr>
              <w:pBdr>
                <w:top w:val="nil"/>
                <w:left w:val="nil"/>
                <w:bottom w:val="nil"/>
                <w:right w:val="nil"/>
                <w:between w:val="nil"/>
              </w:pBdr>
              <w:spacing w:after="120"/>
              <w:jc w:val="both"/>
              <w:rPr>
                <w:rFonts w:ascii="Arial Narrow" w:eastAsia="Arial Narrow" w:hAnsi="Arial Narrow" w:cs="Arial Narrow"/>
                <w:b/>
                <w:bCs/>
                <w:i/>
                <w:iCs/>
                <w:color w:val="000000"/>
                <w:sz w:val="24"/>
                <w:szCs w:val="24"/>
              </w:rPr>
            </w:pPr>
            <w:r>
              <w:rPr>
                <w:rFonts w:ascii="Arial Narrow" w:eastAsia="Arial Narrow" w:hAnsi="Arial Narrow" w:cs="Arial Narrow"/>
                <w:b/>
                <w:bCs/>
                <w:i/>
                <w:iCs/>
                <w:color w:val="000000"/>
                <w:sz w:val="24"/>
                <w:szCs w:val="24"/>
              </w:rPr>
              <w:t>Tribunal Electoral:</w:t>
            </w:r>
          </w:p>
        </w:tc>
        <w:tc>
          <w:tcPr>
            <w:tcW w:w="5084" w:type="dxa"/>
          </w:tcPr>
          <w:p w14:paraId="415B7970" w14:textId="77777777" w:rsidR="00686E6F" w:rsidRDefault="00000000">
            <w:pPr>
              <w:pBdr>
                <w:top w:val="nil"/>
                <w:left w:val="nil"/>
                <w:bottom w:val="nil"/>
                <w:right w:val="nil"/>
                <w:between w:val="nil"/>
              </w:pBdr>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Tribunal Electoral del Estado.</w:t>
            </w:r>
          </w:p>
        </w:tc>
      </w:tr>
    </w:tbl>
    <w:p w14:paraId="7B76C372" w14:textId="77777777" w:rsidR="00686E6F" w:rsidRDefault="00686E6F">
      <w:pPr>
        <w:spacing w:line="360" w:lineRule="auto"/>
        <w:jc w:val="both"/>
        <w:rPr>
          <w:rFonts w:ascii="Arial" w:eastAsia="Arial" w:hAnsi="Arial" w:cs="Arial"/>
        </w:rPr>
      </w:pPr>
    </w:p>
    <w:p w14:paraId="1634D757" w14:textId="77777777" w:rsidR="00686E6F" w:rsidRDefault="00686E6F">
      <w:pPr>
        <w:spacing w:line="360" w:lineRule="auto"/>
        <w:jc w:val="both"/>
        <w:rPr>
          <w:rFonts w:ascii="Arial" w:eastAsia="Arial" w:hAnsi="Arial" w:cs="Arial"/>
        </w:rPr>
      </w:pPr>
    </w:p>
    <w:p w14:paraId="0435DFE1" w14:textId="77777777" w:rsidR="00686E6F" w:rsidRDefault="00000000">
      <w:pPr>
        <w:numPr>
          <w:ilvl w:val="0"/>
          <w:numId w:val="2"/>
        </w:numPr>
        <w:pBdr>
          <w:top w:val="nil"/>
          <w:left w:val="nil"/>
          <w:bottom w:val="nil"/>
          <w:right w:val="nil"/>
          <w:between w:val="nil"/>
        </w:pBdr>
        <w:spacing w:before="240" w:line="360" w:lineRule="auto"/>
        <w:ind w:right="-6"/>
        <w:jc w:val="center"/>
        <w:rPr>
          <w:rFonts w:ascii="Arial" w:eastAsia="Arial" w:hAnsi="Arial" w:cs="Arial"/>
          <w:color w:val="000000"/>
        </w:rPr>
      </w:pPr>
      <w:r>
        <w:rPr>
          <w:rFonts w:ascii="Arial" w:eastAsia="Arial" w:hAnsi="Arial" w:cs="Arial"/>
          <w:b/>
          <w:bCs/>
          <w:color w:val="000000"/>
        </w:rPr>
        <w:t>ANTECEDENTES</w:t>
      </w:r>
      <w:r>
        <w:rPr>
          <w:color w:val="000000"/>
          <w:vertAlign w:val="superscript"/>
        </w:rPr>
        <w:footnoteReference w:id="4"/>
      </w:r>
    </w:p>
    <w:p w14:paraId="21DA61DA" w14:textId="77777777" w:rsidR="00686E6F" w:rsidRDefault="00686E6F">
      <w:pPr>
        <w:spacing w:line="360" w:lineRule="auto"/>
        <w:ind w:right="-6"/>
        <w:rPr>
          <w:rFonts w:ascii="Arial" w:eastAsia="Arial" w:hAnsi="Arial" w:cs="Arial"/>
        </w:rPr>
      </w:pPr>
    </w:p>
    <w:p w14:paraId="51E8BAFE" w14:textId="77777777" w:rsidR="00686E6F" w:rsidRDefault="00000000">
      <w:pPr>
        <w:tabs>
          <w:tab w:val="left" w:pos="284"/>
        </w:tabs>
        <w:spacing w:line="360" w:lineRule="auto"/>
        <w:jc w:val="both"/>
        <w:rPr>
          <w:rFonts w:ascii="Arial" w:eastAsia="Arial" w:hAnsi="Arial" w:cs="Arial"/>
        </w:rPr>
      </w:pPr>
      <w:r>
        <w:rPr>
          <w:rFonts w:ascii="Arial" w:eastAsia="Arial" w:hAnsi="Arial" w:cs="Arial"/>
          <w:b/>
          <w:bCs/>
        </w:rPr>
        <w:t xml:space="preserve">Primero. Sentencia del </w:t>
      </w:r>
      <w:r>
        <w:rPr>
          <w:rFonts w:ascii="Arial" w:eastAsia="Arial" w:hAnsi="Arial" w:cs="Arial"/>
          <w:b/>
          <w:bCs/>
          <w:i/>
          <w:iCs/>
        </w:rPr>
        <w:t>juicio de la ciudadanía</w:t>
      </w:r>
      <w:r>
        <w:rPr>
          <w:rFonts w:ascii="Arial" w:eastAsia="Arial" w:hAnsi="Arial" w:cs="Arial"/>
          <w:b/>
          <w:bCs/>
        </w:rPr>
        <w:t>.</w:t>
      </w:r>
      <w:r>
        <w:rPr>
          <w:rFonts w:ascii="Arial" w:eastAsia="Arial" w:hAnsi="Arial" w:cs="Arial"/>
        </w:rPr>
        <w:t xml:space="preserve"> El veinticuatro de julio, este </w:t>
      </w:r>
      <w:r>
        <w:rPr>
          <w:rFonts w:ascii="Arial" w:eastAsia="Arial" w:hAnsi="Arial" w:cs="Arial"/>
          <w:i/>
          <w:iCs/>
        </w:rPr>
        <w:t>Tribunal Electoral</w:t>
      </w:r>
      <w:r>
        <w:rPr>
          <w:rFonts w:ascii="Arial" w:eastAsia="Arial" w:hAnsi="Arial" w:cs="Arial"/>
        </w:rPr>
        <w:t xml:space="preserve"> dictó sentencia dentro del </w:t>
      </w:r>
      <w:r>
        <w:rPr>
          <w:rFonts w:ascii="Arial" w:eastAsia="Arial" w:hAnsi="Arial" w:cs="Arial"/>
          <w:i/>
          <w:iCs/>
        </w:rPr>
        <w:t>Juicio de la ciudadanía</w:t>
      </w:r>
      <w:r>
        <w:rPr>
          <w:rFonts w:ascii="Arial" w:eastAsia="Arial" w:hAnsi="Arial" w:cs="Arial"/>
        </w:rPr>
        <w:t xml:space="preserve">; en la que, entre otras cosas; revocó el oficio SAF/OS/0904/2025 signado por el </w:t>
      </w:r>
      <w:r>
        <w:rPr>
          <w:rFonts w:ascii="Arial" w:eastAsia="Arial" w:hAnsi="Arial" w:cs="Arial"/>
          <w:i/>
          <w:iCs/>
        </w:rPr>
        <w:t>Secretario de Administración</w:t>
      </w:r>
      <w:r>
        <w:rPr>
          <w:rFonts w:ascii="Arial" w:eastAsia="Arial" w:hAnsi="Arial" w:cs="Arial"/>
        </w:rPr>
        <w:t xml:space="preserve"> y le ordenó otorgar al ahora </w:t>
      </w:r>
      <w:proofErr w:type="spellStart"/>
      <w:r>
        <w:rPr>
          <w:rFonts w:ascii="Arial" w:eastAsia="Arial" w:hAnsi="Arial" w:cs="Arial"/>
          <w:i/>
          <w:iCs/>
        </w:rPr>
        <w:t>incidentista</w:t>
      </w:r>
      <w:proofErr w:type="spellEnd"/>
      <w:r>
        <w:rPr>
          <w:rFonts w:ascii="Arial" w:eastAsia="Arial" w:hAnsi="Arial" w:cs="Arial"/>
        </w:rPr>
        <w:t xml:space="preserve"> la información respecto de su solicitud de mérito.</w:t>
      </w:r>
    </w:p>
    <w:p w14:paraId="685A7119" w14:textId="77777777" w:rsidR="00686E6F" w:rsidRDefault="00686E6F">
      <w:pPr>
        <w:tabs>
          <w:tab w:val="left" w:pos="284"/>
        </w:tabs>
        <w:spacing w:line="360" w:lineRule="auto"/>
        <w:jc w:val="both"/>
        <w:rPr>
          <w:rFonts w:ascii="Arial" w:eastAsia="Arial" w:hAnsi="Arial" w:cs="Arial"/>
        </w:rPr>
      </w:pPr>
    </w:p>
    <w:p w14:paraId="70B1A937" w14:textId="77777777" w:rsidR="00686E6F" w:rsidRDefault="00000000">
      <w:pPr>
        <w:tabs>
          <w:tab w:val="left" w:pos="284"/>
        </w:tabs>
        <w:spacing w:line="360" w:lineRule="auto"/>
        <w:jc w:val="both"/>
        <w:rPr>
          <w:rFonts w:ascii="Arial" w:eastAsia="Arial" w:hAnsi="Arial" w:cs="Arial"/>
        </w:rPr>
      </w:pPr>
      <w:r>
        <w:rPr>
          <w:rFonts w:ascii="Arial" w:eastAsia="Arial" w:hAnsi="Arial" w:cs="Arial"/>
          <w:b/>
          <w:bCs/>
        </w:rPr>
        <w:t xml:space="preserve">Segundo. Recepción de Cuaderno de Antecedentes y documentación en cumplimiento. </w:t>
      </w:r>
      <w:r>
        <w:rPr>
          <w:rFonts w:ascii="Arial" w:eastAsia="Arial" w:hAnsi="Arial" w:cs="Arial"/>
        </w:rPr>
        <w:t xml:space="preserve">El veintinueve de agosto, mediante oficio TEEM-SGA-2152/2025, se recibieron constancias en cumplimiento a lo ordenado en la </w:t>
      </w:r>
      <w:r>
        <w:rPr>
          <w:rFonts w:ascii="Arial" w:eastAsia="Arial" w:hAnsi="Arial" w:cs="Arial"/>
          <w:i/>
          <w:iCs/>
        </w:rPr>
        <w:t>sentencia local</w:t>
      </w:r>
      <w:r>
        <w:rPr>
          <w:rFonts w:ascii="Arial" w:eastAsia="Arial" w:hAnsi="Arial" w:cs="Arial"/>
        </w:rPr>
        <w:t xml:space="preserve"> por parte del </w:t>
      </w:r>
      <w:r>
        <w:rPr>
          <w:rFonts w:ascii="Arial" w:eastAsia="Arial" w:hAnsi="Arial" w:cs="Arial"/>
          <w:i/>
          <w:iCs/>
        </w:rPr>
        <w:t>incidentado</w:t>
      </w:r>
      <w:r>
        <w:rPr>
          <w:rFonts w:ascii="Arial" w:eastAsia="Arial" w:hAnsi="Arial" w:cs="Arial"/>
          <w:vertAlign w:val="superscript"/>
        </w:rPr>
        <w:footnoteReference w:id="5"/>
      </w:r>
      <w:r>
        <w:rPr>
          <w:rFonts w:ascii="Arial" w:eastAsia="Arial" w:hAnsi="Arial" w:cs="Arial"/>
        </w:rPr>
        <w:t xml:space="preserve">, así como el Cuaderno de Antecedentes TEEM-CA-085/2025, derivado del </w:t>
      </w:r>
      <w:r>
        <w:rPr>
          <w:rFonts w:ascii="Arial" w:eastAsia="Arial" w:hAnsi="Arial" w:cs="Arial"/>
          <w:i/>
          <w:iCs/>
        </w:rPr>
        <w:t>Juicio de la ciudadanía</w:t>
      </w:r>
      <w:r>
        <w:rPr>
          <w:rFonts w:ascii="Arial" w:eastAsia="Arial" w:hAnsi="Arial" w:cs="Arial"/>
        </w:rPr>
        <w:t>.</w:t>
      </w:r>
    </w:p>
    <w:p w14:paraId="6AB59AB7" w14:textId="77777777" w:rsidR="00686E6F" w:rsidRDefault="00686E6F">
      <w:pPr>
        <w:tabs>
          <w:tab w:val="left" w:pos="284"/>
        </w:tabs>
        <w:spacing w:line="360" w:lineRule="auto"/>
        <w:jc w:val="both"/>
        <w:rPr>
          <w:rFonts w:ascii="Arial" w:eastAsia="Arial" w:hAnsi="Arial" w:cs="Arial"/>
        </w:rPr>
      </w:pPr>
    </w:p>
    <w:p w14:paraId="53FD4282" w14:textId="77777777" w:rsidR="00686E6F" w:rsidRDefault="00000000">
      <w:pPr>
        <w:tabs>
          <w:tab w:val="left" w:pos="284"/>
        </w:tabs>
        <w:spacing w:line="360" w:lineRule="auto"/>
        <w:jc w:val="both"/>
        <w:rPr>
          <w:rFonts w:ascii="Arial" w:eastAsia="Arial" w:hAnsi="Arial" w:cs="Arial"/>
        </w:rPr>
      </w:pPr>
      <w:r>
        <w:rPr>
          <w:rFonts w:ascii="Arial" w:eastAsia="Arial" w:hAnsi="Arial" w:cs="Arial"/>
          <w:b/>
          <w:bCs/>
        </w:rPr>
        <w:t xml:space="preserve">Tercero. Recepción y requerimiento. </w:t>
      </w:r>
      <w:r>
        <w:rPr>
          <w:rFonts w:ascii="Arial" w:eastAsia="Arial" w:hAnsi="Arial" w:cs="Arial"/>
        </w:rPr>
        <w:t>En auto de misma fecha</w:t>
      </w:r>
      <w:r>
        <w:rPr>
          <w:rFonts w:ascii="Arial" w:eastAsia="Arial" w:hAnsi="Arial" w:cs="Arial"/>
          <w:vertAlign w:val="superscript"/>
        </w:rPr>
        <w:footnoteReference w:id="6"/>
      </w:r>
      <w:r>
        <w:rPr>
          <w:rFonts w:ascii="Arial" w:eastAsia="Arial" w:hAnsi="Arial" w:cs="Arial"/>
        </w:rPr>
        <w:t xml:space="preserve">, se tuvieron por recibidas las constancias remitidas por el </w:t>
      </w:r>
      <w:r>
        <w:rPr>
          <w:rFonts w:ascii="Arial" w:eastAsia="Arial" w:hAnsi="Arial" w:cs="Arial"/>
          <w:i/>
          <w:iCs/>
        </w:rPr>
        <w:t>incidentado</w:t>
      </w:r>
      <w:r>
        <w:rPr>
          <w:rFonts w:ascii="Arial" w:eastAsia="Arial" w:hAnsi="Arial" w:cs="Arial"/>
        </w:rPr>
        <w:t>, y se requirió al mismo diversa documentación.</w:t>
      </w:r>
    </w:p>
    <w:p w14:paraId="35ED61E0" w14:textId="77777777" w:rsidR="00686E6F" w:rsidRDefault="00686E6F">
      <w:pPr>
        <w:tabs>
          <w:tab w:val="left" w:pos="284"/>
        </w:tabs>
        <w:spacing w:line="360" w:lineRule="auto"/>
        <w:jc w:val="both"/>
        <w:rPr>
          <w:rFonts w:ascii="Arial" w:eastAsia="Arial" w:hAnsi="Arial" w:cs="Arial"/>
        </w:rPr>
      </w:pPr>
    </w:p>
    <w:p w14:paraId="6ED09062" w14:textId="77777777" w:rsidR="00686E6F" w:rsidRDefault="00000000">
      <w:pPr>
        <w:tabs>
          <w:tab w:val="left" w:pos="284"/>
        </w:tabs>
        <w:spacing w:line="360" w:lineRule="auto"/>
        <w:jc w:val="both"/>
        <w:rPr>
          <w:rFonts w:ascii="Arial" w:eastAsia="Arial" w:hAnsi="Arial" w:cs="Arial"/>
        </w:rPr>
      </w:pPr>
      <w:r>
        <w:rPr>
          <w:rFonts w:ascii="Arial" w:eastAsia="Arial" w:hAnsi="Arial" w:cs="Arial"/>
          <w:b/>
          <w:bCs/>
        </w:rPr>
        <w:t xml:space="preserve">Cuarto. Cumplimiento </w:t>
      </w:r>
      <w:proofErr w:type="spellStart"/>
      <w:r>
        <w:rPr>
          <w:rFonts w:ascii="Arial" w:eastAsia="Arial" w:hAnsi="Arial" w:cs="Arial"/>
          <w:b/>
          <w:bCs/>
        </w:rPr>
        <w:t>e</w:t>
      </w:r>
      <w:proofErr w:type="spellEnd"/>
      <w:r>
        <w:rPr>
          <w:rFonts w:ascii="Arial" w:eastAsia="Arial" w:hAnsi="Arial" w:cs="Arial"/>
          <w:b/>
          <w:bCs/>
        </w:rPr>
        <w:t xml:space="preserve"> interposición del incidente de incumplimiento. </w:t>
      </w:r>
      <w:r>
        <w:rPr>
          <w:rFonts w:ascii="Arial" w:eastAsia="Arial" w:hAnsi="Arial" w:cs="Arial"/>
        </w:rPr>
        <w:t>Mediante acuerdo de cinco de septiembre</w:t>
      </w:r>
      <w:r>
        <w:rPr>
          <w:rFonts w:ascii="Arial" w:eastAsia="Arial" w:hAnsi="Arial" w:cs="Arial"/>
          <w:vertAlign w:val="superscript"/>
        </w:rPr>
        <w:footnoteReference w:id="7"/>
      </w:r>
      <w:r>
        <w:rPr>
          <w:rFonts w:ascii="Arial" w:eastAsia="Arial" w:hAnsi="Arial" w:cs="Arial"/>
        </w:rPr>
        <w:t xml:space="preserve">, se tuvo al </w:t>
      </w:r>
      <w:r>
        <w:rPr>
          <w:rFonts w:ascii="Arial" w:eastAsia="Arial" w:hAnsi="Arial" w:cs="Arial"/>
          <w:i/>
          <w:iCs/>
        </w:rPr>
        <w:t>incidentado</w:t>
      </w:r>
      <w:r>
        <w:rPr>
          <w:rFonts w:ascii="Arial" w:eastAsia="Arial" w:hAnsi="Arial" w:cs="Arial"/>
        </w:rPr>
        <w:t xml:space="preserve"> cumpliendo con el requerimiento referido en el punto previo y, debido al escrito presentado por el </w:t>
      </w:r>
      <w:proofErr w:type="spellStart"/>
      <w:r>
        <w:rPr>
          <w:rFonts w:ascii="Arial" w:eastAsia="Arial" w:hAnsi="Arial" w:cs="Arial"/>
          <w:i/>
          <w:iCs/>
        </w:rPr>
        <w:t>incidentista</w:t>
      </w:r>
      <w:proofErr w:type="spellEnd"/>
      <w:r>
        <w:rPr>
          <w:rFonts w:ascii="Arial" w:eastAsia="Arial" w:hAnsi="Arial" w:cs="Arial"/>
        </w:rPr>
        <w:t xml:space="preserve">, se ordenó formar por cuerda separada el </w:t>
      </w:r>
      <w:r>
        <w:rPr>
          <w:rFonts w:ascii="Arial" w:eastAsia="Arial" w:hAnsi="Arial" w:cs="Arial"/>
          <w:i/>
          <w:iCs/>
        </w:rPr>
        <w:t>incidente</w:t>
      </w:r>
      <w:r>
        <w:rPr>
          <w:rFonts w:ascii="Arial" w:eastAsia="Arial" w:hAnsi="Arial" w:cs="Arial"/>
        </w:rPr>
        <w:t>.</w:t>
      </w:r>
    </w:p>
    <w:p w14:paraId="524000C7" w14:textId="77777777" w:rsidR="00686E6F" w:rsidRDefault="00686E6F">
      <w:pPr>
        <w:tabs>
          <w:tab w:val="left" w:pos="284"/>
        </w:tabs>
        <w:spacing w:line="360" w:lineRule="auto"/>
        <w:jc w:val="both"/>
        <w:rPr>
          <w:rFonts w:ascii="Arial" w:eastAsia="Arial" w:hAnsi="Arial" w:cs="Arial"/>
        </w:rPr>
      </w:pPr>
    </w:p>
    <w:p w14:paraId="7C6AB1D3" w14:textId="77777777" w:rsidR="00686E6F" w:rsidRDefault="00000000">
      <w:pPr>
        <w:tabs>
          <w:tab w:val="left" w:pos="284"/>
        </w:tabs>
        <w:spacing w:line="360" w:lineRule="auto"/>
        <w:jc w:val="both"/>
        <w:rPr>
          <w:rFonts w:ascii="Arial" w:eastAsia="Arial" w:hAnsi="Arial" w:cs="Arial"/>
        </w:rPr>
      </w:pPr>
      <w:r>
        <w:rPr>
          <w:rFonts w:ascii="Arial" w:eastAsia="Arial" w:hAnsi="Arial" w:cs="Arial"/>
          <w:b/>
          <w:bCs/>
        </w:rPr>
        <w:t xml:space="preserve">Quinto. Acta de verificación. </w:t>
      </w:r>
      <w:r>
        <w:rPr>
          <w:rFonts w:ascii="Arial" w:eastAsia="Arial" w:hAnsi="Arial" w:cs="Arial"/>
        </w:rPr>
        <w:t xml:space="preserve">El diez de septiembre, se instruyó llevar a cabo diligencia de verificación de contenido respecto de un dispositivo de memoria USB aportada por el </w:t>
      </w:r>
      <w:proofErr w:type="spellStart"/>
      <w:r>
        <w:rPr>
          <w:rFonts w:ascii="Arial" w:eastAsia="Arial" w:hAnsi="Arial" w:cs="Arial"/>
          <w:i/>
          <w:iCs/>
        </w:rPr>
        <w:t>incidentista</w:t>
      </w:r>
      <w:proofErr w:type="spellEnd"/>
      <w:r>
        <w:rPr>
          <w:rFonts w:ascii="Arial" w:eastAsia="Arial" w:hAnsi="Arial" w:cs="Arial"/>
          <w:vertAlign w:val="superscript"/>
        </w:rPr>
        <w:footnoteReference w:id="8"/>
      </w:r>
      <w:r>
        <w:rPr>
          <w:rFonts w:ascii="Arial" w:eastAsia="Arial" w:hAnsi="Arial" w:cs="Arial"/>
        </w:rPr>
        <w:t>.</w:t>
      </w:r>
    </w:p>
    <w:p w14:paraId="2434DC32" w14:textId="77777777" w:rsidR="00686E6F" w:rsidRDefault="00686E6F">
      <w:pPr>
        <w:tabs>
          <w:tab w:val="left" w:pos="284"/>
        </w:tabs>
        <w:spacing w:line="360" w:lineRule="auto"/>
        <w:jc w:val="both"/>
        <w:rPr>
          <w:rFonts w:ascii="Arial" w:eastAsia="Arial" w:hAnsi="Arial" w:cs="Arial"/>
        </w:rPr>
      </w:pPr>
    </w:p>
    <w:p w14:paraId="1AF03D69" w14:textId="77777777" w:rsidR="00686E6F" w:rsidRDefault="00000000">
      <w:pPr>
        <w:tabs>
          <w:tab w:val="left" w:pos="284"/>
        </w:tabs>
        <w:spacing w:line="360" w:lineRule="auto"/>
        <w:jc w:val="both"/>
        <w:rPr>
          <w:rFonts w:ascii="Arial" w:eastAsia="Arial" w:hAnsi="Arial" w:cs="Arial"/>
        </w:rPr>
      </w:pPr>
      <w:r>
        <w:rPr>
          <w:rFonts w:ascii="Arial" w:eastAsia="Arial" w:hAnsi="Arial" w:cs="Arial"/>
          <w:b/>
          <w:bCs/>
        </w:rPr>
        <w:t xml:space="preserve">Sexto. Desahogo de acta de verificación y vista. </w:t>
      </w:r>
      <w:r>
        <w:rPr>
          <w:rFonts w:ascii="Arial" w:eastAsia="Arial" w:hAnsi="Arial" w:cs="Arial"/>
        </w:rPr>
        <w:t xml:space="preserve">El doce de septiembre, se tuvo por desahogada la diligencia de verificación referida previamente y se ordenó dar vista al </w:t>
      </w:r>
      <w:proofErr w:type="spellStart"/>
      <w:r>
        <w:rPr>
          <w:rFonts w:ascii="Arial" w:eastAsia="Arial" w:hAnsi="Arial" w:cs="Arial"/>
          <w:i/>
          <w:iCs/>
        </w:rPr>
        <w:t>incidentista</w:t>
      </w:r>
      <w:proofErr w:type="spellEnd"/>
      <w:r>
        <w:rPr>
          <w:rFonts w:ascii="Arial" w:eastAsia="Arial" w:hAnsi="Arial" w:cs="Arial"/>
        </w:rPr>
        <w:t xml:space="preserve"> con la misma, así como con diversa documentación remitida por el </w:t>
      </w:r>
      <w:r>
        <w:rPr>
          <w:rFonts w:ascii="Arial" w:eastAsia="Arial" w:hAnsi="Arial" w:cs="Arial"/>
          <w:i/>
          <w:iCs/>
        </w:rPr>
        <w:t>incidentado</w:t>
      </w:r>
      <w:r>
        <w:rPr>
          <w:rFonts w:ascii="Arial" w:eastAsia="Arial" w:hAnsi="Arial" w:cs="Arial"/>
        </w:rPr>
        <w:t xml:space="preserve"> en cumplimiento, bajo apercibimiento </w:t>
      </w:r>
      <w:proofErr w:type="gramStart"/>
      <w:r>
        <w:rPr>
          <w:rFonts w:ascii="Arial" w:eastAsia="Arial" w:hAnsi="Arial" w:cs="Arial"/>
        </w:rPr>
        <w:t>que</w:t>
      </w:r>
      <w:proofErr w:type="gramEnd"/>
      <w:r>
        <w:rPr>
          <w:rFonts w:ascii="Arial" w:eastAsia="Arial" w:hAnsi="Arial" w:cs="Arial"/>
        </w:rPr>
        <w:t xml:space="preserve"> de no hacerlo, se resolvería con los elementos que obran en autos</w:t>
      </w:r>
      <w:r>
        <w:rPr>
          <w:rFonts w:ascii="Arial" w:eastAsia="Arial" w:hAnsi="Arial" w:cs="Arial"/>
          <w:vertAlign w:val="superscript"/>
        </w:rPr>
        <w:t xml:space="preserve"> </w:t>
      </w:r>
      <w:r>
        <w:rPr>
          <w:rFonts w:ascii="Arial" w:eastAsia="Arial" w:hAnsi="Arial" w:cs="Arial"/>
          <w:vertAlign w:val="superscript"/>
        </w:rPr>
        <w:footnoteReference w:id="9"/>
      </w:r>
      <w:r>
        <w:rPr>
          <w:rFonts w:ascii="Arial" w:eastAsia="Arial" w:hAnsi="Arial" w:cs="Arial"/>
        </w:rPr>
        <w:t>.</w:t>
      </w:r>
    </w:p>
    <w:p w14:paraId="0D70B76B" w14:textId="77777777" w:rsidR="00686E6F" w:rsidRDefault="00686E6F">
      <w:pPr>
        <w:tabs>
          <w:tab w:val="left" w:pos="284"/>
        </w:tabs>
        <w:spacing w:line="360" w:lineRule="auto"/>
        <w:jc w:val="both"/>
        <w:rPr>
          <w:rFonts w:ascii="Arial" w:eastAsia="Arial" w:hAnsi="Arial" w:cs="Arial"/>
        </w:rPr>
      </w:pPr>
    </w:p>
    <w:p w14:paraId="38394848" w14:textId="77777777" w:rsidR="00686E6F" w:rsidRDefault="00000000">
      <w:pPr>
        <w:spacing w:line="360" w:lineRule="auto"/>
        <w:ind w:right="48"/>
        <w:jc w:val="both"/>
        <w:rPr>
          <w:rFonts w:ascii="Arial" w:eastAsia="Arial" w:hAnsi="Arial" w:cs="Arial"/>
        </w:rPr>
      </w:pPr>
      <w:r>
        <w:rPr>
          <w:rFonts w:ascii="Arial" w:eastAsia="Arial" w:hAnsi="Arial" w:cs="Arial"/>
          <w:b/>
          <w:bCs/>
        </w:rPr>
        <w:t xml:space="preserve">Séptimo. Vista. </w:t>
      </w:r>
      <w:r>
        <w:rPr>
          <w:rFonts w:ascii="Arial" w:eastAsia="Arial" w:hAnsi="Arial" w:cs="Arial"/>
        </w:rPr>
        <w:t>Mediante acuerdo de diecisiete de septiembre se otorgó vista al</w:t>
      </w:r>
      <w:r>
        <w:rPr>
          <w:rFonts w:ascii="Arial" w:eastAsia="Arial" w:hAnsi="Arial" w:cs="Arial"/>
          <w:i/>
          <w:iCs/>
        </w:rPr>
        <w:t xml:space="preserve"> Secretario de Administración</w:t>
      </w:r>
      <w:r>
        <w:rPr>
          <w:rFonts w:ascii="Arial" w:eastAsia="Arial" w:hAnsi="Arial" w:cs="Arial"/>
        </w:rPr>
        <w:t xml:space="preserve"> con copia certificada del escrito incidental para que se pronunciara al respecto</w:t>
      </w:r>
      <w:r>
        <w:rPr>
          <w:rFonts w:ascii="Arial" w:eastAsia="Arial" w:hAnsi="Arial" w:cs="Arial"/>
          <w:vertAlign w:val="superscript"/>
        </w:rPr>
        <w:footnoteReference w:id="10"/>
      </w:r>
      <w:r>
        <w:rPr>
          <w:rFonts w:ascii="Arial" w:eastAsia="Arial" w:hAnsi="Arial" w:cs="Arial"/>
        </w:rPr>
        <w:t>.</w:t>
      </w:r>
    </w:p>
    <w:p w14:paraId="0896C5C8" w14:textId="77777777" w:rsidR="00686E6F" w:rsidRDefault="00686E6F">
      <w:pPr>
        <w:spacing w:line="360" w:lineRule="auto"/>
        <w:ind w:right="48"/>
        <w:jc w:val="both"/>
        <w:rPr>
          <w:rFonts w:ascii="Arial" w:eastAsia="Arial" w:hAnsi="Arial" w:cs="Arial"/>
        </w:rPr>
      </w:pPr>
    </w:p>
    <w:p w14:paraId="1B2E320C" w14:textId="77777777" w:rsidR="00686E6F" w:rsidRDefault="00000000">
      <w:pPr>
        <w:spacing w:line="360" w:lineRule="auto"/>
        <w:ind w:right="48"/>
        <w:jc w:val="both"/>
        <w:rPr>
          <w:rFonts w:ascii="Arial" w:eastAsia="Arial" w:hAnsi="Arial" w:cs="Arial"/>
        </w:rPr>
      </w:pPr>
      <w:r>
        <w:rPr>
          <w:rFonts w:ascii="Arial" w:eastAsia="Arial" w:hAnsi="Arial" w:cs="Arial"/>
          <w:b/>
          <w:bCs/>
        </w:rPr>
        <w:t xml:space="preserve">Octavo. Preclusión, desahogo de vista y vista. </w:t>
      </w:r>
      <w:r>
        <w:rPr>
          <w:rFonts w:ascii="Arial" w:eastAsia="Arial" w:hAnsi="Arial" w:cs="Arial"/>
        </w:rPr>
        <w:t>En auto de veinticuatro de septiembre se hizo efectivo el apercibimiento decretado en el acuerdo descrito en el punto sexto</w:t>
      </w:r>
      <w:r>
        <w:rPr>
          <w:rFonts w:ascii="Arial" w:eastAsia="Arial" w:hAnsi="Arial" w:cs="Arial"/>
          <w:vertAlign w:val="superscript"/>
        </w:rPr>
        <w:footnoteReference w:id="11"/>
      </w:r>
      <w:r>
        <w:rPr>
          <w:rFonts w:ascii="Arial" w:eastAsia="Arial" w:hAnsi="Arial" w:cs="Arial"/>
        </w:rPr>
        <w:t xml:space="preserve">, se tuvo por desahogada la vista otorgada al </w:t>
      </w:r>
      <w:r>
        <w:rPr>
          <w:rFonts w:ascii="Arial" w:eastAsia="Arial" w:hAnsi="Arial" w:cs="Arial"/>
          <w:i/>
          <w:iCs/>
        </w:rPr>
        <w:t>incidentado</w:t>
      </w:r>
      <w:r>
        <w:rPr>
          <w:rFonts w:ascii="Arial" w:eastAsia="Arial" w:hAnsi="Arial" w:cs="Arial"/>
        </w:rPr>
        <w:t xml:space="preserve"> y nuevamente se dio vista al </w:t>
      </w:r>
      <w:proofErr w:type="spellStart"/>
      <w:r>
        <w:rPr>
          <w:rFonts w:ascii="Arial" w:eastAsia="Arial" w:hAnsi="Arial" w:cs="Arial"/>
          <w:i/>
          <w:iCs/>
        </w:rPr>
        <w:t>incidentista</w:t>
      </w:r>
      <w:proofErr w:type="spellEnd"/>
      <w:r>
        <w:rPr>
          <w:rFonts w:ascii="Arial" w:eastAsia="Arial" w:hAnsi="Arial" w:cs="Arial"/>
        </w:rPr>
        <w:t xml:space="preserve"> con el desahogo referido.</w:t>
      </w:r>
    </w:p>
    <w:p w14:paraId="5642A62A" w14:textId="77777777" w:rsidR="00686E6F" w:rsidRDefault="00686E6F">
      <w:pPr>
        <w:spacing w:line="360" w:lineRule="auto"/>
        <w:ind w:right="48"/>
        <w:jc w:val="both"/>
        <w:rPr>
          <w:rFonts w:ascii="Arial" w:eastAsia="Arial" w:hAnsi="Arial" w:cs="Arial"/>
        </w:rPr>
      </w:pPr>
    </w:p>
    <w:p w14:paraId="55ED6EC0" w14:textId="77777777" w:rsidR="00686E6F" w:rsidRDefault="00000000">
      <w:pPr>
        <w:spacing w:line="360" w:lineRule="auto"/>
        <w:ind w:right="48"/>
        <w:jc w:val="both"/>
        <w:rPr>
          <w:rFonts w:ascii="Arial" w:eastAsia="Arial" w:hAnsi="Arial" w:cs="Arial"/>
        </w:rPr>
      </w:pPr>
      <w:r>
        <w:rPr>
          <w:rFonts w:ascii="Arial" w:eastAsia="Arial" w:hAnsi="Arial" w:cs="Arial"/>
          <w:b/>
          <w:bCs/>
        </w:rPr>
        <w:t xml:space="preserve">Noveno. Desahogo de vista. </w:t>
      </w:r>
      <w:r>
        <w:rPr>
          <w:rFonts w:ascii="Arial" w:eastAsia="Arial" w:hAnsi="Arial" w:cs="Arial"/>
        </w:rPr>
        <w:t>El tres de</w:t>
      </w:r>
      <w:r>
        <w:rPr>
          <w:rFonts w:ascii="Arial" w:eastAsia="Arial" w:hAnsi="Arial" w:cs="Arial"/>
          <w:b/>
          <w:bCs/>
        </w:rPr>
        <w:t xml:space="preserve"> </w:t>
      </w:r>
      <w:r>
        <w:rPr>
          <w:rFonts w:ascii="Arial" w:eastAsia="Arial" w:hAnsi="Arial" w:cs="Arial"/>
        </w:rPr>
        <w:t xml:space="preserve">octubre, se tuvo al </w:t>
      </w:r>
      <w:proofErr w:type="spellStart"/>
      <w:r>
        <w:rPr>
          <w:rFonts w:ascii="Arial" w:eastAsia="Arial" w:hAnsi="Arial" w:cs="Arial"/>
          <w:i/>
          <w:iCs/>
        </w:rPr>
        <w:t>incidentista</w:t>
      </w:r>
      <w:proofErr w:type="spellEnd"/>
      <w:r>
        <w:rPr>
          <w:rFonts w:ascii="Arial" w:eastAsia="Arial" w:hAnsi="Arial" w:cs="Arial"/>
        </w:rPr>
        <w:t xml:space="preserve"> desahogando la vista referida en el punto previo</w:t>
      </w:r>
      <w:r>
        <w:rPr>
          <w:rFonts w:ascii="Arial" w:eastAsia="Arial" w:hAnsi="Arial" w:cs="Arial"/>
          <w:vertAlign w:val="superscript"/>
        </w:rPr>
        <w:footnoteReference w:id="12"/>
      </w:r>
      <w:r>
        <w:rPr>
          <w:rFonts w:ascii="Arial" w:eastAsia="Arial" w:hAnsi="Arial" w:cs="Arial"/>
        </w:rPr>
        <w:t xml:space="preserve">. </w:t>
      </w:r>
    </w:p>
    <w:p w14:paraId="10BE9F42" w14:textId="77777777" w:rsidR="00686E6F" w:rsidRDefault="00686E6F">
      <w:pPr>
        <w:spacing w:line="360" w:lineRule="auto"/>
        <w:ind w:right="48"/>
        <w:jc w:val="both"/>
        <w:rPr>
          <w:rFonts w:ascii="Arial" w:eastAsia="Arial" w:hAnsi="Arial" w:cs="Arial"/>
          <w:b/>
          <w:bCs/>
        </w:rPr>
      </w:pPr>
    </w:p>
    <w:p w14:paraId="7BF062D7" w14:textId="77777777" w:rsidR="00686E6F" w:rsidRDefault="00000000">
      <w:pPr>
        <w:spacing w:line="360" w:lineRule="auto"/>
        <w:ind w:right="48"/>
        <w:jc w:val="both"/>
        <w:rPr>
          <w:rFonts w:ascii="Arial" w:eastAsia="Arial" w:hAnsi="Arial" w:cs="Arial"/>
        </w:rPr>
      </w:pPr>
      <w:r>
        <w:rPr>
          <w:rFonts w:ascii="Arial" w:eastAsia="Arial" w:hAnsi="Arial" w:cs="Arial"/>
          <w:b/>
          <w:bCs/>
        </w:rPr>
        <w:lastRenderedPageBreak/>
        <w:t xml:space="preserve">Décimo. Citación a sentencia. </w:t>
      </w:r>
      <w:r>
        <w:rPr>
          <w:rFonts w:ascii="Arial" w:eastAsia="Arial" w:hAnsi="Arial" w:cs="Arial"/>
        </w:rPr>
        <w:t>El ocho del mismo mes se citó para resolución</w:t>
      </w:r>
      <w:r>
        <w:rPr>
          <w:rFonts w:ascii="Arial" w:eastAsia="Arial" w:hAnsi="Arial" w:cs="Arial"/>
          <w:vertAlign w:val="superscript"/>
        </w:rPr>
        <w:footnoteReference w:id="13"/>
      </w:r>
      <w:r>
        <w:rPr>
          <w:rFonts w:ascii="Arial" w:eastAsia="Arial" w:hAnsi="Arial" w:cs="Arial"/>
        </w:rPr>
        <w:t>.</w:t>
      </w:r>
    </w:p>
    <w:p w14:paraId="500CD754" w14:textId="77777777" w:rsidR="00686E6F" w:rsidRDefault="00686E6F">
      <w:pPr>
        <w:spacing w:line="360" w:lineRule="auto"/>
        <w:ind w:right="48"/>
        <w:jc w:val="both"/>
        <w:rPr>
          <w:rFonts w:ascii="Arial" w:eastAsia="Arial" w:hAnsi="Arial" w:cs="Arial"/>
        </w:rPr>
      </w:pPr>
    </w:p>
    <w:p w14:paraId="17AD89DC" w14:textId="77777777" w:rsidR="00686E6F" w:rsidRDefault="00000000">
      <w:pPr>
        <w:spacing w:line="360" w:lineRule="auto"/>
        <w:ind w:right="48"/>
        <w:jc w:val="both"/>
        <w:rPr>
          <w:rFonts w:ascii="Arial" w:eastAsia="Arial" w:hAnsi="Arial" w:cs="Arial"/>
        </w:rPr>
      </w:pPr>
      <w:r>
        <w:rPr>
          <w:rFonts w:ascii="Arial" w:eastAsia="Arial" w:hAnsi="Arial" w:cs="Arial"/>
          <w:b/>
          <w:bCs/>
        </w:rPr>
        <w:t>Décimo primero. Resolución incidental</w:t>
      </w:r>
      <w:r>
        <w:rPr>
          <w:rFonts w:ascii="Arial" w:eastAsia="Arial" w:hAnsi="Arial" w:cs="Arial"/>
        </w:rPr>
        <w:t xml:space="preserve">. El nueve de octubre el </w:t>
      </w:r>
      <w:r>
        <w:rPr>
          <w:rFonts w:ascii="Arial" w:eastAsia="Arial" w:hAnsi="Arial" w:cs="Arial"/>
          <w:i/>
          <w:iCs/>
        </w:rPr>
        <w:t>Tribunal Electoral</w:t>
      </w:r>
      <w:r>
        <w:rPr>
          <w:rFonts w:ascii="Arial" w:eastAsia="Arial" w:hAnsi="Arial" w:cs="Arial"/>
        </w:rPr>
        <w:t xml:space="preserve"> emitió </w:t>
      </w:r>
      <w:r>
        <w:rPr>
          <w:rFonts w:ascii="Arial" w:eastAsia="Arial" w:hAnsi="Arial" w:cs="Arial"/>
          <w:i/>
          <w:iCs/>
        </w:rPr>
        <w:t>resolución incidental</w:t>
      </w:r>
      <w:r>
        <w:rPr>
          <w:rFonts w:ascii="Arial" w:eastAsia="Arial" w:hAnsi="Arial" w:cs="Arial"/>
        </w:rPr>
        <w:t>.</w:t>
      </w:r>
    </w:p>
    <w:p w14:paraId="778E7650" w14:textId="77777777" w:rsidR="00686E6F" w:rsidRDefault="00686E6F">
      <w:pPr>
        <w:spacing w:line="360" w:lineRule="auto"/>
        <w:ind w:right="48"/>
        <w:jc w:val="both"/>
        <w:rPr>
          <w:rFonts w:ascii="Arial" w:eastAsia="Arial" w:hAnsi="Arial" w:cs="Arial"/>
        </w:rPr>
      </w:pPr>
    </w:p>
    <w:p w14:paraId="2F5DE083" w14:textId="77777777" w:rsidR="00686E6F" w:rsidRDefault="00000000">
      <w:pPr>
        <w:spacing w:line="360" w:lineRule="auto"/>
        <w:ind w:right="48"/>
        <w:jc w:val="both"/>
        <w:rPr>
          <w:rFonts w:ascii="Arial" w:eastAsia="Arial" w:hAnsi="Arial" w:cs="Arial"/>
        </w:rPr>
      </w:pPr>
      <w:r>
        <w:rPr>
          <w:rFonts w:ascii="Arial" w:eastAsia="Arial" w:hAnsi="Arial" w:cs="Arial"/>
          <w:b/>
          <w:bCs/>
        </w:rPr>
        <w:t>Décimo segundo.</w:t>
      </w:r>
      <w:r>
        <w:rPr>
          <w:rFonts w:ascii="Arial" w:eastAsia="Arial" w:hAnsi="Arial" w:cs="Arial"/>
        </w:rPr>
        <w:t xml:space="preserve"> </w:t>
      </w:r>
      <w:r>
        <w:rPr>
          <w:rFonts w:ascii="Arial" w:eastAsia="Arial" w:hAnsi="Arial" w:cs="Arial"/>
          <w:b/>
          <w:bCs/>
        </w:rPr>
        <w:t>Impugnación</w:t>
      </w:r>
      <w:r>
        <w:rPr>
          <w:rFonts w:ascii="Arial" w:eastAsia="Arial" w:hAnsi="Arial" w:cs="Arial"/>
        </w:rPr>
        <w:t xml:space="preserve">. Posterior a su notificación, el </w:t>
      </w:r>
      <w:proofErr w:type="spellStart"/>
      <w:r>
        <w:rPr>
          <w:rFonts w:ascii="Arial" w:eastAsia="Arial" w:hAnsi="Arial" w:cs="Arial"/>
          <w:i/>
          <w:iCs/>
        </w:rPr>
        <w:t>incidentista</w:t>
      </w:r>
      <w:proofErr w:type="spellEnd"/>
      <w:r>
        <w:rPr>
          <w:rFonts w:ascii="Arial" w:eastAsia="Arial" w:hAnsi="Arial" w:cs="Arial"/>
        </w:rPr>
        <w:t xml:space="preserve"> impugnó la </w:t>
      </w:r>
      <w:r>
        <w:rPr>
          <w:rFonts w:ascii="Arial" w:eastAsia="Arial" w:hAnsi="Arial" w:cs="Arial"/>
          <w:i/>
          <w:iCs/>
        </w:rPr>
        <w:t>resolución incidental</w:t>
      </w:r>
      <w:r>
        <w:rPr>
          <w:rFonts w:ascii="Arial" w:eastAsia="Arial" w:hAnsi="Arial" w:cs="Arial"/>
        </w:rPr>
        <w:t xml:space="preserve"> ante la </w:t>
      </w:r>
      <w:r>
        <w:rPr>
          <w:rFonts w:ascii="Arial" w:eastAsia="Arial" w:hAnsi="Arial" w:cs="Arial"/>
          <w:i/>
          <w:iCs/>
        </w:rPr>
        <w:t>instancia federal</w:t>
      </w:r>
      <w:r>
        <w:rPr>
          <w:rFonts w:ascii="Arial" w:eastAsia="Arial" w:hAnsi="Arial" w:cs="Arial"/>
        </w:rPr>
        <w:t>.</w:t>
      </w:r>
    </w:p>
    <w:p w14:paraId="3F7AC866" w14:textId="77777777" w:rsidR="00686E6F" w:rsidRDefault="00686E6F">
      <w:pPr>
        <w:spacing w:line="360" w:lineRule="auto"/>
        <w:ind w:right="48"/>
        <w:jc w:val="both"/>
        <w:rPr>
          <w:rFonts w:ascii="Arial" w:eastAsia="Arial" w:hAnsi="Arial" w:cs="Arial"/>
        </w:rPr>
      </w:pPr>
    </w:p>
    <w:p w14:paraId="6466BD7B" w14:textId="77777777" w:rsidR="00686E6F" w:rsidRDefault="00000000">
      <w:pPr>
        <w:spacing w:line="360" w:lineRule="auto"/>
        <w:ind w:right="48"/>
        <w:jc w:val="both"/>
        <w:rPr>
          <w:rFonts w:ascii="Arial" w:eastAsia="Arial" w:hAnsi="Arial" w:cs="Arial"/>
        </w:rPr>
      </w:pPr>
      <w:r>
        <w:rPr>
          <w:rFonts w:ascii="Arial" w:eastAsia="Arial" w:hAnsi="Arial" w:cs="Arial"/>
          <w:b/>
          <w:bCs/>
        </w:rPr>
        <w:t>Décimo tercero.</w:t>
      </w:r>
      <w:r>
        <w:rPr>
          <w:rFonts w:ascii="Arial" w:eastAsia="Arial" w:hAnsi="Arial" w:cs="Arial"/>
        </w:rPr>
        <w:t xml:space="preserve"> </w:t>
      </w:r>
      <w:r>
        <w:rPr>
          <w:rFonts w:ascii="Arial" w:eastAsia="Arial" w:hAnsi="Arial" w:cs="Arial"/>
          <w:b/>
          <w:bCs/>
        </w:rPr>
        <w:t xml:space="preserve">Sentencia federal. </w:t>
      </w:r>
      <w:r>
        <w:rPr>
          <w:rFonts w:ascii="Arial" w:eastAsia="Arial" w:hAnsi="Arial" w:cs="Arial"/>
        </w:rPr>
        <w:t xml:space="preserve">El siete de noviembre la </w:t>
      </w:r>
      <w:r>
        <w:rPr>
          <w:rFonts w:ascii="Arial" w:eastAsia="Arial" w:hAnsi="Arial" w:cs="Arial"/>
          <w:i/>
          <w:iCs/>
        </w:rPr>
        <w:t>Sala Regional Toluca</w:t>
      </w:r>
      <w:r>
        <w:rPr>
          <w:rFonts w:ascii="Arial" w:eastAsia="Arial" w:hAnsi="Arial" w:cs="Arial"/>
        </w:rPr>
        <w:t xml:space="preserve"> dictó sentencia</w:t>
      </w:r>
      <w:r>
        <w:rPr>
          <w:rFonts w:ascii="Arial" w:eastAsia="Arial" w:hAnsi="Arial" w:cs="Arial"/>
          <w:vertAlign w:val="superscript"/>
        </w:rPr>
        <w:footnoteReference w:id="14"/>
      </w:r>
      <w:r>
        <w:rPr>
          <w:rFonts w:ascii="Arial" w:eastAsia="Arial" w:hAnsi="Arial" w:cs="Arial"/>
        </w:rPr>
        <w:t xml:space="preserve"> dentro del juicio federal ST-JDC-295/2025</w:t>
      </w:r>
      <w:r>
        <w:rPr>
          <w:rFonts w:ascii="Arial" w:eastAsia="Arial" w:hAnsi="Arial" w:cs="Arial"/>
          <w:vertAlign w:val="superscript"/>
        </w:rPr>
        <w:footnoteReference w:id="15"/>
      </w:r>
      <w:r>
        <w:rPr>
          <w:rFonts w:ascii="Arial" w:eastAsia="Arial" w:hAnsi="Arial" w:cs="Arial"/>
        </w:rPr>
        <w:t xml:space="preserve">, a través de la cual revocó la </w:t>
      </w:r>
      <w:r>
        <w:rPr>
          <w:rFonts w:ascii="Arial" w:eastAsia="Arial" w:hAnsi="Arial" w:cs="Arial"/>
          <w:i/>
          <w:iCs/>
        </w:rPr>
        <w:t>resolución incidental</w:t>
      </w:r>
      <w:r>
        <w:rPr>
          <w:rFonts w:ascii="Arial" w:eastAsia="Arial" w:hAnsi="Arial" w:cs="Arial"/>
        </w:rPr>
        <w:t xml:space="preserve"> y ordenó la emisión de una nueva.</w:t>
      </w:r>
    </w:p>
    <w:p w14:paraId="547FFC03" w14:textId="77777777" w:rsidR="00686E6F" w:rsidRDefault="00686E6F">
      <w:pPr>
        <w:spacing w:line="360" w:lineRule="auto"/>
        <w:ind w:right="48"/>
        <w:jc w:val="both"/>
        <w:rPr>
          <w:rFonts w:ascii="Arial" w:eastAsia="Arial" w:hAnsi="Arial" w:cs="Arial"/>
        </w:rPr>
      </w:pPr>
    </w:p>
    <w:p w14:paraId="4CF3E13F" w14:textId="77777777" w:rsidR="00686E6F" w:rsidRDefault="00000000">
      <w:pPr>
        <w:spacing w:line="360" w:lineRule="auto"/>
        <w:ind w:right="48"/>
        <w:jc w:val="both"/>
        <w:rPr>
          <w:rFonts w:ascii="Arial" w:eastAsia="Arial" w:hAnsi="Arial" w:cs="Arial"/>
        </w:rPr>
      </w:pPr>
      <w:r>
        <w:rPr>
          <w:rFonts w:ascii="Arial" w:eastAsia="Arial" w:hAnsi="Arial" w:cs="Arial"/>
          <w:b/>
          <w:bCs/>
        </w:rPr>
        <w:t>Décimo cuarto. Recepción y requerimiento.</w:t>
      </w:r>
      <w:r>
        <w:rPr>
          <w:rFonts w:ascii="Arial" w:eastAsia="Arial" w:hAnsi="Arial" w:cs="Arial"/>
        </w:rPr>
        <w:t xml:space="preserve"> Por auto de once de noviembre</w:t>
      </w:r>
      <w:r>
        <w:rPr>
          <w:rFonts w:ascii="Arial" w:eastAsia="Arial" w:hAnsi="Arial" w:cs="Arial"/>
          <w:vertAlign w:val="superscript"/>
        </w:rPr>
        <w:footnoteReference w:id="16"/>
      </w:r>
      <w:r>
        <w:rPr>
          <w:rFonts w:ascii="Arial" w:eastAsia="Arial" w:hAnsi="Arial" w:cs="Arial"/>
        </w:rPr>
        <w:t xml:space="preserve"> se recibieron las constancias relativas al punto anterior y, a fin de cumplimentar los efectos precisados por la </w:t>
      </w:r>
      <w:r>
        <w:rPr>
          <w:rFonts w:ascii="Arial" w:eastAsia="Arial" w:hAnsi="Arial" w:cs="Arial"/>
          <w:i/>
          <w:iCs/>
        </w:rPr>
        <w:t>instancia federal</w:t>
      </w:r>
      <w:r>
        <w:rPr>
          <w:rFonts w:ascii="Arial" w:eastAsia="Arial" w:hAnsi="Arial" w:cs="Arial"/>
        </w:rPr>
        <w:t xml:space="preserve">, se requirió al </w:t>
      </w:r>
      <w:r>
        <w:rPr>
          <w:rFonts w:ascii="Arial" w:eastAsia="Arial" w:hAnsi="Arial" w:cs="Arial"/>
          <w:i/>
          <w:iCs/>
        </w:rPr>
        <w:t>incidentado</w:t>
      </w:r>
      <w:r>
        <w:rPr>
          <w:rFonts w:ascii="Arial" w:eastAsia="Arial" w:hAnsi="Arial" w:cs="Arial"/>
        </w:rPr>
        <w:t xml:space="preserve"> la entrega de la información solicitada por el </w:t>
      </w:r>
      <w:proofErr w:type="spellStart"/>
      <w:r>
        <w:rPr>
          <w:rFonts w:ascii="Arial" w:eastAsia="Arial" w:hAnsi="Arial" w:cs="Arial"/>
          <w:i/>
          <w:iCs/>
        </w:rPr>
        <w:t>incidentista</w:t>
      </w:r>
      <w:proofErr w:type="spellEnd"/>
      <w:r>
        <w:rPr>
          <w:rFonts w:ascii="Arial" w:eastAsia="Arial" w:hAnsi="Arial" w:cs="Arial"/>
        </w:rPr>
        <w:t>.</w:t>
      </w:r>
    </w:p>
    <w:p w14:paraId="431505C7" w14:textId="77777777" w:rsidR="00686E6F" w:rsidRDefault="00686E6F">
      <w:pPr>
        <w:spacing w:line="360" w:lineRule="auto"/>
        <w:ind w:right="48"/>
        <w:jc w:val="both"/>
        <w:rPr>
          <w:rFonts w:ascii="Arial" w:eastAsia="Arial" w:hAnsi="Arial" w:cs="Arial"/>
        </w:rPr>
      </w:pPr>
    </w:p>
    <w:p w14:paraId="188B7F9B" w14:textId="77777777" w:rsidR="00686E6F" w:rsidRDefault="00000000">
      <w:pPr>
        <w:spacing w:line="360" w:lineRule="auto"/>
        <w:ind w:right="48"/>
        <w:jc w:val="both"/>
        <w:rPr>
          <w:rFonts w:ascii="Arial" w:eastAsia="Arial" w:hAnsi="Arial" w:cs="Arial"/>
        </w:rPr>
      </w:pPr>
      <w:r>
        <w:rPr>
          <w:rFonts w:ascii="Arial" w:eastAsia="Arial" w:hAnsi="Arial" w:cs="Arial"/>
          <w:b/>
          <w:bCs/>
        </w:rPr>
        <w:t>Décimo quinto. Ampliación de plazo</w:t>
      </w:r>
      <w:r>
        <w:rPr>
          <w:rFonts w:ascii="Arial" w:eastAsia="Arial" w:hAnsi="Arial" w:cs="Arial"/>
        </w:rPr>
        <w:t>. Mediante proveído de catorce de noviembre</w:t>
      </w:r>
      <w:r>
        <w:rPr>
          <w:rFonts w:ascii="Arial" w:eastAsia="Arial" w:hAnsi="Arial" w:cs="Arial"/>
          <w:vertAlign w:val="superscript"/>
        </w:rPr>
        <w:footnoteReference w:id="17"/>
      </w:r>
      <w:r>
        <w:rPr>
          <w:rFonts w:ascii="Arial" w:eastAsia="Arial" w:hAnsi="Arial" w:cs="Arial"/>
        </w:rPr>
        <w:t xml:space="preserve"> y a petición del </w:t>
      </w:r>
      <w:r>
        <w:rPr>
          <w:rFonts w:ascii="Arial" w:eastAsia="Arial" w:hAnsi="Arial" w:cs="Arial"/>
          <w:i/>
          <w:iCs/>
        </w:rPr>
        <w:t xml:space="preserve">Secretario de Administración, </w:t>
      </w:r>
      <w:r>
        <w:rPr>
          <w:rFonts w:ascii="Arial" w:eastAsia="Arial" w:hAnsi="Arial" w:cs="Arial"/>
        </w:rPr>
        <w:t>se concedió la ampliación del plazo procesal previsto en el acuerdo descrito en el párrafo previo, así como las copias simples que solicitó.</w:t>
      </w:r>
    </w:p>
    <w:p w14:paraId="3AAB2EC2" w14:textId="77777777" w:rsidR="00686E6F" w:rsidRDefault="00686E6F">
      <w:pPr>
        <w:spacing w:line="360" w:lineRule="auto"/>
        <w:ind w:right="48"/>
        <w:jc w:val="both"/>
        <w:rPr>
          <w:rFonts w:ascii="Arial" w:eastAsia="Arial" w:hAnsi="Arial" w:cs="Arial"/>
        </w:rPr>
      </w:pPr>
    </w:p>
    <w:p w14:paraId="542D8CF6" w14:textId="77777777" w:rsidR="00686E6F" w:rsidRDefault="00000000">
      <w:pPr>
        <w:spacing w:line="360" w:lineRule="auto"/>
        <w:ind w:right="48"/>
        <w:jc w:val="both"/>
        <w:rPr>
          <w:rFonts w:ascii="Arial" w:eastAsia="Arial" w:hAnsi="Arial" w:cs="Arial"/>
        </w:rPr>
      </w:pPr>
      <w:r>
        <w:rPr>
          <w:rFonts w:ascii="Arial" w:eastAsia="Arial" w:hAnsi="Arial" w:cs="Arial"/>
          <w:b/>
          <w:bCs/>
        </w:rPr>
        <w:t>Décimo sexto. Cumplimiento, verificación de enlaces y vista</w:t>
      </w:r>
      <w:r>
        <w:rPr>
          <w:rFonts w:ascii="Arial" w:eastAsia="Arial" w:hAnsi="Arial" w:cs="Arial"/>
        </w:rPr>
        <w:t>. El veinte de noviembre</w:t>
      </w:r>
      <w:r>
        <w:rPr>
          <w:rFonts w:ascii="Arial" w:eastAsia="Arial" w:hAnsi="Arial" w:cs="Arial"/>
          <w:vertAlign w:val="superscript"/>
        </w:rPr>
        <w:footnoteReference w:id="18"/>
      </w:r>
      <w:r>
        <w:rPr>
          <w:rFonts w:ascii="Arial" w:eastAsia="Arial" w:hAnsi="Arial" w:cs="Arial"/>
        </w:rPr>
        <w:t xml:space="preserve"> se tuvo al </w:t>
      </w:r>
      <w:r>
        <w:rPr>
          <w:rFonts w:ascii="Arial" w:eastAsia="Arial" w:hAnsi="Arial" w:cs="Arial"/>
          <w:i/>
          <w:iCs/>
        </w:rPr>
        <w:t>Secretario de Administración</w:t>
      </w:r>
      <w:r>
        <w:rPr>
          <w:rFonts w:ascii="Arial" w:eastAsia="Arial" w:hAnsi="Arial" w:cs="Arial"/>
        </w:rPr>
        <w:t xml:space="preserve"> por cumplido el requerimiento efectuado por acuerdo de once de noviembre, se ordenó la verificación de enlaces electrónicos aportados por este y se dio vista al </w:t>
      </w:r>
      <w:proofErr w:type="spellStart"/>
      <w:r>
        <w:rPr>
          <w:rFonts w:ascii="Arial" w:eastAsia="Arial" w:hAnsi="Arial" w:cs="Arial"/>
          <w:i/>
          <w:iCs/>
        </w:rPr>
        <w:t>incidentista</w:t>
      </w:r>
      <w:proofErr w:type="spellEnd"/>
      <w:r>
        <w:rPr>
          <w:rFonts w:ascii="Arial" w:eastAsia="Arial" w:hAnsi="Arial" w:cs="Arial"/>
        </w:rPr>
        <w:t xml:space="preserve"> con el cumplimiento respectivo y el acta de verificación de enlaces electrónicos.</w:t>
      </w:r>
    </w:p>
    <w:p w14:paraId="728593F4" w14:textId="77777777" w:rsidR="00686E6F" w:rsidRDefault="00686E6F">
      <w:pPr>
        <w:spacing w:line="360" w:lineRule="auto"/>
        <w:ind w:right="48"/>
        <w:jc w:val="both"/>
        <w:rPr>
          <w:rFonts w:ascii="Arial" w:eastAsia="Arial" w:hAnsi="Arial" w:cs="Arial"/>
        </w:rPr>
      </w:pPr>
    </w:p>
    <w:p w14:paraId="0989E8A3" w14:textId="77777777" w:rsidR="00686E6F" w:rsidRDefault="00000000">
      <w:pPr>
        <w:spacing w:line="360" w:lineRule="auto"/>
        <w:ind w:right="48"/>
        <w:jc w:val="both"/>
        <w:rPr>
          <w:rFonts w:ascii="Arial" w:eastAsia="Arial" w:hAnsi="Arial" w:cs="Arial"/>
        </w:rPr>
      </w:pPr>
      <w:r>
        <w:rPr>
          <w:rFonts w:ascii="Arial" w:eastAsia="Arial" w:hAnsi="Arial" w:cs="Arial"/>
          <w:b/>
          <w:bCs/>
        </w:rPr>
        <w:t xml:space="preserve">Décimo séptimo. Desahogo de la vista y desistimiento. </w:t>
      </w:r>
      <w:r>
        <w:rPr>
          <w:rFonts w:ascii="Arial" w:eastAsia="Arial" w:hAnsi="Arial" w:cs="Arial"/>
        </w:rPr>
        <w:t xml:space="preserve">En misma fecha, el </w:t>
      </w:r>
      <w:proofErr w:type="spellStart"/>
      <w:r>
        <w:rPr>
          <w:rFonts w:ascii="Arial" w:eastAsia="Arial" w:hAnsi="Arial" w:cs="Arial"/>
          <w:i/>
          <w:iCs/>
        </w:rPr>
        <w:t>incidentista</w:t>
      </w:r>
      <w:proofErr w:type="spellEnd"/>
      <w:r>
        <w:rPr>
          <w:rFonts w:ascii="Arial" w:eastAsia="Arial" w:hAnsi="Arial" w:cs="Arial"/>
        </w:rPr>
        <w:t xml:space="preserve"> desahogó la vista referida en el punto previo y manifestó su interés en desistirse de continuar con el trámite de la incidencia al estimar que su pretensión se encontraba satisfecha ya que manifestó contar con los elementos </w:t>
      </w:r>
      <w:r>
        <w:rPr>
          <w:rFonts w:ascii="Arial" w:eastAsia="Arial" w:hAnsi="Arial" w:cs="Arial"/>
        </w:rPr>
        <w:lastRenderedPageBreak/>
        <w:t>documentales necesarios para el adecuado ejercicio de sus funciones deliberativas como Diputado</w:t>
      </w:r>
      <w:r>
        <w:rPr>
          <w:rFonts w:ascii="Arial" w:eastAsia="Arial" w:hAnsi="Arial" w:cs="Arial"/>
          <w:vertAlign w:val="superscript"/>
        </w:rPr>
        <w:footnoteReference w:id="19"/>
      </w:r>
      <w:r>
        <w:rPr>
          <w:rFonts w:ascii="Arial" w:eastAsia="Arial" w:hAnsi="Arial" w:cs="Arial"/>
        </w:rPr>
        <w:t>, por lo que al día posterior se le requirió ratificar su escrito de mérito bajo apercibimiento</w:t>
      </w:r>
      <w:r>
        <w:rPr>
          <w:rFonts w:ascii="Arial" w:eastAsia="Arial" w:hAnsi="Arial" w:cs="Arial"/>
          <w:vertAlign w:val="superscript"/>
        </w:rPr>
        <w:footnoteReference w:id="20"/>
      </w:r>
      <w:r>
        <w:rPr>
          <w:rFonts w:ascii="Arial" w:eastAsia="Arial" w:hAnsi="Arial" w:cs="Arial"/>
        </w:rPr>
        <w:t>.</w:t>
      </w:r>
    </w:p>
    <w:p w14:paraId="0AAE6566" w14:textId="77777777" w:rsidR="00686E6F" w:rsidRDefault="00686E6F">
      <w:pPr>
        <w:spacing w:line="360" w:lineRule="auto"/>
        <w:ind w:right="48"/>
        <w:jc w:val="both"/>
        <w:rPr>
          <w:rFonts w:ascii="Arial" w:eastAsia="Arial" w:hAnsi="Arial" w:cs="Arial"/>
        </w:rPr>
      </w:pPr>
    </w:p>
    <w:p w14:paraId="5F74A5A9" w14:textId="77777777" w:rsidR="00686E6F" w:rsidRDefault="00000000">
      <w:pPr>
        <w:spacing w:line="360" w:lineRule="auto"/>
        <w:ind w:right="48"/>
        <w:jc w:val="both"/>
        <w:rPr>
          <w:rFonts w:ascii="Arial" w:eastAsia="Arial" w:hAnsi="Arial" w:cs="Arial"/>
        </w:rPr>
      </w:pPr>
      <w:r>
        <w:rPr>
          <w:rFonts w:ascii="Arial" w:eastAsia="Arial" w:hAnsi="Arial" w:cs="Arial"/>
          <w:b/>
          <w:bCs/>
        </w:rPr>
        <w:t>Décimo octavo. Ratificación del escrito de desistimiento.</w:t>
      </w:r>
      <w:r>
        <w:rPr>
          <w:rFonts w:ascii="Arial" w:eastAsia="Arial" w:hAnsi="Arial" w:cs="Arial"/>
        </w:rPr>
        <w:t xml:space="preserve"> Mediante acta de comparecencia de veinticuatro de noviembre, el </w:t>
      </w:r>
      <w:proofErr w:type="spellStart"/>
      <w:r>
        <w:rPr>
          <w:rFonts w:ascii="Arial" w:eastAsia="Arial" w:hAnsi="Arial" w:cs="Arial"/>
          <w:i/>
          <w:iCs/>
        </w:rPr>
        <w:t>incidentista</w:t>
      </w:r>
      <w:proofErr w:type="spellEnd"/>
      <w:r>
        <w:rPr>
          <w:rFonts w:ascii="Arial" w:eastAsia="Arial" w:hAnsi="Arial" w:cs="Arial"/>
        </w:rPr>
        <w:t xml:space="preserve"> ratificó su escrito de desistimiento</w:t>
      </w:r>
      <w:r>
        <w:rPr>
          <w:rFonts w:ascii="Arial" w:eastAsia="Arial" w:hAnsi="Arial" w:cs="Arial"/>
          <w:vertAlign w:val="superscript"/>
        </w:rPr>
        <w:footnoteReference w:id="21"/>
      </w:r>
      <w:r>
        <w:rPr>
          <w:rFonts w:ascii="Arial" w:eastAsia="Arial" w:hAnsi="Arial" w:cs="Arial"/>
        </w:rPr>
        <w:t xml:space="preserve">. </w:t>
      </w:r>
    </w:p>
    <w:p w14:paraId="190439A9" w14:textId="77777777" w:rsidR="00686E6F" w:rsidRDefault="00686E6F">
      <w:pPr>
        <w:spacing w:line="360" w:lineRule="auto"/>
        <w:jc w:val="both"/>
        <w:rPr>
          <w:rFonts w:ascii="Arial" w:eastAsia="Arial" w:hAnsi="Arial" w:cs="Arial"/>
        </w:rPr>
      </w:pPr>
    </w:p>
    <w:p w14:paraId="5224C622" w14:textId="77777777" w:rsidR="00686E6F" w:rsidRDefault="00000000">
      <w:pPr>
        <w:spacing w:line="360" w:lineRule="auto"/>
        <w:jc w:val="center"/>
        <w:rPr>
          <w:rFonts w:ascii="Arial" w:eastAsia="Arial" w:hAnsi="Arial" w:cs="Arial"/>
          <w:b/>
          <w:bCs/>
        </w:rPr>
      </w:pPr>
      <w:r>
        <w:rPr>
          <w:rFonts w:ascii="Arial" w:eastAsia="Arial" w:hAnsi="Arial" w:cs="Arial"/>
          <w:b/>
          <w:bCs/>
        </w:rPr>
        <w:t>III. COMPETENCIA</w:t>
      </w:r>
    </w:p>
    <w:p w14:paraId="67D1F9F7" w14:textId="77777777" w:rsidR="00686E6F" w:rsidRDefault="00686E6F">
      <w:pPr>
        <w:spacing w:line="360" w:lineRule="auto"/>
        <w:jc w:val="center"/>
        <w:rPr>
          <w:rFonts w:ascii="Arial" w:eastAsia="Arial" w:hAnsi="Arial" w:cs="Arial"/>
        </w:rPr>
      </w:pPr>
    </w:p>
    <w:p w14:paraId="7D6F5CFB" w14:textId="77777777" w:rsidR="00686E6F" w:rsidRDefault="00000000">
      <w:pPr>
        <w:tabs>
          <w:tab w:val="left" w:pos="0"/>
          <w:tab w:val="left" w:pos="284"/>
          <w:tab w:val="left" w:pos="567"/>
        </w:tabs>
        <w:spacing w:line="360" w:lineRule="auto"/>
        <w:jc w:val="both"/>
        <w:rPr>
          <w:rFonts w:ascii="Arial" w:eastAsia="Arial" w:hAnsi="Arial" w:cs="Arial"/>
        </w:rPr>
      </w:pPr>
      <w:r>
        <w:rPr>
          <w:rFonts w:ascii="Arial" w:eastAsia="Arial" w:hAnsi="Arial" w:cs="Arial"/>
        </w:rPr>
        <w:t xml:space="preserve">El Pleno de este </w:t>
      </w:r>
      <w:r>
        <w:rPr>
          <w:rFonts w:ascii="Arial" w:eastAsia="Arial" w:hAnsi="Arial" w:cs="Arial"/>
          <w:i/>
          <w:iCs/>
        </w:rPr>
        <w:t>Tribunal Electoral</w:t>
      </w:r>
      <w:r>
        <w:rPr>
          <w:rFonts w:ascii="Arial" w:eastAsia="Arial" w:hAnsi="Arial" w:cs="Arial"/>
        </w:rPr>
        <w:t xml:space="preserve"> es</w:t>
      </w:r>
      <w:r>
        <w:rPr>
          <w:rFonts w:ascii="Arial" w:eastAsia="Arial" w:hAnsi="Arial" w:cs="Arial"/>
          <w:i/>
          <w:iCs/>
        </w:rPr>
        <w:t xml:space="preserve"> </w:t>
      </w:r>
      <w:r>
        <w:rPr>
          <w:rFonts w:ascii="Arial" w:eastAsia="Arial" w:hAnsi="Arial" w:cs="Arial"/>
        </w:rPr>
        <w:t xml:space="preserve">competente para conocer y resolver sobre el incidente de incumplimiento de la sentencia dictada en el presente </w:t>
      </w:r>
      <w:r>
        <w:rPr>
          <w:rFonts w:ascii="Arial" w:eastAsia="Arial" w:hAnsi="Arial" w:cs="Arial"/>
          <w:i/>
          <w:iCs/>
        </w:rPr>
        <w:t>juicio de la ciudadanía</w:t>
      </w:r>
      <w:r>
        <w:rPr>
          <w:rFonts w:ascii="Arial" w:eastAsia="Arial" w:hAnsi="Arial" w:cs="Arial"/>
        </w:rPr>
        <w:t>, en atención a que la competencia que tiene para resolver el medio de impugnación incluye también la facultad para velar por el cumplimiento de sus determinaciones.</w:t>
      </w:r>
      <w:r>
        <w:rPr>
          <w:rFonts w:ascii="Arial" w:eastAsia="Arial" w:hAnsi="Arial" w:cs="Arial"/>
          <w:vertAlign w:val="superscript"/>
        </w:rPr>
        <w:footnoteReference w:id="22"/>
      </w:r>
    </w:p>
    <w:p w14:paraId="344F0ABC" w14:textId="77777777" w:rsidR="00686E6F" w:rsidRDefault="00686E6F">
      <w:pPr>
        <w:spacing w:line="360" w:lineRule="auto"/>
        <w:jc w:val="both"/>
        <w:rPr>
          <w:rFonts w:ascii="Arial" w:eastAsia="Arial" w:hAnsi="Arial" w:cs="Arial"/>
        </w:rPr>
      </w:pPr>
    </w:p>
    <w:p w14:paraId="575BAA62" w14:textId="77777777" w:rsidR="00686E6F" w:rsidRDefault="00000000">
      <w:pPr>
        <w:spacing w:line="360" w:lineRule="auto"/>
        <w:jc w:val="both"/>
        <w:rPr>
          <w:rFonts w:ascii="Arial" w:eastAsia="Arial" w:hAnsi="Arial" w:cs="Arial"/>
        </w:rPr>
      </w:pPr>
      <w:r>
        <w:rPr>
          <w:rFonts w:ascii="Arial" w:eastAsia="Arial" w:hAnsi="Arial" w:cs="Arial"/>
        </w:rPr>
        <w:t xml:space="preserve">Lo anterior, debido a que la función de los Tribunales no se reduce a conocer y resolver las controversias de manera pronta, completa e imparcial, sino también se adiciona la de vigilar y proveer lo necesario para garantizar la plena ejecución de sus resoluciones, con fundamento en los artículos 1° de la </w:t>
      </w:r>
      <w:r>
        <w:rPr>
          <w:rFonts w:ascii="Arial" w:eastAsia="Arial" w:hAnsi="Arial" w:cs="Arial"/>
          <w:i/>
          <w:iCs/>
        </w:rPr>
        <w:t>Constitución General</w:t>
      </w:r>
      <w:r>
        <w:rPr>
          <w:rFonts w:ascii="Arial" w:eastAsia="Arial" w:hAnsi="Arial" w:cs="Arial"/>
        </w:rPr>
        <w:t xml:space="preserve">; 98 A de la </w:t>
      </w:r>
      <w:r>
        <w:rPr>
          <w:rFonts w:ascii="Arial" w:eastAsia="Arial" w:hAnsi="Arial" w:cs="Arial"/>
          <w:i/>
          <w:iCs/>
        </w:rPr>
        <w:t>Constitución Local</w:t>
      </w:r>
      <w:r>
        <w:rPr>
          <w:rFonts w:ascii="Arial" w:eastAsia="Arial" w:hAnsi="Arial" w:cs="Arial"/>
        </w:rPr>
        <w:t xml:space="preserve">, 60, 64, fracción XIII y 66, fracciones II, III y X del </w:t>
      </w:r>
      <w:r>
        <w:rPr>
          <w:rFonts w:ascii="Arial" w:eastAsia="Arial" w:hAnsi="Arial" w:cs="Arial"/>
          <w:i/>
          <w:iCs/>
        </w:rPr>
        <w:t>Código Electoral</w:t>
      </w:r>
      <w:r>
        <w:rPr>
          <w:rFonts w:ascii="Arial" w:eastAsia="Arial" w:hAnsi="Arial" w:cs="Arial"/>
        </w:rPr>
        <w:t xml:space="preserve">; 1, 5, 73, 74 y 76 fracción V de </w:t>
      </w:r>
      <w:r>
        <w:rPr>
          <w:rFonts w:ascii="Arial" w:eastAsia="Arial" w:hAnsi="Arial" w:cs="Arial"/>
          <w:i/>
          <w:iCs/>
        </w:rPr>
        <w:t>Ley de Justicia Electoral</w:t>
      </w:r>
      <w:r>
        <w:rPr>
          <w:rFonts w:ascii="Arial" w:eastAsia="Arial" w:hAnsi="Arial" w:cs="Arial"/>
        </w:rPr>
        <w:t xml:space="preserve"> y 91 del </w:t>
      </w:r>
      <w:r>
        <w:rPr>
          <w:rFonts w:ascii="Arial" w:eastAsia="Arial" w:hAnsi="Arial" w:cs="Arial"/>
          <w:i/>
          <w:iCs/>
        </w:rPr>
        <w:t>Reglamento Interior</w:t>
      </w:r>
      <w:r>
        <w:rPr>
          <w:rFonts w:ascii="Arial" w:eastAsia="Arial" w:hAnsi="Arial" w:cs="Arial"/>
        </w:rPr>
        <w:t>.</w:t>
      </w:r>
      <w:r>
        <w:rPr>
          <w:rFonts w:ascii="Arial" w:eastAsia="Arial" w:hAnsi="Arial" w:cs="Arial"/>
          <w:vertAlign w:val="superscript"/>
        </w:rPr>
        <w:footnoteReference w:id="23"/>
      </w:r>
    </w:p>
    <w:p w14:paraId="72A45481" w14:textId="77777777" w:rsidR="00686E6F" w:rsidRDefault="00686E6F">
      <w:pPr>
        <w:spacing w:line="360" w:lineRule="auto"/>
        <w:jc w:val="both"/>
        <w:rPr>
          <w:rFonts w:ascii="Arial" w:eastAsia="Arial" w:hAnsi="Arial" w:cs="Arial"/>
        </w:rPr>
      </w:pPr>
    </w:p>
    <w:p w14:paraId="254AD013" w14:textId="77777777" w:rsidR="00686E6F" w:rsidRDefault="00000000">
      <w:pPr>
        <w:pStyle w:val="Ttulo2"/>
        <w:spacing w:after="280" w:line="360" w:lineRule="auto"/>
        <w:jc w:val="center"/>
        <w:rPr>
          <w:rFonts w:ascii="Arial" w:eastAsia="Arial" w:hAnsi="Arial" w:cs="Arial"/>
          <w:sz w:val="24"/>
          <w:szCs w:val="24"/>
        </w:rPr>
      </w:pPr>
      <w:bookmarkStart w:id="2" w:name="_heading=h.4vw68g9teqdg" w:colFirst="0" w:colLast="0"/>
      <w:bookmarkEnd w:id="2"/>
      <w:r>
        <w:rPr>
          <w:rFonts w:ascii="Arial" w:eastAsia="Arial" w:hAnsi="Arial" w:cs="Arial"/>
          <w:sz w:val="24"/>
          <w:szCs w:val="24"/>
        </w:rPr>
        <w:t>IV. IMPROCEDENCIA</w:t>
      </w:r>
    </w:p>
    <w:p w14:paraId="421D4271" w14:textId="77777777" w:rsidR="00686E6F" w:rsidRDefault="00000000">
      <w:pPr>
        <w:spacing w:before="280" w:after="280" w:line="360" w:lineRule="auto"/>
        <w:jc w:val="both"/>
        <w:rPr>
          <w:rFonts w:ascii="Arial" w:eastAsia="Arial" w:hAnsi="Arial" w:cs="Arial"/>
        </w:rPr>
      </w:pPr>
      <w:r>
        <w:rPr>
          <w:rFonts w:ascii="Arial" w:eastAsia="Arial" w:hAnsi="Arial" w:cs="Arial"/>
        </w:rPr>
        <w:t xml:space="preserve">El análisis de las causales de improcedencia es de orden público y de estudio preferente, pues de actualizarse se haría innecesario estudiar el fondo del litigio; esto, en observancia a las garantías de debido proceso y de impartición de </w:t>
      </w:r>
      <w:r>
        <w:rPr>
          <w:rFonts w:ascii="Arial" w:eastAsia="Arial" w:hAnsi="Arial" w:cs="Arial"/>
        </w:rPr>
        <w:lastRenderedPageBreak/>
        <w:t>justicia imparcial, pronta y expedita, consagradas en los artículos 14 y 17 de la Constitución Política de los Estados Unidos Mexicanos.</w:t>
      </w:r>
    </w:p>
    <w:p w14:paraId="778AC536" w14:textId="77777777" w:rsidR="00686E6F" w:rsidRDefault="00000000">
      <w:pPr>
        <w:spacing w:before="280" w:after="280" w:line="360" w:lineRule="auto"/>
        <w:jc w:val="both"/>
        <w:rPr>
          <w:rFonts w:ascii="Arial" w:eastAsia="Arial" w:hAnsi="Arial" w:cs="Arial"/>
        </w:rPr>
      </w:pPr>
      <w:r>
        <w:rPr>
          <w:rFonts w:ascii="Arial" w:eastAsia="Arial" w:hAnsi="Arial" w:cs="Arial"/>
        </w:rPr>
        <w:t xml:space="preserve">Bajo dicha tesitura, en el caso, se actualiza la causal de improcedencia relativa al desistimiento derivado de lo manifestado por el </w:t>
      </w:r>
      <w:proofErr w:type="spellStart"/>
      <w:r>
        <w:rPr>
          <w:rFonts w:ascii="Arial" w:eastAsia="Arial" w:hAnsi="Arial" w:cs="Arial"/>
          <w:i/>
          <w:iCs/>
        </w:rPr>
        <w:t>incidentista</w:t>
      </w:r>
      <w:proofErr w:type="spellEnd"/>
      <w:r>
        <w:rPr>
          <w:rFonts w:ascii="Arial" w:eastAsia="Arial" w:hAnsi="Arial" w:cs="Arial"/>
          <w:i/>
          <w:iCs/>
        </w:rPr>
        <w:t xml:space="preserve"> </w:t>
      </w:r>
      <w:r>
        <w:rPr>
          <w:rFonts w:ascii="Arial" w:eastAsia="Arial" w:hAnsi="Arial" w:cs="Arial"/>
        </w:rPr>
        <w:t xml:space="preserve">en su escrito de veinte de noviembre, por lo que el </w:t>
      </w:r>
      <w:r>
        <w:rPr>
          <w:rFonts w:ascii="Arial" w:eastAsia="Arial" w:hAnsi="Arial" w:cs="Arial"/>
          <w:i/>
          <w:iCs/>
        </w:rPr>
        <w:t>incidente</w:t>
      </w:r>
      <w:r>
        <w:rPr>
          <w:rFonts w:ascii="Arial" w:eastAsia="Arial" w:hAnsi="Arial" w:cs="Arial"/>
        </w:rPr>
        <w:t xml:space="preserve"> debe de tenerse por no presentado.</w:t>
      </w:r>
    </w:p>
    <w:p w14:paraId="21BC927E" w14:textId="77777777" w:rsidR="00686E6F" w:rsidRDefault="00000000">
      <w:pPr>
        <w:spacing w:before="280" w:after="280" w:line="360" w:lineRule="auto"/>
        <w:jc w:val="both"/>
      </w:pPr>
      <w:r>
        <w:rPr>
          <w:rFonts w:ascii="Arial" w:eastAsia="Arial" w:hAnsi="Arial" w:cs="Arial"/>
          <w:color w:val="000000"/>
        </w:rPr>
        <w:t>En primer término, se considera pertinente precisar que en el artículo 10 de la</w:t>
      </w:r>
      <w:r>
        <w:rPr>
          <w:rFonts w:ascii="Arial" w:eastAsia="Arial" w:hAnsi="Arial" w:cs="Arial"/>
          <w:i/>
          <w:iCs/>
          <w:color w:val="000000"/>
        </w:rPr>
        <w:t xml:space="preserve"> Ley de Justicia Electoral</w:t>
      </w:r>
      <w:r>
        <w:rPr>
          <w:rFonts w:ascii="Arial" w:eastAsia="Arial" w:hAnsi="Arial" w:cs="Arial"/>
          <w:color w:val="000000"/>
        </w:rPr>
        <w:t xml:space="preserve"> se contemplan los requisitos de procedencia que deben reunir los medios de impugnación.</w:t>
      </w:r>
    </w:p>
    <w:p w14:paraId="5A4CB893" w14:textId="77777777" w:rsidR="00686E6F" w:rsidRDefault="00000000">
      <w:pPr>
        <w:spacing w:before="280" w:after="280" w:line="360" w:lineRule="auto"/>
        <w:jc w:val="both"/>
      </w:pPr>
      <w:r>
        <w:rPr>
          <w:rFonts w:ascii="Arial" w:eastAsia="Arial" w:hAnsi="Arial" w:cs="Arial"/>
          <w:color w:val="000000"/>
        </w:rPr>
        <w:t>De dicha disposición normativa se desprende implícitamente, el principio de instancia de parte agraviada, es decir, la obligatoriedad de que la persona que estima ha recibido una afectación en su esfera jurídica acuda ante el órgano jurisdiccional electoral a iniciar el procedimiento legal relativo al medio de impugnación que conforme a derecho resulte procedente. </w:t>
      </w:r>
    </w:p>
    <w:p w14:paraId="4C51C036" w14:textId="77777777" w:rsidR="00686E6F" w:rsidRDefault="00000000">
      <w:pPr>
        <w:spacing w:before="280" w:after="280" w:line="360" w:lineRule="auto"/>
        <w:jc w:val="both"/>
      </w:pPr>
      <w:r>
        <w:rPr>
          <w:rFonts w:ascii="Arial" w:eastAsia="Arial" w:hAnsi="Arial" w:cs="Arial"/>
          <w:color w:val="000000"/>
        </w:rPr>
        <w:t>Por otro lado, el desistimiento es un acto procesal mediante el cual quien concurre ante un órgano jurisdiccional a interponer un medio de impugnación manifiesta el propósito de abandonar una instancia o de no continuar con el ejercicio de una acción, la reclamación de un derecho o la realización de cualquier otro trámite de un procedimiento iniciado.</w:t>
      </w:r>
    </w:p>
    <w:p w14:paraId="7747A52A" w14:textId="77777777" w:rsidR="00686E6F" w:rsidRDefault="00000000">
      <w:pPr>
        <w:spacing w:before="280" w:after="280" w:line="360" w:lineRule="auto"/>
        <w:jc w:val="both"/>
      </w:pPr>
      <w:r>
        <w:rPr>
          <w:rFonts w:ascii="Arial" w:eastAsia="Arial" w:hAnsi="Arial" w:cs="Arial"/>
          <w:color w:val="000000"/>
        </w:rPr>
        <w:t>Así, a través del escrito de desistimiento de la demanda se hace saber a la persona juzgadora la intención de destruir los efectos jurídicos generados con la presentación de esta, y como el efecto que produce esa figura procesal es que las cosas vuelvan al estado que tenían previo a la presentación de la demanda, desde ese momento desaparece cualquier efecto jurídico que pudiera haberse generado con motivo de este; esto es, todos los derechos y obligaciones derivados de la manifestación de la voluntad de demandar quedan sin efectos, como si nunca se hubiera presentado la demanda ni hubiera existido el juicio.</w:t>
      </w:r>
    </w:p>
    <w:p w14:paraId="12983C63" w14:textId="77777777" w:rsidR="00686E6F" w:rsidRDefault="00000000">
      <w:pPr>
        <w:spacing w:before="280" w:after="280" w:line="360" w:lineRule="auto"/>
        <w:jc w:val="both"/>
      </w:pPr>
      <w:r>
        <w:rPr>
          <w:rFonts w:ascii="Arial" w:eastAsia="Arial" w:hAnsi="Arial" w:cs="Arial"/>
          <w:color w:val="000000"/>
        </w:rPr>
        <w:t>En ese sentido, para que el desistimiento surta sus efectos, es necesaria la existencia de disponibilidad de la acción o el derecho respecto del cual la parte actora se desiste, con sus debidas excepciones</w:t>
      </w:r>
      <w:r>
        <w:rPr>
          <w:rFonts w:ascii="Arial" w:eastAsia="Arial" w:hAnsi="Arial" w:cs="Arial"/>
          <w:color w:val="000000"/>
          <w:vertAlign w:val="superscript"/>
        </w:rPr>
        <w:footnoteReference w:id="24"/>
      </w:r>
      <w:r>
        <w:rPr>
          <w:rFonts w:ascii="Arial" w:eastAsia="Arial" w:hAnsi="Arial" w:cs="Arial"/>
          <w:color w:val="000000"/>
        </w:rPr>
        <w:t>.</w:t>
      </w:r>
    </w:p>
    <w:p w14:paraId="75516CD1" w14:textId="77777777" w:rsidR="00686E6F" w:rsidRDefault="00000000">
      <w:pPr>
        <w:spacing w:before="280" w:after="280" w:line="360" w:lineRule="auto"/>
        <w:jc w:val="both"/>
        <w:rPr>
          <w:rFonts w:ascii="Arial" w:eastAsia="Arial" w:hAnsi="Arial" w:cs="Arial"/>
          <w:color w:val="000000"/>
        </w:rPr>
      </w:pPr>
      <w:r>
        <w:rPr>
          <w:rFonts w:ascii="Arial" w:eastAsia="Arial" w:hAnsi="Arial" w:cs="Arial"/>
          <w:color w:val="000000"/>
        </w:rPr>
        <w:t xml:space="preserve">Así pues, el artículo 12, fracción I, de la </w:t>
      </w:r>
      <w:r>
        <w:rPr>
          <w:rFonts w:ascii="Arial" w:eastAsia="Arial" w:hAnsi="Arial" w:cs="Arial"/>
          <w:i/>
          <w:iCs/>
          <w:color w:val="000000"/>
        </w:rPr>
        <w:t>Ley de Justicia Electoral</w:t>
      </w:r>
      <w:r>
        <w:rPr>
          <w:rFonts w:ascii="Arial" w:eastAsia="Arial" w:hAnsi="Arial" w:cs="Arial"/>
          <w:color w:val="000000"/>
        </w:rPr>
        <w:t xml:space="preserve"> prevé la posibilidad jurídica de que el promovente</w:t>
      </w:r>
      <w:r>
        <w:rPr>
          <w:rFonts w:ascii="Arial" w:eastAsia="Arial" w:hAnsi="Arial" w:cs="Arial"/>
          <w:color w:val="000000"/>
          <w:vertAlign w:val="superscript"/>
        </w:rPr>
        <w:footnoteReference w:id="25"/>
      </w:r>
      <w:r>
        <w:rPr>
          <w:rFonts w:ascii="Arial" w:eastAsia="Arial" w:hAnsi="Arial" w:cs="Arial"/>
          <w:color w:val="000000"/>
        </w:rPr>
        <w:t xml:space="preserve"> pueda desistirse expresamente por </w:t>
      </w:r>
      <w:r>
        <w:rPr>
          <w:rFonts w:ascii="Arial" w:eastAsia="Arial" w:hAnsi="Arial" w:cs="Arial"/>
          <w:color w:val="000000"/>
        </w:rPr>
        <w:lastRenderedPageBreak/>
        <w:t>escrito, excepto cuando se trate de acciones tuitivas de intereses difusos o colectivos, o ante la falta de consentimiento de la candidatura cuando lo que se controvierte son resultados de los comicios.</w:t>
      </w:r>
    </w:p>
    <w:p w14:paraId="4FC8795F" w14:textId="77777777" w:rsidR="00686E6F" w:rsidRDefault="00000000">
      <w:pPr>
        <w:spacing w:before="280" w:after="280" w:line="360" w:lineRule="auto"/>
        <w:jc w:val="both"/>
      </w:pPr>
      <w:r>
        <w:rPr>
          <w:rFonts w:ascii="Arial" w:eastAsia="Arial" w:hAnsi="Arial" w:cs="Arial"/>
          <w:color w:val="000000"/>
        </w:rPr>
        <w:t xml:space="preserve">En consecuencia, la Magistratura que conozca de un medio de impugnación en el que la parte actora se haya desistido expresamente por escrito de la demanda (incidente en el presente caso) propondrá al Pleno tenerla por no presentada, conforme al artículo 107 del </w:t>
      </w:r>
      <w:r>
        <w:rPr>
          <w:rFonts w:ascii="Arial" w:eastAsia="Arial" w:hAnsi="Arial" w:cs="Arial"/>
          <w:i/>
          <w:iCs/>
          <w:color w:val="000000"/>
        </w:rPr>
        <w:t xml:space="preserve">Reglamento Interior. </w:t>
      </w:r>
    </w:p>
    <w:p w14:paraId="58E51DA2" w14:textId="77777777" w:rsidR="00686E6F" w:rsidRDefault="00000000">
      <w:pPr>
        <w:spacing w:before="280" w:after="280" w:line="360" w:lineRule="auto"/>
        <w:jc w:val="both"/>
        <w:rPr>
          <w:rFonts w:ascii="Arial" w:eastAsia="Arial" w:hAnsi="Arial" w:cs="Arial"/>
          <w:color w:val="000000"/>
        </w:rPr>
      </w:pPr>
      <w:r>
        <w:rPr>
          <w:rFonts w:ascii="Arial" w:eastAsia="Arial" w:hAnsi="Arial" w:cs="Arial"/>
          <w:color w:val="000000"/>
        </w:rPr>
        <w:t xml:space="preserve">Como se refirió en el apartado de antecedentes, el veinte de noviembre, el </w:t>
      </w:r>
      <w:proofErr w:type="spellStart"/>
      <w:r>
        <w:rPr>
          <w:rFonts w:ascii="Arial" w:eastAsia="Arial" w:hAnsi="Arial" w:cs="Arial"/>
          <w:i/>
          <w:iCs/>
          <w:color w:val="000000"/>
        </w:rPr>
        <w:t>incidentista</w:t>
      </w:r>
      <w:proofErr w:type="spellEnd"/>
      <w:r>
        <w:rPr>
          <w:rFonts w:ascii="Arial" w:eastAsia="Arial" w:hAnsi="Arial" w:cs="Arial"/>
          <w:color w:val="000000"/>
        </w:rPr>
        <w:t>,</w:t>
      </w:r>
      <w:r>
        <w:rPr>
          <w:rFonts w:ascii="Arial" w:eastAsia="Arial" w:hAnsi="Arial" w:cs="Arial"/>
          <w:i/>
          <w:iCs/>
          <w:color w:val="000000"/>
        </w:rPr>
        <w:t xml:space="preserve"> </w:t>
      </w:r>
      <w:r>
        <w:rPr>
          <w:rFonts w:ascii="Arial" w:eastAsia="Arial" w:hAnsi="Arial" w:cs="Arial"/>
          <w:color w:val="000000"/>
        </w:rPr>
        <w:t>al desahogar la vista que se le dio mediante acuerdo de misma fecha, presentó ante este Tribunal Electoral escrito</w:t>
      </w:r>
      <w:r>
        <w:rPr>
          <w:rFonts w:ascii="Arial" w:eastAsia="Arial" w:hAnsi="Arial" w:cs="Arial"/>
          <w:color w:val="000000"/>
          <w:vertAlign w:val="superscript"/>
        </w:rPr>
        <w:footnoteReference w:id="26"/>
      </w:r>
      <w:r>
        <w:rPr>
          <w:rFonts w:ascii="Arial" w:eastAsia="Arial" w:hAnsi="Arial" w:cs="Arial"/>
          <w:color w:val="000000"/>
        </w:rPr>
        <w:t xml:space="preserve"> en el que medularmente señaló:</w:t>
      </w:r>
    </w:p>
    <w:p w14:paraId="68AEADCF" w14:textId="77777777" w:rsidR="00686E6F" w:rsidRDefault="00000000">
      <w:pPr>
        <w:spacing w:before="280" w:after="280" w:line="360" w:lineRule="auto"/>
        <w:ind w:left="567" w:right="615"/>
        <w:jc w:val="both"/>
        <w:rPr>
          <w:rFonts w:ascii="Arial" w:eastAsia="Arial" w:hAnsi="Arial" w:cs="Arial"/>
          <w:i/>
          <w:iCs/>
          <w:color w:val="000000"/>
        </w:rPr>
      </w:pPr>
      <w:r>
        <w:rPr>
          <w:rFonts w:ascii="Arial" w:eastAsia="Arial" w:hAnsi="Arial" w:cs="Arial"/>
          <w:i/>
          <w:iCs/>
          <w:color w:val="000000"/>
        </w:rPr>
        <w:t>“(…)</w:t>
      </w:r>
    </w:p>
    <w:p w14:paraId="104ED5DD" w14:textId="77777777" w:rsidR="00686E6F" w:rsidRDefault="00000000">
      <w:pPr>
        <w:spacing w:before="280" w:after="280" w:line="360" w:lineRule="auto"/>
        <w:ind w:left="567" w:right="615"/>
        <w:jc w:val="both"/>
        <w:rPr>
          <w:rFonts w:ascii="Arial" w:eastAsia="Arial" w:hAnsi="Arial" w:cs="Arial"/>
          <w:i/>
          <w:iCs/>
          <w:color w:val="000000"/>
        </w:rPr>
      </w:pPr>
      <w:r>
        <w:rPr>
          <w:rFonts w:ascii="Arial" w:eastAsia="Arial" w:hAnsi="Arial" w:cs="Arial"/>
          <w:i/>
          <w:iCs/>
          <w:color w:val="000000"/>
        </w:rPr>
        <w:t xml:space="preserve">En ese sentido, y desde la perspectiva de quien promueve, </w:t>
      </w:r>
      <w:r>
        <w:rPr>
          <w:rFonts w:ascii="Arial" w:eastAsia="Arial" w:hAnsi="Arial" w:cs="Arial"/>
          <w:b/>
          <w:bCs/>
          <w:i/>
          <w:iCs/>
          <w:color w:val="000000"/>
          <w:u w:val="single"/>
        </w:rPr>
        <w:t>la pretensión material relativa al acceso a la información solicitada en mi escrito de doce de junio de dos mil veinticinco se encuentra actualmente satisfecha</w:t>
      </w:r>
      <w:r>
        <w:rPr>
          <w:rFonts w:ascii="Arial" w:eastAsia="Arial" w:hAnsi="Arial" w:cs="Arial"/>
          <w:i/>
          <w:iCs/>
          <w:color w:val="000000"/>
        </w:rPr>
        <w:t xml:space="preserve">, pues ya cuento en mi calidad de Diputado, con los elementos documentales necesarios para el adecuado ejercicio de mis funciones de deliberar, analizar y votar las decisiones presupuestales vinculadas con el informe trimestral de referencia. </w:t>
      </w:r>
    </w:p>
    <w:p w14:paraId="3B6F35D5" w14:textId="77777777" w:rsidR="00686E6F" w:rsidRDefault="00000000">
      <w:pPr>
        <w:spacing w:before="280" w:after="280" w:line="360" w:lineRule="auto"/>
        <w:ind w:left="567" w:right="615"/>
        <w:jc w:val="both"/>
        <w:rPr>
          <w:rFonts w:ascii="Arial" w:eastAsia="Arial" w:hAnsi="Arial" w:cs="Arial"/>
          <w:i/>
          <w:iCs/>
          <w:color w:val="000000"/>
        </w:rPr>
      </w:pPr>
      <w:r>
        <w:rPr>
          <w:rFonts w:ascii="Arial" w:eastAsia="Arial" w:hAnsi="Arial" w:cs="Arial"/>
          <w:i/>
          <w:iCs/>
          <w:color w:val="000000"/>
        </w:rPr>
        <w:t xml:space="preserve">Por ello, respetuosamente manifiesto que, </w:t>
      </w:r>
      <w:r>
        <w:rPr>
          <w:rFonts w:ascii="Arial" w:eastAsia="Arial" w:hAnsi="Arial" w:cs="Arial"/>
          <w:b/>
          <w:bCs/>
          <w:i/>
          <w:iCs/>
          <w:color w:val="000000"/>
          <w:u w:val="single"/>
        </w:rPr>
        <w:t>en lo que atañe a la entrega efectiva de la información ordenada en las sentencias de veinticuatro de julio y siete de noviembre de dos mil veinticinco, estimo colmado el cumplimiento material de lo resuelto, quedando sin materia mi interés en la continuación del incidente de incumplimiento de sentencia tramitado en cuerda separada de este juicio</w:t>
      </w:r>
      <w:r>
        <w:rPr>
          <w:rFonts w:ascii="Arial" w:eastAsia="Arial" w:hAnsi="Arial" w:cs="Arial"/>
          <w:i/>
          <w:iCs/>
          <w:color w:val="000000"/>
        </w:rPr>
        <w:t>, sin que ello implique desconocer la obligatoriedad, alcances y criterios vinculantes fijados por este Tribunal Electoral y por la Sala Regional Toluca en las referidas resoluciones.</w:t>
      </w:r>
    </w:p>
    <w:p w14:paraId="34710F36" w14:textId="77777777" w:rsidR="00686E6F" w:rsidRDefault="00000000">
      <w:pPr>
        <w:spacing w:before="280" w:after="280" w:line="360" w:lineRule="auto"/>
        <w:ind w:left="567" w:right="615"/>
        <w:jc w:val="both"/>
        <w:rPr>
          <w:rFonts w:ascii="Arial" w:eastAsia="Arial" w:hAnsi="Arial" w:cs="Arial"/>
          <w:i/>
          <w:iCs/>
          <w:color w:val="000000"/>
        </w:rPr>
      </w:pPr>
      <w:r>
        <w:rPr>
          <w:rFonts w:ascii="Arial" w:eastAsia="Arial" w:hAnsi="Arial" w:cs="Arial"/>
          <w:i/>
          <w:iCs/>
          <w:color w:val="000000"/>
        </w:rPr>
        <w:t>(…)</w:t>
      </w:r>
    </w:p>
    <w:p w14:paraId="7061547E" w14:textId="77777777" w:rsidR="00686E6F" w:rsidRDefault="00000000">
      <w:pPr>
        <w:spacing w:before="280" w:after="280" w:line="360" w:lineRule="auto"/>
        <w:ind w:left="567" w:right="615"/>
        <w:jc w:val="both"/>
        <w:rPr>
          <w:rFonts w:ascii="Arial" w:eastAsia="Arial" w:hAnsi="Arial" w:cs="Arial"/>
          <w:i/>
          <w:iCs/>
          <w:color w:val="000000"/>
        </w:rPr>
      </w:pPr>
      <w:r>
        <w:rPr>
          <w:rFonts w:ascii="Arial" w:eastAsia="Arial" w:hAnsi="Arial" w:cs="Arial"/>
          <w:i/>
          <w:iCs/>
          <w:color w:val="000000"/>
        </w:rPr>
        <w:t xml:space="preserve">En tal virtud, me desisto expresamente de continuar con la tramitación del incidente de incumplimiento de sentencia derivado del presente juicio, por haber quedado colmada la pretensión que le dio origen, y </w:t>
      </w:r>
      <w:r>
        <w:rPr>
          <w:rFonts w:ascii="Arial" w:eastAsia="Arial" w:hAnsi="Arial" w:cs="Arial"/>
          <w:i/>
          <w:iCs/>
          <w:color w:val="000000"/>
        </w:rPr>
        <w:lastRenderedPageBreak/>
        <w:t xml:space="preserve">respetuosamente solicito que tal circunstancia se haga del conocimiento de la Sala Regional Toluca del Tribunal Electoral del Poder Judicial de la Federación, a efecto de que, en el ámbito de sus atribuciones, pueda tener por cumplida la ejecutoria dictada en el expediente ST-JDC-295/2025 y, en su oportunidad, ordenar el archivo definitivo de las constancias relacionadas. </w:t>
      </w:r>
    </w:p>
    <w:p w14:paraId="60F369B8" w14:textId="77777777" w:rsidR="00686E6F" w:rsidRDefault="00000000">
      <w:pPr>
        <w:spacing w:before="280" w:after="280" w:line="360" w:lineRule="auto"/>
        <w:ind w:left="567" w:right="615"/>
        <w:jc w:val="both"/>
        <w:rPr>
          <w:rFonts w:ascii="Arial" w:eastAsia="Arial" w:hAnsi="Arial" w:cs="Arial"/>
          <w:i/>
          <w:iCs/>
          <w:color w:val="000000"/>
        </w:rPr>
      </w:pPr>
      <w:r>
        <w:rPr>
          <w:rFonts w:ascii="Arial" w:eastAsia="Arial" w:hAnsi="Arial" w:cs="Arial"/>
          <w:i/>
          <w:iCs/>
          <w:color w:val="000000"/>
        </w:rPr>
        <w:t>(…)”</w:t>
      </w:r>
    </w:p>
    <w:p w14:paraId="752BB319" w14:textId="77777777" w:rsidR="00686E6F" w:rsidRDefault="00000000">
      <w:pPr>
        <w:spacing w:before="280" w:after="280" w:line="360" w:lineRule="auto"/>
        <w:jc w:val="both"/>
        <w:rPr>
          <w:rFonts w:ascii="Arial" w:eastAsia="Arial" w:hAnsi="Arial" w:cs="Arial"/>
          <w:color w:val="000000"/>
        </w:rPr>
      </w:pPr>
      <w:r>
        <w:rPr>
          <w:rFonts w:ascii="Arial" w:eastAsia="Arial" w:hAnsi="Arial" w:cs="Arial"/>
          <w:color w:val="000000"/>
        </w:rPr>
        <w:t xml:space="preserve">Por tanto, una vez recibido dicho ocurso, el Magistrado Instructor requirió al promovente para </w:t>
      </w:r>
      <w:proofErr w:type="gramStart"/>
      <w:r>
        <w:rPr>
          <w:rFonts w:ascii="Arial" w:eastAsia="Arial" w:hAnsi="Arial" w:cs="Arial"/>
          <w:color w:val="000000"/>
        </w:rPr>
        <w:t>que</w:t>
      </w:r>
      <w:proofErr w:type="gramEnd"/>
      <w:r>
        <w:rPr>
          <w:rFonts w:ascii="Arial" w:eastAsia="Arial" w:hAnsi="Arial" w:cs="Arial"/>
          <w:color w:val="000000"/>
        </w:rPr>
        <w:t xml:space="preserve"> en el plazo de un día hábil, ratificara su escrito, bajo apercibimiento de que en caso de no hacerlo se entendería que persistía su intención de desistirse y se resolvería en consecuencia, conforme al artículo 107 del </w:t>
      </w:r>
      <w:r>
        <w:rPr>
          <w:rFonts w:ascii="Arial" w:eastAsia="Arial" w:hAnsi="Arial" w:cs="Arial"/>
          <w:i/>
          <w:iCs/>
          <w:color w:val="000000"/>
        </w:rPr>
        <w:t>Reglamento Interior</w:t>
      </w:r>
      <w:r>
        <w:rPr>
          <w:rFonts w:ascii="Arial" w:eastAsia="Arial" w:hAnsi="Arial" w:cs="Arial"/>
          <w:color w:val="000000"/>
        </w:rPr>
        <w:t>; acuerdo que les fue debidamente notificado el veintiuno de noviembre</w:t>
      </w:r>
      <w:r>
        <w:rPr>
          <w:rFonts w:ascii="Arial" w:eastAsia="Arial" w:hAnsi="Arial" w:cs="Arial"/>
          <w:color w:val="000000"/>
          <w:vertAlign w:val="superscript"/>
        </w:rPr>
        <w:footnoteReference w:id="27"/>
      </w:r>
      <w:r>
        <w:rPr>
          <w:rFonts w:ascii="Arial" w:eastAsia="Arial" w:hAnsi="Arial" w:cs="Arial"/>
          <w:color w:val="000000"/>
        </w:rPr>
        <w:t>.</w:t>
      </w:r>
    </w:p>
    <w:p w14:paraId="2882BE92" w14:textId="77777777" w:rsidR="00686E6F" w:rsidRDefault="00000000">
      <w:pPr>
        <w:spacing w:before="280" w:after="280" w:line="360" w:lineRule="auto"/>
        <w:jc w:val="both"/>
      </w:pPr>
      <w:r>
        <w:rPr>
          <w:rFonts w:ascii="Arial" w:eastAsia="Arial" w:hAnsi="Arial" w:cs="Arial"/>
          <w:color w:val="000000"/>
        </w:rPr>
        <w:t xml:space="preserve">Posteriormente, el veinticuatro de noviembre siguiente el </w:t>
      </w:r>
      <w:proofErr w:type="spellStart"/>
      <w:r>
        <w:rPr>
          <w:rFonts w:ascii="Arial" w:eastAsia="Arial" w:hAnsi="Arial" w:cs="Arial"/>
          <w:i/>
          <w:iCs/>
          <w:color w:val="000000"/>
        </w:rPr>
        <w:t>incidentista</w:t>
      </w:r>
      <w:proofErr w:type="spellEnd"/>
      <w:r>
        <w:rPr>
          <w:rFonts w:ascii="Arial" w:eastAsia="Arial" w:hAnsi="Arial" w:cs="Arial"/>
          <w:color w:val="000000"/>
        </w:rPr>
        <w:t xml:space="preserve"> acudió a este Tribunal Electoral a ratificar el escrito de referencia, por lo que, al no existir duda sobre la voluntad del </w:t>
      </w:r>
      <w:proofErr w:type="spellStart"/>
      <w:r>
        <w:rPr>
          <w:rFonts w:ascii="Arial" w:eastAsia="Arial" w:hAnsi="Arial" w:cs="Arial"/>
          <w:i/>
          <w:iCs/>
          <w:color w:val="000000"/>
        </w:rPr>
        <w:t>incidentista</w:t>
      </w:r>
      <w:proofErr w:type="spellEnd"/>
      <w:r>
        <w:rPr>
          <w:rFonts w:ascii="Arial" w:eastAsia="Arial" w:hAnsi="Arial" w:cs="Arial"/>
          <w:color w:val="000000"/>
        </w:rPr>
        <w:t xml:space="preserve">, resulta inconcuso que este </w:t>
      </w:r>
      <w:r>
        <w:rPr>
          <w:rFonts w:ascii="Arial" w:eastAsia="Arial" w:hAnsi="Arial" w:cs="Arial"/>
          <w:i/>
          <w:iCs/>
          <w:color w:val="000000"/>
        </w:rPr>
        <w:t>órgano jurisdiccional</w:t>
      </w:r>
      <w:r>
        <w:rPr>
          <w:rFonts w:ascii="Arial" w:eastAsia="Arial" w:hAnsi="Arial" w:cs="Arial"/>
          <w:color w:val="000000"/>
        </w:rPr>
        <w:t xml:space="preserve"> se encuentra impedido para continuar con el trámite del </w:t>
      </w:r>
      <w:r>
        <w:rPr>
          <w:rFonts w:ascii="Arial" w:eastAsia="Arial" w:hAnsi="Arial" w:cs="Arial"/>
          <w:i/>
          <w:iCs/>
          <w:color w:val="000000"/>
        </w:rPr>
        <w:t>incidente</w:t>
      </w:r>
      <w:r>
        <w:rPr>
          <w:rFonts w:ascii="Arial" w:eastAsia="Arial" w:hAnsi="Arial" w:cs="Arial"/>
          <w:color w:val="000000"/>
        </w:rPr>
        <w:t>; en consecuencia, para pronunciarse respecto de los agravios hechos valer en su escrito incidental. </w:t>
      </w:r>
    </w:p>
    <w:p w14:paraId="3AD59D83" w14:textId="77777777" w:rsidR="00686E6F" w:rsidRDefault="00000000">
      <w:pPr>
        <w:spacing w:before="280" w:after="280" w:line="360" w:lineRule="auto"/>
        <w:jc w:val="both"/>
      </w:pPr>
      <w:r>
        <w:rPr>
          <w:rFonts w:ascii="Arial" w:eastAsia="Arial" w:hAnsi="Arial" w:cs="Arial"/>
          <w:color w:val="000000"/>
        </w:rPr>
        <w:t xml:space="preserve">Aunado a lo anterior, resulta importante precisar que en el presente asunto no se actualiza alguna excepción que impida el desistimiento del escrito incidental, pues no se ejercieron acciones tuitivas de intereses difusos, por lo que la exteriorización expresa de desistirse, sumado a la omisión de continuar ejerciendo su derecho de acción, impide a este </w:t>
      </w:r>
      <w:r>
        <w:rPr>
          <w:rFonts w:ascii="Arial" w:eastAsia="Arial" w:hAnsi="Arial" w:cs="Arial"/>
          <w:i/>
          <w:iCs/>
          <w:color w:val="000000"/>
        </w:rPr>
        <w:t xml:space="preserve">Tribunal Electoral </w:t>
      </w:r>
      <w:r>
        <w:rPr>
          <w:rFonts w:ascii="Arial" w:eastAsia="Arial" w:hAnsi="Arial" w:cs="Arial"/>
          <w:color w:val="000000"/>
        </w:rPr>
        <w:t>continuar con la substanciación de la cuestión incidental que nos ocupa</w:t>
      </w:r>
      <w:r>
        <w:rPr>
          <w:rFonts w:ascii="Arial" w:eastAsia="Arial" w:hAnsi="Arial" w:cs="Arial"/>
          <w:color w:val="000000"/>
          <w:vertAlign w:val="superscript"/>
        </w:rPr>
        <w:footnoteReference w:id="28"/>
      </w:r>
      <w:r>
        <w:rPr>
          <w:rFonts w:ascii="Arial" w:eastAsia="Arial" w:hAnsi="Arial" w:cs="Arial"/>
          <w:color w:val="000000"/>
        </w:rPr>
        <w:t>.</w:t>
      </w:r>
    </w:p>
    <w:p w14:paraId="30088674" w14:textId="77777777" w:rsidR="00686E6F" w:rsidRDefault="00000000">
      <w:pPr>
        <w:spacing w:before="280" w:after="280" w:line="360" w:lineRule="auto"/>
        <w:jc w:val="both"/>
        <w:rPr>
          <w:rFonts w:ascii="Arial" w:eastAsia="Arial" w:hAnsi="Arial" w:cs="Arial"/>
          <w:color w:val="000000"/>
        </w:rPr>
      </w:pPr>
      <w:r>
        <w:rPr>
          <w:rFonts w:ascii="Arial" w:eastAsia="Arial" w:hAnsi="Arial" w:cs="Arial"/>
          <w:color w:val="000000"/>
        </w:rPr>
        <w:t xml:space="preserve">En mérito de lo expuesto, al haberse actualizado la causal estudiada, y al no haberse admitido a trámite el </w:t>
      </w:r>
      <w:r>
        <w:rPr>
          <w:rFonts w:ascii="Arial" w:eastAsia="Arial" w:hAnsi="Arial" w:cs="Arial"/>
          <w:i/>
          <w:iCs/>
          <w:color w:val="000000"/>
        </w:rPr>
        <w:t>incidente</w:t>
      </w:r>
      <w:r>
        <w:rPr>
          <w:rFonts w:ascii="Arial" w:eastAsia="Arial" w:hAnsi="Arial" w:cs="Arial"/>
          <w:color w:val="000000"/>
        </w:rPr>
        <w:t xml:space="preserve"> en términos del numeral 12, fracción I, de la </w:t>
      </w:r>
      <w:r>
        <w:rPr>
          <w:rFonts w:ascii="Arial" w:eastAsia="Arial" w:hAnsi="Arial" w:cs="Arial"/>
          <w:i/>
          <w:iCs/>
          <w:color w:val="000000"/>
        </w:rPr>
        <w:t>Ley de Justicia Electoral</w:t>
      </w:r>
      <w:r>
        <w:rPr>
          <w:rFonts w:ascii="Arial" w:eastAsia="Arial" w:hAnsi="Arial" w:cs="Arial"/>
          <w:color w:val="000000"/>
        </w:rPr>
        <w:t xml:space="preserve">, en relación con el 107 del </w:t>
      </w:r>
      <w:r>
        <w:rPr>
          <w:rFonts w:ascii="Arial" w:eastAsia="Arial" w:hAnsi="Arial" w:cs="Arial"/>
          <w:i/>
          <w:iCs/>
          <w:color w:val="000000"/>
        </w:rPr>
        <w:t>Reglamento Interior</w:t>
      </w:r>
      <w:r>
        <w:rPr>
          <w:rFonts w:ascii="Arial" w:eastAsia="Arial" w:hAnsi="Arial" w:cs="Arial"/>
          <w:color w:val="000000"/>
        </w:rPr>
        <w:t xml:space="preserve">, lo que procede es </w:t>
      </w:r>
      <w:r>
        <w:rPr>
          <w:rFonts w:ascii="Arial" w:eastAsia="Arial" w:hAnsi="Arial" w:cs="Arial"/>
          <w:b/>
          <w:bCs/>
          <w:color w:val="000000"/>
        </w:rPr>
        <w:t>tener por no presentado el escrito incidental</w:t>
      </w:r>
      <w:r>
        <w:rPr>
          <w:rFonts w:ascii="Arial" w:eastAsia="Arial" w:hAnsi="Arial" w:cs="Arial"/>
          <w:b/>
          <w:bCs/>
          <w:color w:val="000000"/>
          <w:vertAlign w:val="superscript"/>
        </w:rPr>
        <w:footnoteReference w:id="29"/>
      </w:r>
      <w:r>
        <w:rPr>
          <w:rFonts w:ascii="Arial" w:eastAsia="Arial" w:hAnsi="Arial" w:cs="Arial"/>
          <w:color w:val="000000"/>
        </w:rPr>
        <w:t>.</w:t>
      </w:r>
    </w:p>
    <w:p w14:paraId="521ADE24" w14:textId="77777777" w:rsidR="00686E6F" w:rsidRDefault="00000000">
      <w:pPr>
        <w:spacing w:line="360" w:lineRule="auto"/>
        <w:jc w:val="center"/>
        <w:rPr>
          <w:rFonts w:ascii="Arial" w:eastAsia="Arial" w:hAnsi="Arial" w:cs="Arial"/>
          <w:b/>
          <w:bCs/>
        </w:rPr>
      </w:pPr>
      <w:r>
        <w:rPr>
          <w:rFonts w:ascii="Arial" w:eastAsia="Arial" w:hAnsi="Arial" w:cs="Arial"/>
          <w:b/>
          <w:bCs/>
        </w:rPr>
        <w:t>V. CUMPLIMIENTO</w:t>
      </w:r>
    </w:p>
    <w:p w14:paraId="6BC8E849" w14:textId="77777777" w:rsidR="00686E6F" w:rsidRDefault="00000000">
      <w:pPr>
        <w:spacing w:line="360" w:lineRule="auto"/>
        <w:jc w:val="both"/>
        <w:rPr>
          <w:rFonts w:ascii="Arial" w:eastAsia="Arial" w:hAnsi="Arial" w:cs="Arial"/>
        </w:rPr>
      </w:pPr>
      <w:bookmarkStart w:id="3" w:name="_heading=h.5yow1d9a6nj3" w:colFirst="0" w:colLast="0"/>
      <w:bookmarkEnd w:id="3"/>
      <w:r>
        <w:rPr>
          <w:rFonts w:ascii="Arial" w:eastAsia="Arial" w:hAnsi="Arial" w:cs="Arial"/>
        </w:rPr>
        <w:lastRenderedPageBreak/>
        <w:t xml:space="preserve">Por otro lado, el hecho de tener por no presentado el incidente debido al desistimiento del </w:t>
      </w:r>
      <w:proofErr w:type="spellStart"/>
      <w:r>
        <w:rPr>
          <w:rFonts w:ascii="Arial" w:eastAsia="Arial" w:hAnsi="Arial" w:cs="Arial"/>
          <w:i/>
          <w:iCs/>
        </w:rPr>
        <w:t>incidentista</w:t>
      </w:r>
      <w:proofErr w:type="spellEnd"/>
      <w:r>
        <w:rPr>
          <w:rFonts w:ascii="Arial" w:eastAsia="Arial" w:hAnsi="Arial" w:cs="Arial"/>
        </w:rPr>
        <w:t xml:space="preserve">, no exime a esta autoridad a pronunciarse respecto del cumplimiento a lo ordenado en la sentencia de veinticuatro de julio, en la que se ordenó que se le otorgara al </w:t>
      </w:r>
      <w:proofErr w:type="spellStart"/>
      <w:r>
        <w:rPr>
          <w:rFonts w:ascii="Arial" w:eastAsia="Arial" w:hAnsi="Arial" w:cs="Arial"/>
          <w:i/>
          <w:iCs/>
        </w:rPr>
        <w:t>incidentista</w:t>
      </w:r>
      <w:proofErr w:type="spellEnd"/>
      <w:r>
        <w:rPr>
          <w:rFonts w:ascii="Arial" w:eastAsia="Arial" w:hAnsi="Arial" w:cs="Arial"/>
          <w:i/>
          <w:iCs/>
        </w:rPr>
        <w:t xml:space="preserve"> </w:t>
      </w:r>
      <w:r>
        <w:rPr>
          <w:rFonts w:ascii="Arial" w:eastAsia="Arial" w:hAnsi="Arial" w:cs="Arial"/>
        </w:rPr>
        <w:t>la información respecto de la solicitud que efectuó el doce de junio mediante oficio DIP-JC16*261/2025, relativa al Primer Informe Trimestral de este año, así como convenios de comunicación social, plantilla de personal, contrataciones por honorarios, estados de cuenta bancarios, relación de proveedores y contratos de adquisiciones, informe de vehículos oficiales, reportes de auditorías y la documentación justificativa y comprobatoria del gasto público.</w:t>
      </w:r>
    </w:p>
    <w:p w14:paraId="1584373A" w14:textId="77777777" w:rsidR="00686E6F" w:rsidRDefault="00686E6F">
      <w:pPr>
        <w:spacing w:line="360" w:lineRule="auto"/>
        <w:rPr>
          <w:rFonts w:ascii="Arial" w:eastAsia="Arial" w:hAnsi="Arial" w:cs="Arial"/>
        </w:rPr>
      </w:pPr>
    </w:p>
    <w:p w14:paraId="0C47658B" w14:textId="77777777" w:rsidR="00686E6F" w:rsidRDefault="00000000">
      <w:pPr>
        <w:spacing w:line="360" w:lineRule="auto"/>
        <w:jc w:val="both"/>
        <w:rPr>
          <w:rFonts w:ascii="Arial" w:eastAsia="Arial" w:hAnsi="Arial" w:cs="Arial"/>
        </w:rPr>
      </w:pPr>
      <w:r>
        <w:rPr>
          <w:rFonts w:ascii="Arial" w:eastAsia="Arial" w:hAnsi="Arial" w:cs="Arial"/>
        </w:rPr>
        <w:t xml:space="preserve">Ahora, como se precisó en el apartado de antecedentes, este órgano jurisdiccional dictó una primera resolución en el incidente en que se actúa, la cual fue revocada por la </w:t>
      </w:r>
      <w:r>
        <w:rPr>
          <w:rFonts w:ascii="Arial" w:eastAsia="Arial" w:hAnsi="Arial" w:cs="Arial"/>
          <w:i/>
          <w:iCs/>
        </w:rPr>
        <w:t>Sala Regional Toluca</w:t>
      </w:r>
      <w:r>
        <w:rPr>
          <w:rFonts w:ascii="Arial" w:eastAsia="Arial" w:hAnsi="Arial" w:cs="Arial"/>
        </w:rPr>
        <w:t xml:space="preserve"> en el expediente ST-JDC-295/2025, en la que se vinculó a esta autoridad a dictar una nueva en la que se analizara nuevamente la información que remitiera el </w:t>
      </w:r>
      <w:r>
        <w:rPr>
          <w:rFonts w:ascii="Arial" w:eastAsia="Arial" w:hAnsi="Arial" w:cs="Arial"/>
          <w:i/>
          <w:iCs/>
        </w:rPr>
        <w:t>Secretario de Administración</w:t>
      </w:r>
      <w:r>
        <w:rPr>
          <w:rFonts w:ascii="Arial" w:eastAsia="Arial" w:hAnsi="Arial" w:cs="Arial"/>
        </w:rPr>
        <w:t xml:space="preserve">, y se determinara si se encontraba cumplida la sentencia. </w:t>
      </w:r>
    </w:p>
    <w:p w14:paraId="2A0F4530" w14:textId="77777777" w:rsidR="00686E6F" w:rsidRDefault="00686E6F">
      <w:pPr>
        <w:spacing w:line="360" w:lineRule="auto"/>
        <w:rPr>
          <w:rFonts w:ascii="Arial" w:eastAsia="Arial" w:hAnsi="Arial" w:cs="Arial"/>
        </w:rPr>
      </w:pPr>
    </w:p>
    <w:p w14:paraId="26DE050D" w14:textId="77777777" w:rsidR="00686E6F" w:rsidRDefault="00000000">
      <w:pPr>
        <w:spacing w:line="360" w:lineRule="auto"/>
        <w:jc w:val="both"/>
        <w:rPr>
          <w:rFonts w:ascii="Arial" w:eastAsia="Arial" w:hAnsi="Arial" w:cs="Arial"/>
        </w:rPr>
      </w:pPr>
      <w:r>
        <w:rPr>
          <w:rFonts w:ascii="Arial" w:eastAsia="Arial" w:hAnsi="Arial" w:cs="Arial"/>
        </w:rPr>
        <w:t xml:space="preserve">En ese sentido, cabe resaltar que el actor promovió el juicio de la ciudadanía por la omisión de recibir la información que solicitó por escrito y que estimaba necesaria para el ejercicio del cargo que ocupa como diputado en el Congreso del Estado, lo que resultó fundado y por tanto se ordenó la entrega de la información. </w:t>
      </w:r>
    </w:p>
    <w:p w14:paraId="2E74898F" w14:textId="77777777" w:rsidR="00686E6F" w:rsidRDefault="00686E6F">
      <w:pPr>
        <w:spacing w:line="360" w:lineRule="auto"/>
        <w:jc w:val="both"/>
        <w:rPr>
          <w:rFonts w:ascii="Arial" w:eastAsia="Arial" w:hAnsi="Arial" w:cs="Arial"/>
        </w:rPr>
      </w:pPr>
    </w:p>
    <w:p w14:paraId="47CDF184" w14:textId="77777777" w:rsidR="00686E6F" w:rsidRDefault="00000000">
      <w:pPr>
        <w:spacing w:line="360" w:lineRule="auto"/>
        <w:jc w:val="both"/>
        <w:rPr>
          <w:rFonts w:ascii="Arial" w:eastAsia="Arial" w:hAnsi="Arial" w:cs="Arial"/>
        </w:rPr>
      </w:pPr>
      <w:r>
        <w:rPr>
          <w:rFonts w:ascii="Arial" w:eastAsia="Arial" w:hAnsi="Arial" w:cs="Arial"/>
        </w:rPr>
        <w:t xml:space="preserve">No obstante, como ya se precisó en el apartado que antecede, el veinte de noviembre se recibió en este </w:t>
      </w:r>
      <w:r>
        <w:rPr>
          <w:rFonts w:ascii="Arial" w:eastAsia="Arial" w:hAnsi="Arial" w:cs="Arial"/>
          <w:i/>
          <w:iCs/>
        </w:rPr>
        <w:t>órgano jurisdiccional</w:t>
      </w:r>
      <w:r>
        <w:rPr>
          <w:rFonts w:ascii="Arial" w:eastAsia="Arial" w:hAnsi="Arial" w:cs="Arial"/>
        </w:rPr>
        <w:t xml:space="preserve"> un escrito a través del cual el actor manifiesta que su pretensión se encuentra colmada, al haber recibido la totalidad de la información requerida y así contar con los elementos documentales necesarios para el adecuado ejercicio de sus funciones. Escrito que fue ratificado el veinticuatro de noviembre. </w:t>
      </w:r>
    </w:p>
    <w:p w14:paraId="42B72221" w14:textId="77777777" w:rsidR="00686E6F" w:rsidRDefault="00686E6F">
      <w:pPr>
        <w:spacing w:line="360" w:lineRule="auto"/>
        <w:rPr>
          <w:rFonts w:ascii="Arial" w:eastAsia="Arial" w:hAnsi="Arial" w:cs="Arial"/>
        </w:rPr>
      </w:pPr>
    </w:p>
    <w:p w14:paraId="06A52947" w14:textId="77777777" w:rsidR="00686E6F" w:rsidRDefault="00000000">
      <w:pPr>
        <w:spacing w:line="360" w:lineRule="auto"/>
        <w:jc w:val="both"/>
        <w:rPr>
          <w:rFonts w:ascii="Arial" w:eastAsia="Arial" w:hAnsi="Arial" w:cs="Arial"/>
        </w:rPr>
      </w:pPr>
      <w:r>
        <w:rPr>
          <w:rFonts w:ascii="Arial" w:eastAsia="Arial" w:hAnsi="Arial" w:cs="Arial"/>
        </w:rPr>
        <w:t xml:space="preserve">Conforme a lo anterior, ante el reconocimiento voluntario por parte del actor de encontrarse colmada la pretensión que dio origen a la tramitación del juicio de la ciudadanía TEEM-JDC-201/2025, es que se estima que a ningún fin práctico llevaría realizar el análisis de la documentación remitida por el Secretario de Administración, pues al no existir ya una controversia viva ni materia pendiente de ejecución, carece de objeto continuar con el trámite del incidente; máxime que es obligación de este Tribunal verificar el cumplimiento de sus resoluciones en </w:t>
      </w:r>
      <w:r>
        <w:rPr>
          <w:rFonts w:ascii="Arial" w:eastAsia="Arial" w:hAnsi="Arial" w:cs="Arial"/>
        </w:rPr>
        <w:lastRenderedPageBreak/>
        <w:t xml:space="preserve">términos de la jurisprudencia 24/2011 de la </w:t>
      </w:r>
      <w:r>
        <w:rPr>
          <w:rFonts w:ascii="Arial" w:eastAsia="Arial" w:hAnsi="Arial" w:cs="Arial"/>
          <w:i/>
          <w:iCs/>
        </w:rPr>
        <w:t>Sala Superior</w:t>
      </w:r>
      <w:r>
        <w:rPr>
          <w:rFonts w:ascii="Arial" w:eastAsia="Arial" w:hAnsi="Arial" w:cs="Arial"/>
        </w:rPr>
        <w:t xml:space="preserve">, por lo que, en el caso, lo que procede es </w:t>
      </w:r>
      <w:r>
        <w:rPr>
          <w:rFonts w:ascii="Arial" w:eastAsia="Arial" w:hAnsi="Arial" w:cs="Arial"/>
          <w:b/>
          <w:bCs/>
        </w:rPr>
        <w:t>declarar cumplida la sentencia</w:t>
      </w:r>
      <w:r>
        <w:rPr>
          <w:rFonts w:ascii="Arial" w:eastAsia="Arial" w:hAnsi="Arial" w:cs="Arial"/>
        </w:rPr>
        <w:t xml:space="preserve"> de veinticuatro de julio. </w:t>
      </w:r>
    </w:p>
    <w:p w14:paraId="092D41BE" w14:textId="77777777" w:rsidR="00686E6F" w:rsidRDefault="00686E6F">
      <w:pPr>
        <w:spacing w:line="360" w:lineRule="auto"/>
        <w:jc w:val="both"/>
        <w:rPr>
          <w:rFonts w:ascii="Arial" w:eastAsia="Arial" w:hAnsi="Arial" w:cs="Arial"/>
        </w:rPr>
      </w:pPr>
    </w:p>
    <w:p w14:paraId="283FCB4D" w14:textId="77777777" w:rsidR="00686E6F" w:rsidRDefault="00000000">
      <w:pPr>
        <w:spacing w:line="360" w:lineRule="auto"/>
        <w:jc w:val="both"/>
        <w:rPr>
          <w:rFonts w:ascii="Arial" w:eastAsia="Arial" w:hAnsi="Arial" w:cs="Arial"/>
        </w:rPr>
      </w:pPr>
      <w:r>
        <w:rPr>
          <w:rFonts w:ascii="Arial" w:eastAsia="Arial" w:hAnsi="Arial" w:cs="Arial"/>
        </w:rPr>
        <w:t xml:space="preserve">Asimismo, cabe precisar que la determinación de declarar cumplida la sentencia no deriva únicamente del desistimiento del actor respecto del incidente, sino de que él mismo manifestó expresamente haber recibido la información requerida, con lo cual -bajo los parámetros establecidos por la </w:t>
      </w:r>
      <w:r>
        <w:rPr>
          <w:rFonts w:ascii="Arial" w:eastAsia="Arial" w:hAnsi="Arial" w:cs="Arial"/>
          <w:i/>
          <w:iCs/>
        </w:rPr>
        <w:t>Sala Regional Toluca</w:t>
      </w:r>
      <w:r>
        <w:rPr>
          <w:rFonts w:ascii="Arial" w:eastAsia="Arial" w:hAnsi="Arial" w:cs="Arial"/>
        </w:rPr>
        <w:t xml:space="preserve"> en el juicio ST-JDC-295/2025- su derecho se encuentra plenamente satisfecho.</w:t>
      </w:r>
    </w:p>
    <w:p w14:paraId="32670212" w14:textId="77777777" w:rsidR="00686E6F" w:rsidRDefault="00686E6F">
      <w:pPr>
        <w:spacing w:line="360" w:lineRule="auto"/>
        <w:jc w:val="both"/>
        <w:rPr>
          <w:rFonts w:ascii="Arial" w:eastAsia="Arial" w:hAnsi="Arial" w:cs="Arial"/>
        </w:rPr>
      </w:pPr>
    </w:p>
    <w:p w14:paraId="34C72FC0" w14:textId="77777777" w:rsidR="00686E6F" w:rsidRDefault="00000000">
      <w:pPr>
        <w:spacing w:line="360" w:lineRule="auto"/>
        <w:jc w:val="center"/>
        <w:rPr>
          <w:rFonts w:ascii="Arial" w:eastAsia="Arial" w:hAnsi="Arial" w:cs="Arial"/>
          <w:b/>
          <w:bCs/>
        </w:rPr>
      </w:pPr>
      <w:r>
        <w:rPr>
          <w:rFonts w:ascii="Arial" w:eastAsia="Arial" w:hAnsi="Arial" w:cs="Arial"/>
          <w:b/>
          <w:bCs/>
        </w:rPr>
        <w:t xml:space="preserve">VI. CUMPLIMIENTO DE </w:t>
      </w:r>
      <w:r>
        <w:rPr>
          <w:rFonts w:ascii="Arial" w:eastAsia="Arial" w:hAnsi="Arial" w:cs="Arial"/>
          <w:b/>
          <w:bCs/>
          <w:i/>
          <w:iCs/>
        </w:rPr>
        <w:t>SALA REGIONAL TOLUCA</w:t>
      </w:r>
    </w:p>
    <w:p w14:paraId="587FAFF7" w14:textId="77777777" w:rsidR="00686E6F" w:rsidRDefault="00686E6F">
      <w:pPr>
        <w:spacing w:line="360" w:lineRule="auto"/>
        <w:jc w:val="center"/>
        <w:rPr>
          <w:rFonts w:ascii="Arial" w:eastAsia="Arial" w:hAnsi="Arial" w:cs="Arial"/>
          <w:b/>
          <w:bCs/>
        </w:rPr>
      </w:pPr>
    </w:p>
    <w:p w14:paraId="358E810E" w14:textId="77777777" w:rsidR="00686E6F" w:rsidRDefault="00000000">
      <w:pPr>
        <w:spacing w:line="360" w:lineRule="auto"/>
        <w:jc w:val="both"/>
        <w:rPr>
          <w:rFonts w:ascii="Arial" w:eastAsia="Arial" w:hAnsi="Arial" w:cs="Arial"/>
        </w:rPr>
      </w:pPr>
      <w:r>
        <w:rPr>
          <w:rFonts w:ascii="Arial" w:eastAsia="Arial" w:hAnsi="Arial" w:cs="Arial"/>
        </w:rPr>
        <w:t xml:space="preserve">Toda vez que la </w:t>
      </w:r>
      <w:r>
        <w:rPr>
          <w:rFonts w:ascii="Arial" w:eastAsia="Arial" w:hAnsi="Arial" w:cs="Arial"/>
          <w:i/>
          <w:iCs/>
        </w:rPr>
        <w:t>sentencia federal</w:t>
      </w:r>
      <w:r>
        <w:rPr>
          <w:rFonts w:ascii="Arial" w:eastAsia="Arial" w:hAnsi="Arial" w:cs="Arial"/>
        </w:rPr>
        <w:t xml:space="preserve"> que dictó la </w:t>
      </w:r>
      <w:r>
        <w:rPr>
          <w:rFonts w:ascii="Arial" w:eastAsia="Arial" w:hAnsi="Arial" w:cs="Arial"/>
          <w:i/>
          <w:iCs/>
        </w:rPr>
        <w:t>Sala Regional Toluca</w:t>
      </w:r>
      <w:r>
        <w:rPr>
          <w:rFonts w:ascii="Arial" w:eastAsia="Arial" w:hAnsi="Arial" w:cs="Arial"/>
        </w:rPr>
        <w:t xml:space="preserve"> revocó la </w:t>
      </w:r>
      <w:r>
        <w:rPr>
          <w:rFonts w:ascii="Arial" w:eastAsia="Arial" w:hAnsi="Arial" w:cs="Arial"/>
          <w:i/>
          <w:iCs/>
        </w:rPr>
        <w:t>resolución incidental</w:t>
      </w:r>
      <w:r>
        <w:rPr>
          <w:rFonts w:ascii="Arial" w:eastAsia="Arial" w:hAnsi="Arial" w:cs="Arial"/>
        </w:rPr>
        <w:t xml:space="preserve"> y ordenó la emisión de una nueva conforme a los parámetros y razonamientos plasmados en esta, lo procedente es hacer del conocimiento de la </w:t>
      </w:r>
      <w:r>
        <w:rPr>
          <w:rFonts w:ascii="Arial" w:eastAsia="Arial" w:hAnsi="Arial" w:cs="Arial"/>
          <w:i/>
          <w:iCs/>
        </w:rPr>
        <w:t>instancia federal</w:t>
      </w:r>
      <w:r>
        <w:rPr>
          <w:rFonts w:ascii="Arial" w:eastAsia="Arial" w:hAnsi="Arial" w:cs="Arial"/>
        </w:rPr>
        <w:t xml:space="preserve"> la emisión del presente fallo para efectos del cumplimiento respectivo.</w:t>
      </w:r>
    </w:p>
    <w:p w14:paraId="36F9C643" w14:textId="77777777" w:rsidR="00686E6F" w:rsidRDefault="00686E6F">
      <w:pPr>
        <w:spacing w:line="360" w:lineRule="auto"/>
        <w:rPr>
          <w:rFonts w:ascii="Arial" w:eastAsia="Arial" w:hAnsi="Arial" w:cs="Arial"/>
        </w:rPr>
      </w:pPr>
    </w:p>
    <w:p w14:paraId="2737B974" w14:textId="77777777" w:rsidR="00686E6F" w:rsidRDefault="00000000">
      <w:pPr>
        <w:spacing w:line="360" w:lineRule="auto"/>
        <w:jc w:val="both"/>
        <w:rPr>
          <w:rFonts w:ascii="Arial" w:eastAsia="Arial" w:hAnsi="Arial" w:cs="Arial"/>
        </w:rPr>
      </w:pPr>
      <w:r>
        <w:rPr>
          <w:rFonts w:ascii="Arial" w:eastAsia="Arial" w:hAnsi="Arial" w:cs="Arial"/>
        </w:rPr>
        <w:t xml:space="preserve">Por lo anterior, </w:t>
      </w:r>
      <w:r>
        <w:rPr>
          <w:rFonts w:ascii="Arial" w:eastAsia="Arial" w:hAnsi="Arial" w:cs="Arial"/>
          <w:b/>
          <w:bCs/>
        </w:rPr>
        <w:t xml:space="preserve">infórmese a la </w:t>
      </w:r>
      <w:r>
        <w:rPr>
          <w:rFonts w:ascii="Arial" w:eastAsia="Arial" w:hAnsi="Arial" w:cs="Arial"/>
          <w:b/>
          <w:bCs/>
          <w:i/>
          <w:iCs/>
        </w:rPr>
        <w:t xml:space="preserve">Sala Regional Toluca </w:t>
      </w:r>
      <w:r>
        <w:rPr>
          <w:rFonts w:ascii="Arial" w:eastAsia="Arial" w:hAnsi="Arial" w:cs="Arial"/>
          <w:b/>
          <w:bCs/>
        </w:rPr>
        <w:t>la emisión de la presente resolución</w:t>
      </w:r>
      <w:r>
        <w:rPr>
          <w:rFonts w:ascii="Arial" w:eastAsia="Arial" w:hAnsi="Arial" w:cs="Arial"/>
        </w:rPr>
        <w:t>.</w:t>
      </w:r>
    </w:p>
    <w:p w14:paraId="1FD26B10" w14:textId="77777777" w:rsidR="00686E6F" w:rsidRDefault="00686E6F">
      <w:pPr>
        <w:spacing w:line="360" w:lineRule="auto"/>
        <w:jc w:val="both"/>
        <w:rPr>
          <w:rFonts w:ascii="Arial" w:eastAsia="Arial" w:hAnsi="Arial" w:cs="Arial"/>
        </w:rPr>
      </w:pPr>
    </w:p>
    <w:p w14:paraId="66620912" w14:textId="77777777" w:rsidR="00686E6F" w:rsidRDefault="00000000">
      <w:pPr>
        <w:spacing w:line="360" w:lineRule="auto"/>
        <w:jc w:val="both"/>
        <w:rPr>
          <w:rFonts w:ascii="Arial" w:eastAsia="Arial" w:hAnsi="Arial" w:cs="Arial"/>
        </w:rPr>
      </w:pPr>
      <w:r>
        <w:rPr>
          <w:rFonts w:ascii="Arial" w:eastAsia="Arial" w:hAnsi="Arial" w:cs="Arial"/>
        </w:rPr>
        <w:t>Por lo expuesto y fundado se:</w:t>
      </w:r>
    </w:p>
    <w:p w14:paraId="5A02E396" w14:textId="77777777" w:rsidR="00686E6F" w:rsidRDefault="00686E6F">
      <w:pPr>
        <w:spacing w:line="360" w:lineRule="auto"/>
        <w:jc w:val="both"/>
        <w:rPr>
          <w:rFonts w:ascii="Arial" w:eastAsia="Arial" w:hAnsi="Arial" w:cs="Arial"/>
        </w:rPr>
      </w:pPr>
    </w:p>
    <w:p w14:paraId="3BE1C87C" w14:textId="77777777" w:rsidR="00686E6F" w:rsidRDefault="00000000">
      <w:pPr>
        <w:spacing w:line="360" w:lineRule="auto"/>
        <w:jc w:val="center"/>
        <w:rPr>
          <w:rFonts w:ascii="Arial" w:eastAsia="Arial" w:hAnsi="Arial" w:cs="Arial"/>
          <w:b/>
          <w:bCs/>
        </w:rPr>
      </w:pPr>
      <w:r>
        <w:rPr>
          <w:rFonts w:ascii="Arial" w:eastAsia="Arial" w:hAnsi="Arial" w:cs="Arial"/>
          <w:b/>
          <w:bCs/>
        </w:rPr>
        <w:t>VII. RESUELVE</w:t>
      </w:r>
    </w:p>
    <w:p w14:paraId="5FD51277" w14:textId="77777777" w:rsidR="00686E6F" w:rsidRDefault="00686E6F">
      <w:pPr>
        <w:spacing w:line="360" w:lineRule="auto"/>
        <w:jc w:val="center"/>
        <w:rPr>
          <w:rFonts w:ascii="Arial" w:eastAsia="Arial" w:hAnsi="Arial" w:cs="Arial"/>
        </w:rPr>
      </w:pPr>
    </w:p>
    <w:p w14:paraId="0C323BC5" w14:textId="77777777" w:rsidR="00686E6F" w:rsidRDefault="00000000">
      <w:pPr>
        <w:tabs>
          <w:tab w:val="left" w:pos="7938"/>
          <w:tab w:val="left" w:pos="8080"/>
        </w:tabs>
        <w:spacing w:line="360" w:lineRule="auto"/>
        <w:ind w:right="49"/>
        <w:jc w:val="both"/>
        <w:rPr>
          <w:rFonts w:ascii="Arial" w:eastAsia="Arial" w:hAnsi="Arial" w:cs="Arial"/>
        </w:rPr>
      </w:pPr>
      <w:r>
        <w:rPr>
          <w:rFonts w:ascii="Arial" w:eastAsia="Arial" w:hAnsi="Arial" w:cs="Arial"/>
          <w:b/>
          <w:bCs/>
        </w:rPr>
        <w:t xml:space="preserve">PRIMERO. </w:t>
      </w:r>
      <w:r>
        <w:rPr>
          <w:rFonts w:ascii="Arial" w:eastAsia="Arial" w:hAnsi="Arial" w:cs="Arial"/>
        </w:rPr>
        <w:t xml:space="preserve">Se tiene </w:t>
      </w:r>
      <w:r>
        <w:rPr>
          <w:rFonts w:ascii="Arial" w:eastAsia="Arial" w:hAnsi="Arial" w:cs="Arial"/>
          <w:b/>
          <w:bCs/>
        </w:rPr>
        <w:t>por no presentado</w:t>
      </w:r>
      <w:r>
        <w:rPr>
          <w:rFonts w:ascii="Arial" w:eastAsia="Arial" w:hAnsi="Arial" w:cs="Arial"/>
        </w:rPr>
        <w:t xml:space="preserve"> el escrito incidental.</w:t>
      </w:r>
    </w:p>
    <w:p w14:paraId="7E2BB48D" w14:textId="77777777" w:rsidR="00686E6F" w:rsidRDefault="00686E6F">
      <w:pPr>
        <w:tabs>
          <w:tab w:val="left" w:pos="7938"/>
          <w:tab w:val="left" w:pos="8080"/>
        </w:tabs>
        <w:spacing w:line="360" w:lineRule="auto"/>
        <w:ind w:right="49"/>
        <w:jc w:val="both"/>
        <w:rPr>
          <w:rFonts w:ascii="Arial" w:eastAsia="Arial" w:hAnsi="Arial" w:cs="Arial"/>
        </w:rPr>
      </w:pPr>
    </w:p>
    <w:p w14:paraId="6DBA8A11" w14:textId="77777777" w:rsidR="00686E6F" w:rsidRDefault="00000000">
      <w:pPr>
        <w:tabs>
          <w:tab w:val="left" w:pos="7938"/>
          <w:tab w:val="left" w:pos="8080"/>
        </w:tabs>
        <w:spacing w:line="360" w:lineRule="auto"/>
        <w:ind w:right="49"/>
        <w:jc w:val="both"/>
        <w:rPr>
          <w:rFonts w:ascii="Arial" w:eastAsia="Arial" w:hAnsi="Arial" w:cs="Arial"/>
        </w:rPr>
      </w:pPr>
      <w:r>
        <w:rPr>
          <w:rFonts w:ascii="Arial" w:eastAsia="Arial" w:hAnsi="Arial" w:cs="Arial"/>
          <w:b/>
          <w:bCs/>
        </w:rPr>
        <w:t xml:space="preserve">SEGUNDO. </w:t>
      </w:r>
      <w:r>
        <w:rPr>
          <w:rFonts w:ascii="Arial" w:eastAsia="Arial" w:hAnsi="Arial" w:cs="Arial"/>
        </w:rPr>
        <w:t>Se</w:t>
      </w:r>
      <w:r>
        <w:rPr>
          <w:rFonts w:ascii="Arial" w:eastAsia="Arial" w:hAnsi="Arial" w:cs="Arial"/>
          <w:b/>
          <w:bCs/>
        </w:rPr>
        <w:t xml:space="preserve"> </w:t>
      </w:r>
      <w:r>
        <w:rPr>
          <w:rFonts w:ascii="Arial" w:eastAsia="Arial" w:hAnsi="Arial" w:cs="Arial"/>
        </w:rPr>
        <w:t>declara el</w:t>
      </w:r>
      <w:r>
        <w:rPr>
          <w:rFonts w:ascii="Arial" w:eastAsia="Arial" w:hAnsi="Arial" w:cs="Arial"/>
          <w:b/>
          <w:bCs/>
        </w:rPr>
        <w:t xml:space="preserve"> cumplimiento de la sentencia de veinticuatro de julio</w:t>
      </w:r>
      <w:r>
        <w:rPr>
          <w:rFonts w:ascii="Arial" w:eastAsia="Arial" w:hAnsi="Arial" w:cs="Arial"/>
        </w:rPr>
        <w:t>, por las razones expuestas.</w:t>
      </w:r>
    </w:p>
    <w:p w14:paraId="284FB054" w14:textId="77777777" w:rsidR="00686E6F" w:rsidRDefault="00686E6F">
      <w:pPr>
        <w:tabs>
          <w:tab w:val="left" w:pos="7938"/>
          <w:tab w:val="left" w:pos="8080"/>
        </w:tabs>
        <w:spacing w:line="360" w:lineRule="auto"/>
        <w:ind w:right="49"/>
        <w:jc w:val="both"/>
        <w:rPr>
          <w:rFonts w:ascii="Arial" w:eastAsia="Arial" w:hAnsi="Arial" w:cs="Arial"/>
          <w:b/>
          <w:bCs/>
        </w:rPr>
      </w:pPr>
    </w:p>
    <w:p w14:paraId="142C4DA0" w14:textId="77777777" w:rsidR="00686E6F" w:rsidRDefault="00000000">
      <w:pPr>
        <w:tabs>
          <w:tab w:val="left" w:pos="7938"/>
          <w:tab w:val="left" w:pos="8080"/>
        </w:tabs>
        <w:spacing w:line="360" w:lineRule="auto"/>
        <w:ind w:right="49"/>
        <w:jc w:val="both"/>
        <w:rPr>
          <w:rFonts w:ascii="Arial" w:eastAsia="Arial" w:hAnsi="Arial" w:cs="Arial"/>
        </w:rPr>
      </w:pPr>
      <w:r>
        <w:rPr>
          <w:rFonts w:ascii="Arial" w:eastAsia="Arial" w:hAnsi="Arial" w:cs="Arial"/>
          <w:b/>
          <w:bCs/>
        </w:rPr>
        <w:t>TERCERO.</w:t>
      </w:r>
      <w:r>
        <w:rPr>
          <w:rFonts w:ascii="Arial" w:eastAsia="Arial" w:hAnsi="Arial" w:cs="Arial"/>
        </w:rPr>
        <w:t xml:space="preserve"> Hágase del </w:t>
      </w:r>
      <w:r>
        <w:rPr>
          <w:rFonts w:ascii="Arial" w:eastAsia="Arial" w:hAnsi="Arial" w:cs="Arial"/>
          <w:b/>
          <w:bCs/>
        </w:rPr>
        <w:t>conocimiento</w:t>
      </w:r>
      <w:r>
        <w:rPr>
          <w:rFonts w:ascii="Arial" w:eastAsia="Arial" w:hAnsi="Arial" w:cs="Arial"/>
        </w:rPr>
        <w:t xml:space="preserve"> de la Sala Regional del Tribunal Electoral del Poder Judicial de la Federación, correspondiente a la Quinta Circunscripción Plurinominal Electoral, con sede en Toluca de Lerdo, Estado de México.</w:t>
      </w:r>
    </w:p>
    <w:p w14:paraId="02AAB511" w14:textId="77777777" w:rsidR="00686E6F" w:rsidRDefault="00686E6F">
      <w:pPr>
        <w:spacing w:line="360" w:lineRule="auto"/>
        <w:jc w:val="both"/>
        <w:rPr>
          <w:rFonts w:ascii="Arial" w:eastAsia="Arial" w:hAnsi="Arial" w:cs="Arial"/>
        </w:rPr>
      </w:pPr>
    </w:p>
    <w:p w14:paraId="69F0FAA8" w14:textId="77777777" w:rsidR="00686E6F" w:rsidRDefault="00000000">
      <w:pPr>
        <w:spacing w:line="360" w:lineRule="auto"/>
        <w:jc w:val="both"/>
        <w:rPr>
          <w:rFonts w:ascii="Arial" w:eastAsia="Arial" w:hAnsi="Arial" w:cs="Arial"/>
        </w:rPr>
      </w:pPr>
      <w:r>
        <w:rPr>
          <w:rFonts w:ascii="Arial" w:eastAsia="Arial" w:hAnsi="Arial" w:cs="Arial"/>
          <w:b/>
          <w:bCs/>
        </w:rPr>
        <w:t xml:space="preserve">NOTIFÍQUESE. Personalmente </w:t>
      </w:r>
      <w:r>
        <w:rPr>
          <w:rFonts w:ascii="Arial" w:eastAsia="Arial" w:hAnsi="Arial" w:cs="Arial"/>
        </w:rPr>
        <w:t xml:space="preserve">al </w:t>
      </w:r>
      <w:proofErr w:type="spellStart"/>
      <w:r>
        <w:rPr>
          <w:rFonts w:ascii="Arial" w:eastAsia="Arial" w:hAnsi="Arial" w:cs="Arial"/>
        </w:rPr>
        <w:t>incidentista</w:t>
      </w:r>
      <w:proofErr w:type="spellEnd"/>
      <w:r>
        <w:rPr>
          <w:rFonts w:ascii="Arial" w:eastAsia="Arial" w:hAnsi="Arial" w:cs="Arial"/>
        </w:rPr>
        <w:t xml:space="preserve">, </w:t>
      </w:r>
      <w:r>
        <w:rPr>
          <w:rFonts w:ascii="Arial" w:eastAsia="Arial" w:hAnsi="Arial" w:cs="Arial"/>
          <w:b/>
          <w:bCs/>
        </w:rPr>
        <w:t>por oficio</w:t>
      </w:r>
      <w:r>
        <w:rPr>
          <w:rFonts w:ascii="Arial" w:eastAsia="Arial" w:hAnsi="Arial" w:cs="Arial"/>
        </w:rPr>
        <w:t xml:space="preserve"> a las autoridades responsables y a la </w:t>
      </w:r>
      <w:r>
        <w:rPr>
          <w:rFonts w:ascii="Arial" w:eastAsia="Arial" w:hAnsi="Arial" w:cs="Arial"/>
          <w:i/>
          <w:iCs/>
        </w:rPr>
        <w:t>Sala Regional Toluca</w:t>
      </w:r>
      <w:r>
        <w:rPr>
          <w:rFonts w:ascii="Arial" w:eastAsia="Arial" w:hAnsi="Arial" w:cs="Arial"/>
        </w:rPr>
        <w:t xml:space="preserve">, y </w:t>
      </w:r>
      <w:r>
        <w:rPr>
          <w:rFonts w:ascii="Arial" w:eastAsia="Arial" w:hAnsi="Arial" w:cs="Arial"/>
          <w:b/>
          <w:bCs/>
        </w:rPr>
        <w:t>por estrados</w:t>
      </w:r>
      <w:r>
        <w:rPr>
          <w:rFonts w:ascii="Arial" w:eastAsia="Arial" w:hAnsi="Arial" w:cs="Arial"/>
        </w:rPr>
        <w:t xml:space="preserve"> a los demás interesados, de conformidad con lo previsto en los numerales 37, fracciones I, II y III, 38 y 39 de la </w:t>
      </w:r>
      <w:r>
        <w:rPr>
          <w:rFonts w:ascii="Arial" w:eastAsia="Arial" w:hAnsi="Arial" w:cs="Arial"/>
          <w:i/>
          <w:iCs/>
        </w:rPr>
        <w:t>Ley de Justicia Electoral</w:t>
      </w:r>
      <w:r>
        <w:rPr>
          <w:rFonts w:ascii="Arial" w:eastAsia="Arial" w:hAnsi="Arial" w:cs="Arial"/>
        </w:rPr>
        <w:t xml:space="preserve">, 137, párrafo primero, 139, 140, 141 y 142 del </w:t>
      </w:r>
      <w:r>
        <w:rPr>
          <w:rFonts w:ascii="Arial" w:eastAsia="Arial" w:hAnsi="Arial" w:cs="Arial"/>
          <w:i/>
          <w:iCs/>
        </w:rPr>
        <w:t>Reglamento Interior</w:t>
      </w:r>
      <w:r>
        <w:rPr>
          <w:rFonts w:ascii="Arial" w:eastAsia="Arial" w:hAnsi="Arial" w:cs="Arial"/>
        </w:rPr>
        <w:t>.</w:t>
      </w:r>
    </w:p>
    <w:p w14:paraId="5CCCE2B0" w14:textId="77777777" w:rsidR="00686E6F" w:rsidRDefault="00686E6F">
      <w:pPr>
        <w:spacing w:line="360" w:lineRule="auto"/>
        <w:jc w:val="both"/>
        <w:rPr>
          <w:rFonts w:ascii="Arial" w:eastAsia="Arial" w:hAnsi="Arial" w:cs="Arial"/>
        </w:rPr>
      </w:pPr>
    </w:p>
    <w:p w14:paraId="3B215ABF" w14:textId="77777777" w:rsidR="00686E6F" w:rsidRDefault="00000000">
      <w:pPr>
        <w:spacing w:line="360" w:lineRule="auto"/>
        <w:jc w:val="both"/>
        <w:rPr>
          <w:rFonts w:ascii="Arial" w:eastAsia="Arial" w:hAnsi="Arial" w:cs="Arial"/>
        </w:rPr>
      </w:pPr>
      <w:r>
        <w:rPr>
          <w:rFonts w:ascii="Arial" w:eastAsia="Arial" w:hAnsi="Arial" w:cs="Arial"/>
        </w:rPr>
        <w:t>En su oportunidad, archívese este expediente como asunto total y definitivamente concluido.</w:t>
      </w:r>
    </w:p>
    <w:p w14:paraId="09A31EF1" w14:textId="77777777" w:rsidR="00686E6F" w:rsidRDefault="00686E6F">
      <w:pPr>
        <w:spacing w:line="360" w:lineRule="auto"/>
        <w:jc w:val="both"/>
        <w:rPr>
          <w:rFonts w:ascii="Arial" w:eastAsia="Arial" w:hAnsi="Arial" w:cs="Arial"/>
        </w:rPr>
      </w:pPr>
    </w:p>
    <w:p w14:paraId="51E6B6F3" w14:textId="3E02EB8A" w:rsidR="00686E6F" w:rsidRDefault="00000000">
      <w:pPr>
        <w:spacing w:line="360" w:lineRule="auto"/>
        <w:jc w:val="both"/>
        <w:rPr>
          <w:rFonts w:ascii="Arial" w:eastAsia="Arial" w:hAnsi="Arial" w:cs="Arial"/>
          <w:b/>
          <w:bCs/>
        </w:rPr>
      </w:pPr>
      <w:bookmarkStart w:id="4" w:name="_heading=h.xrmdn906tol" w:colFirst="0" w:colLast="0"/>
      <w:bookmarkEnd w:id="4"/>
      <w:r>
        <w:rPr>
          <w:rFonts w:ascii="Arial" w:eastAsia="Arial" w:hAnsi="Arial" w:cs="Arial"/>
        </w:rPr>
        <w:t xml:space="preserve">Así, en sesión pública </w:t>
      </w:r>
      <w:r w:rsidR="00822958">
        <w:rPr>
          <w:rFonts w:ascii="Arial" w:eastAsia="Arial" w:hAnsi="Arial" w:cs="Arial"/>
        </w:rPr>
        <w:t>celebrada el</w:t>
      </w:r>
      <w:r>
        <w:rPr>
          <w:rFonts w:ascii="Arial" w:eastAsia="Arial" w:hAnsi="Arial" w:cs="Arial"/>
        </w:rPr>
        <w:t xml:space="preserve"> día de hoy, a las catorce horas con cincuenta y siete minutos, por unanimidad de votos, lo resolvieron y firma</w:t>
      </w:r>
      <w:r w:rsidR="00593DCD">
        <w:rPr>
          <w:rFonts w:ascii="Arial" w:eastAsia="Arial" w:hAnsi="Arial" w:cs="Arial"/>
        </w:rPr>
        <w:t>n</w:t>
      </w:r>
      <w:r>
        <w:rPr>
          <w:rFonts w:ascii="Arial" w:eastAsia="Arial" w:hAnsi="Arial" w:cs="Arial"/>
        </w:rPr>
        <w:t xml:space="preserve"> </w:t>
      </w:r>
      <w:r w:rsidR="00593DCD">
        <w:rPr>
          <w:rFonts w:ascii="Arial" w:hAnsi="Arial" w:cs="Arial"/>
        </w:rPr>
        <w:t xml:space="preserve">las Magistraturas integrantes del </w:t>
      </w:r>
      <w:r>
        <w:rPr>
          <w:rFonts w:ascii="Arial" w:eastAsia="Arial" w:hAnsi="Arial" w:cs="Arial"/>
        </w:rPr>
        <w:t xml:space="preserve">Pleno del Tribunal Electoral del Estado, la Magistrada Presidenta </w:t>
      </w:r>
      <w:proofErr w:type="spellStart"/>
      <w:r>
        <w:rPr>
          <w:rFonts w:ascii="Arial" w:eastAsia="Arial" w:hAnsi="Arial" w:cs="Arial"/>
        </w:rPr>
        <w:t>Amelí</w:t>
      </w:r>
      <w:proofErr w:type="spellEnd"/>
      <w:r>
        <w:rPr>
          <w:rFonts w:ascii="Arial" w:eastAsia="Arial" w:hAnsi="Arial" w:cs="Arial"/>
        </w:rPr>
        <w:t xml:space="preserve"> </w:t>
      </w:r>
      <w:proofErr w:type="spellStart"/>
      <w:r>
        <w:rPr>
          <w:rFonts w:ascii="Arial" w:eastAsia="Arial" w:hAnsi="Arial" w:cs="Arial"/>
        </w:rPr>
        <w:t>Gissel</w:t>
      </w:r>
      <w:proofErr w:type="spellEnd"/>
      <w:r>
        <w:rPr>
          <w:rFonts w:ascii="Arial" w:eastAsia="Arial" w:hAnsi="Arial" w:cs="Arial"/>
        </w:rPr>
        <w:t xml:space="preserve"> Navarro Lepe, las Magistradas Yurisha Andrade Morales y Alma Rosa Bahena Villalobos</w:t>
      </w:r>
      <w:r w:rsidR="00A2284F">
        <w:rPr>
          <w:rFonts w:ascii="Arial" w:eastAsia="Arial" w:hAnsi="Arial" w:cs="Arial"/>
        </w:rPr>
        <w:t>, así como</w:t>
      </w:r>
      <w:r>
        <w:rPr>
          <w:rFonts w:ascii="Arial" w:eastAsia="Arial" w:hAnsi="Arial" w:cs="Arial"/>
        </w:rPr>
        <w:t xml:space="preserve"> los Magistrados Adrián Hernández Pinedo </w:t>
      </w:r>
      <w:r w:rsidR="002A14F8">
        <w:rPr>
          <w:rFonts w:ascii="Arial" w:hAnsi="Arial" w:cs="Arial"/>
        </w:rPr>
        <w:t>–</w:t>
      </w:r>
      <w:r>
        <w:rPr>
          <w:rFonts w:ascii="Arial" w:eastAsia="Arial" w:hAnsi="Arial" w:cs="Arial"/>
        </w:rPr>
        <w:t>quien fue ponente</w:t>
      </w:r>
      <w:r w:rsidR="002A14F8">
        <w:rPr>
          <w:rFonts w:ascii="Arial" w:hAnsi="Arial" w:cs="Arial"/>
        </w:rPr>
        <w:t>–</w:t>
      </w:r>
      <w:r>
        <w:rPr>
          <w:rFonts w:ascii="Arial" w:eastAsia="Arial" w:hAnsi="Arial" w:cs="Arial"/>
        </w:rPr>
        <w:t xml:space="preserve"> y Eric López Villaseñor, ante el Secretario General de Acuerdos, Jesús Renato García Rivera, quien autoriza y da fe. </w:t>
      </w:r>
    </w:p>
    <w:tbl>
      <w:tblPr>
        <w:tblStyle w:val="a4"/>
        <w:tblW w:w="8648" w:type="dxa"/>
        <w:jc w:val="center"/>
        <w:tblInd w:w="0" w:type="dxa"/>
        <w:tblLayout w:type="fixed"/>
        <w:tblLook w:val="0400" w:firstRow="0" w:lastRow="0" w:firstColumn="0" w:lastColumn="0" w:noHBand="0" w:noVBand="1"/>
      </w:tblPr>
      <w:tblGrid>
        <w:gridCol w:w="4241"/>
        <w:gridCol w:w="4407"/>
      </w:tblGrid>
      <w:tr w:rsidR="00686E6F" w14:paraId="79F4A8C6" w14:textId="77777777">
        <w:trPr>
          <w:jc w:val="center"/>
        </w:trPr>
        <w:tc>
          <w:tcPr>
            <w:tcW w:w="8648" w:type="dxa"/>
            <w:gridSpan w:val="2"/>
          </w:tcPr>
          <w:p w14:paraId="1B057959" w14:textId="77777777" w:rsidR="00686E6F" w:rsidRDefault="00686E6F">
            <w:pPr>
              <w:pBdr>
                <w:top w:val="nil"/>
                <w:left w:val="nil"/>
                <w:bottom w:val="nil"/>
                <w:right w:val="nil"/>
                <w:between w:val="nil"/>
              </w:pBdr>
              <w:rPr>
                <w:rFonts w:ascii="Arial" w:eastAsia="Arial" w:hAnsi="Arial" w:cs="Arial"/>
                <w:b/>
                <w:bCs/>
                <w:color w:val="000000"/>
              </w:rPr>
            </w:pPr>
            <w:bookmarkStart w:id="5" w:name="_heading=h.l7qmh1jaq6s8" w:colFirst="0" w:colLast="0"/>
            <w:bookmarkEnd w:id="5"/>
          </w:p>
          <w:p w14:paraId="3C0D027B" w14:textId="77777777" w:rsidR="00686E6F" w:rsidRDefault="00686E6F">
            <w:pPr>
              <w:pBdr>
                <w:top w:val="nil"/>
                <w:left w:val="nil"/>
                <w:bottom w:val="nil"/>
                <w:right w:val="nil"/>
                <w:between w:val="nil"/>
              </w:pBdr>
              <w:rPr>
                <w:rFonts w:ascii="Arial" w:eastAsia="Arial" w:hAnsi="Arial" w:cs="Arial"/>
                <w:b/>
                <w:bCs/>
                <w:color w:val="000000"/>
              </w:rPr>
            </w:pPr>
          </w:p>
          <w:p w14:paraId="4C1B7859" w14:textId="77777777" w:rsidR="005A7025" w:rsidRDefault="005A7025">
            <w:pPr>
              <w:pBdr>
                <w:top w:val="nil"/>
                <w:left w:val="nil"/>
                <w:bottom w:val="nil"/>
                <w:right w:val="nil"/>
                <w:between w:val="nil"/>
              </w:pBdr>
              <w:jc w:val="center"/>
              <w:rPr>
                <w:rFonts w:ascii="Arial" w:eastAsia="Arial" w:hAnsi="Arial" w:cs="Arial"/>
                <w:b/>
                <w:bCs/>
                <w:color w:val="000000"/>
              </w:rPr>
            </w:pPr>
          </w:p>
          <w:p w14:paraId="6A41763D" w14:textId="77777777" w:rsidR="005A7025" w:rsidRDefault="005A7025">
            <w:pPr>
              <w:pBdr>
                <w:top w:val="nil"/>
                <w:left w:val="nil"/>
                <w:bottom w:val="nil"/>
                <w:right w:val="nil"/>
                <w:between w:val="nil"/>
              </w:pBdr>
              <w:jc w:val="center"/>
              <w:rPr>
                <w:rFonts w:ascii="Arial" w:eastAsia="Arial" w:hAnsi="Arial" w:cs="Arial"/>
                <w:b/>
                <w:bCs/>
                <w:color w:val="000000"/>
              </w:rPr>
            </w:pPr>
          </w:p>
          <w:p w14:paraId="5A24F688" w14:textId="54E4D80E" w:rsidR="00686E6F" w:rsidRDefault="00000000">
            <w:pPr>
              <w:pBdr>
                <w:top w:val="nil"/>
                <w:left w:val="nil"/>
                <w:bottom w:val="nil"/>
                <w:right w:val="nil"/>
                <w:between w:val="nil"/>
              </w:pBdr>
              <w:jc w:val="center"/>
              <w:rPr>
                <w:rFonts w:ascii="Arial" w:eastAsia="Arial" w:hAnsi="Arial" w:cs="Arial"/>
                <w:b/>
                <w:bCs/>
                <w:color w:val="000000"/>
              </w:rPr>
            </w:pPr>
            <w:r>
              <w:rPr>
                <w:rFonts w:ascii="Arial" w:eastAsia="Arial" w:hAnsi="Arial" w:cs="Arial"/>
                <w:b/>
                <w:bCs/>
                <w:color w:val="000000"/>
              </w:rPr>
              <w:t>MAGISTRADA PRESIDENTA</w:t>
            </w:r>
          </w:p>
          <w:p w14:paraId="5712B50B" w14:textId="77777777" w:rsidR="00686E6F" w:rsidRDefault="00686E6F">
            <w:pPr>
              <w:pBdr>
                <w:top w:val="nil"/>
                <w:left w:val="nil"/>
                <w:bottom w:val="nil"/>
                <w:right w:val="nil"/>
                <w:between w:val="nil"/>
              </w:pBdr>
              <w:jc w:val="center"/>
              <w:rPr>
                <w:rFonts w:ascii="Arial" w:eastAsia="Arial" w:hAnsi="Arial" w:cs="Arial"/>
                <w:b/>
                <w:bCs/>
                <w:color w:val="000000"/>
              </w:rPr>
            </w:pPr>
          </w:p>
          <w:p w14:paraId="03B84795" w14:textId="77777777" w:rsidR="00686E6F" w:rsidRDefault="00686E6F">
            <w:pPr>
              <w:pBdr>
                <w:top w:val="nil"/>
                <w:left w:val="nil"/>
                <w:bottom w:val="nil"/>
                <w:right w:val="nil"/>
                <w:between w:val="nil"/>
              </w:pBdr>
              <w:jc w:val="center"/>
              <w:rPr>
                <w:rFonts w:ascii="Arial" w:eastAsia="Arial" w:hAnsi="Arial" w:cs="Arial"/>
                <w:b/>
                <w:bCs/>
                <w:color w:val="000000"/>
              </w:rPr>
            </w:pPr>
          </w:p>
          <w:p w14:paraId="4F9ED7C6" w14:textId="77777777" w:rsidR="00686E6F" w:rsidRDefault="00686E6F">
            <w:pPr>
              <w:pBdr>
                <w:top w:val="nil"/>
                <w:left w:val="nil"/>
                <w:bottom w:val="nil"/>
                <w:right w:val="nil"/>
                <w:between w:val="nil"/>
              </w:pBdr>
              <w:jc w:val="center"/>
              <w:rPr>
                <w:rFonts w:ascii="Arial" w:eastAsia="Arial" w:hAnsi="Arial" w:cs="Arial"/>
                <w:b/>
                <w:bCs/>
                <w:color w:val="000000"/>
              </w:rPr>
            </w:pPr>
          </w:p>
          <w:p w14:paraId="1BC8AD0F" w14:textId="77777777" w:rsidR="00686E6F" w:rsidRDefault="00686E6F">
            <w:pPr>
              <w:pBdr>
                <w:top w:val="nil"/>
                <w:left w:val="nil"/>
                <w:bottom w:val="nil"/>
                <w:right w:val="nil"/>
                <w:between w:val="nil"/>
              </w:pBdr>
              <w:jc w:val="center"/>
              <w:rPr>
                <w:rFonts w:ascii="Arial" w:eastAsia="Arial" w:hAnsi="Arial" w:cs="Arial"/>
                <w:b/>
                <w:bCs/>
                <w:color w:val="000000"/>
              </w:rPr>
            </w:pPr>
          </w:p>
          <w:p w14:paraId="7CA3E207" w14:textId="77777777" w:rsidR="00686E6F" w:rsidRDefault="00686E6F">
            <w:pPr>
              <w:pBdr>
                <w:top w:val="nil"/>
                <w:left w:val="nil"/>
                <w:bottom w:val="nil"/>
                <w:right w:val="nil"/>
                <w:between w:val="nil"/>
              </w:pBdr>
              <w:jc w:val="center"/>
              <w:rPr>
                <w:rFonts w:ascii="Arial" w:eastAsia="Arial" w:hAnsi="Arial" w:cs="Arial"/>
                <w:b/>
                <w:bCs/>
                <w:color w:val="000000"/>
              </w:rPr>
            </w:pPr>
          </w:p>
          <w:p w14:paraId="36230E9F" w14:textId="77777777" w:rsidR="00686E6F" w:rsidRDefault="00000000">
            <w:pPr>
              <w:pBdr>
                <w:top w:val="nil"/>
                <w:left w:val="nil"/>
                <w:bottom w:val="nil"/>
                <w:right w:val="nil"/>
                <w:between w:val="nil"/>
              </w:pBdr>
              <w:jc w:val="center"/>
              <w:rPr>
                <w:rFonts w:ascii="Arial" w:eastAsia="Arial" w:hAnsi="Arial" w:cs="Arial"/>
                <w:b/>
                <w:bCs/>
                <w:color w:val="000000"/>
              </w:rPr>
            </w:pPr>
            <w:r>
              <w:rPr>
                <w:rFonts w:ascii="Arial" w:eastAsia="Arial" w:hAnsi="Arial" w:cs="Arial"/>
                <w:b/>
                <w:bCs/>
                <w:color w:val="000000"/>
              </w:rPr>
              <w:t>AMELÍ GISSEL NAVARRO LEPE</w:t>
            </w:r>
          </w:p>
        </w:tc>
      </w:tr>
      <w:tr w:rsidR="00686E6F" w14:paraId="7FA464A0" w14:textId="77777777">
        <w:trPr>
          <w:jc w:val="center"/>
        </w:trPr>
        <w:tc>
          <w:tcPr>
            <w:tcW w:w="4241" w:type="dxa"/>
          </w:tcPr>
          <w:p w14:paraId="39FBAAEB" w14:textId="77777777" w:rsidR="00686E6F" w:rsidRDefault="00686E6F">
            <w:pPr>
              <w:pBdr>
                <w:top w:val="nil"/>
                <w:left w:val="nil"/>
                <w:bottom w:val="nil"/>
                <w:right w:val="nil"/>
                <w:between w:val="nil"/>
              </w:pBdr>
              <w:jc w:val="center"/>
              <w:rPr>
                <w:rFonts w:ascii="Arial" w:eastAsia="Arial" w:hAnsi="Arial" w:cs="Arial"/>
                <w:b/>
                <w:bCs/>
                <w:color w:val="000000"/>
              </w:rPr>
            </w:pPr>
          </w:p>
          <w:p w14:paraId="06D8BDEF" w14:textId="77777777" w:rsidR="00686E6F" w:rsidRDefault="00686E6F">
            <w:pPr>
              <w:pBdr>
                <w:top w:val="nil"/>
                <w:left w:val="nil"/>
                <w:bottom w:val="nil"/>
                <w:right w:val="nil"/>
                <w:between w:val="nil"/>
              </w:pBdr>
              <w:jc w:val="center"/>
              <w:rPr>
                <w:rFonts w:ascii="Arial" w:eastAsia="Arial" w:hAnsi="Arial" w:cs="Arial"/>
                <w:b/>
                <w:bCs/>
                <w:color w:val="000000"/>
              </w:rPr>
            </w:pPr>
          </w:p>
          <w:p w14:paraId="43FB3505" w14:textId="77777777" w:rsidR="00686E6F" w:rsidRDefault="00686E6F">
            <w:pPr>
              <w:pBdr>
                <w:top w:val="nil"/>
                <w:left w:val="nil"/>
                <w:bottom w:val="nil"/>
                <w:right w:val="nil"/>
                <w:between w:val="nil"/>
              </w:pBdr>
              <w:jc w:val="center"/>
              <w:rPr>
                <w:rFonts w:ascii="Arial" w:eastAsia="Arial" w:hAnsi="Arial" w:cs="Arial"/>
                <w:b/>
                <w:bCs/>
                <w:color w:val="000000"/>
              </w:rPr>
            </w:pPr>
          </w:p>
          <w:p w14:paraId="172DC754" w14:textId="77777777" w:rsidR="00686E6F" w:rsidRDefault="00686E6F">
            <w:pPr>
              <w:pBdr>
                <w:top w:val="nil"/>
                <w:left w:val="nil"/>
                <w:bottom w:val="nil"/>
                <w:right w:val="nil"/>
                <w:between w:val="nil"/>
              </w:pBdr>
              <w:jc w:val="center"/>
              <w:rPr>
                <w:rFonts w:ascii="Arial" w:eastAsia="Arial" w:hAnsi="Arial" w:cs="Arial"/>
                <w:b/>
                <w:bCs/>
                <w:color w:val="000000"/>
              </w:rPr>
            </w:pPr>
          </w:p>
          <w:p w14:paraId="52449212" w14:textId="77777777" w:rsidR="00686E6F" w:rsidRDefault="00686E6F">
            <w:pPr>
              <w:pBdr>
                <w:top w:val="nil"/>
                <w:left w:val="nil"/>
                <w:bottom w:val="nil"/>
                <w:right w:val="nil"/>
                <w:between w:val="nil"/>
              </w:pBdr>
              <w:jc w:val="center"/>
              <w:rPr>
                <w:rFonts w:ascii="Arial" w:eastAsia="Arial" w:hAnsi="Arial" w:cs="Arial"/>
                <w:b/>
                <w:bCs/>
                <w:color w:val="000000"/>
              </w:rPr>
            </w:pPr>
          </w:p>
          <w:p w14:paraId="2BA48AFE" w14:textId="77777777" w:rsidR="00686E6F" w:rsidRDefault="00000000">
            <w:pPr>
              <w:pBdr>
                <w:top w:val="nil"/>
                <w:left w:val="nil"/>
                <w:bottom w:val="nil"/>
                <w:right w:val="nil"/>
                <w:between w:val="nil"/>
              </w:pBdr>
              <w:jc w:val="center"/>
              <w:rPr>
                <w:rFonts w:ascii="Arial" w:eastAsia="Arial" w:hAnsi="Arial" w:cs="Arial"/>
                <w:b/>
                <w:bCs/>
                <w:color w:val="000000"/>
              </w:rPr>
            </w:pPr>
            <w:r>
              <w:rPr>
                <w:rFonts w:ascii="Arial" w:eastAsia="Arial" w:hAnsi="Arial" w:cs="Arial"/>
                <w:b/>
                <w:bCs/>
                <w:color w:val="000000"/>
              </w:rPr>
              <w:t>MAGISTRADA</w:t>
            </w:r>
          </w:p>
          <w:p w14:paraId="6274EC91" w14:textId="77777777" w:rsidR="00686E6F" w:rsidRDefault="00686E6F">
            <w:pPr>
              <w:pBdr>
                <w:top w:val="nil"/>
                <w:left w:val="nil"/>
                <w:bottom w:val="nil"/>
                <w:right w:val="nil"/>
                <w:between w:val="nil"/>
              </w:pBdr>
              <w:jc w:val="center"/>
              <w:rPr>
                <w:rFonts w:ascii="Arial" w:eastAsia="Arial" w:hAnsi="Arial" w:cs="Arial"/>
                <w:b/>
                <w:bCs/>
                <w:color w:val="000000"/>
              </w:rPr>
            </w:pPr>
          </w:p>
          <w:p w14:paraId="3AA45CA7" w14:textId="77777777" w:rsidR="00686E6F" w:rsidRDefault="00686E6F">
            <w:pPr>
              <w:pBdr>
                <w:top w:val="nil"/>
                <w:left w:val="nil"/>
                <w:bottom w:val="nil"/>
                <w:right w:val="nil"/>
                <w:between w:val="nil"/>
              </w:pBdr>
              <w:jc w:val="center"/>
              <w:rPr>
                <w:rFonts w:ascii="Arial" w:eastAsia="Arial" w:hAnsi="Arial" w:cs="Arial"/>
                <w:b/>
                <w:bCs/>
                <w:color w:val="000000"/>
              </w:rPr>
            </w:pPr>
          </w:p>
          <w:p w14:paraId="4E8354AC" w14:textId="77777777" w:rsidR="00686E6F" w:rsidRDefault="00686E6F">
            <w:pPr>
              <w:pBdr>
                <w:top w:val="nil"/>
                <w:left w:val="nil"/>
                <w:bottom w:val="nil"/>
                <w:right w:val="nil"/>
                <w:between w:val="nil"/>
              </w:pBdr>
              <w:jc w:val="center"/>
              <w:rPr>
                <w:rFonts w:ascii="Arial" w:eastAsia="Arial" w:hAnsi="Arial" w:cs="Arial"/>
                <w:b/>
                <w:bCs/>
                <w:color w:val="000000"/>
              </w:rPr>
            </w:pPr>
          </w:p>
          <w:p w14:paraId="1F543ACE" w14:textId="77777777" w:rsidR="00686E6F" w:rsidRDefault="00686E6F">
            <w:pPr>
              <w:pBdr>
                <w:top w:val="nil"/>
                <w:left w:val="nil"/>
                <w:bottom w:val="nil"/>
                <w:right w:val="nil"/>
                <w:between w:val="nil"/>
              </w:pBdr>
              <w:jc w:val="center"/>
              <w:rPr>
                <w:rFonts w:ascii="Arial" w:eastAsia="Arial" w:hAnsi="Arial" w:cs="Arial"/>
                <w:b/>
                <w:bCs/>
                <w:color w:val="000000"/>
              </w:rPr>
            </w:pPr>
          </w:p>
          <w:p w14:paraId="7D60AF06" w14:textId="77777777" w:rsidR="00686E6F" w:rsidRDefault="00686E6F">
            <w:pPr>
              <w:pBdr>
                <w:top w:val="nil"/>
                <w:left w:val="nil"/>
                <w:bottom w:val="nil"/>
                <w:right w:val="nil"/>
                <w:between w:val="nil"/>
              </w:pBdr>
              <w:jc w:val="center"/>
              <w:rPr>
                <w:rFonts w:ascii="Arial" w:eastAsia="Arial" w:hAnsi="Arial" w:cs="Arial"/>
                <w:b/>
                <w:bCs/>
                <w:color w:val="000000"/>
              </w:rPr>
            </w:pPr>
          </w:p>
          <w:p w14:paraId="0127703F" w14:textId="77777777" w:rsidR="00686E6F" w:rsidRDefault="00000000">
            <w:pPr>
              <w:pBdr>
                <w:top w:val="nil"/>
                <w:left w:val="nil"/>
                <w:bottom w:val="nil"/>
                <w:right w:val="nil"/>
                <w:between w:val="nil"/>
              </w:pBdr>
              <w:jc w:val="center"/>
              <w:rPr>
                <w:rFonts w:ascii="Arial" w:eastAsia="Arial" w:hAnsi="Arial" w:cs="Arial"/>
                <w:b/>
                <w:bCs/>
                <w:color w:val="000000"/>
              </w:rPr>
            </w:pPr>
            <w:r>
              <w:rPr>
                <w:rFonts w:ascii="Arial" w:eastAsia="Arial" w:hAnsi="Arial" w:cs="Arial"/>
                <w:b/>
                <w:bCs/>
                <w:color w:val="000000"/>
              </w:rPr>
              <w:t>YURISHA ANDRADE MORALES</w:t>
            </w:r>
          </w:p>
        </w:tc>
        <w:tc>
          <w:tcPr>
            <w:tcW w:w="4407" w:type="dxa"/>
          </w:tcPr>
          <w:p w14:paraId="6109C620" w14:textId="77777777" w:rsidR="00686E6F" w:rsidRDefault="00686E6F">
            <w:pPr>
              <w:pBdr>
                <w:top w:val="nil"/>
                <w:left w:val="nil"/>
                <w:bottom w:val="nil"/>
                <w:right w:val="nil"/>
                <w:between w:val="nil"/>
              </w:pBdr>
              <w:jc w:val="center"/>
              <w:rPr>
                <w:rFonts w:ascii="Arial" w:eastAsia="Arial" w:hAnsi="Arial" w:cs="Arial"/>
                <w:b/>
                <w:bCs/>
                <w:color w:val="000000"/>
              </w:rPr>
            </w:pPr>
          </w:p>
          <w:p w14:paraId="4F029E08" w14:textId="77777777" w:rsidR="00686E6F" w:rsidRDefault="00686E6F">
            <w:pPr>
              <w:pBdr>
                <w:top w:val="nil"/>
                <w:left w:val="nil"/>
                <w:bottom w:val="nil"/>
                <w:right w:val="nil"/>
                <w:between w:val="nil"/>
              </w:pBdr>
              <w:jc w:val="center"/>
              <w:rPr>
                <w:rFonts w:ascii="Arial" w:eastAsia="Arial" w:hAnsi="Arial" w:cs="Arial"/>
                <w:b/>
                <w:bCs/>
                <w:color w:val="000000"/>
              </w:rPr>
            </w:pPr>
          </w:p>
          <w:p w14:paraId="32756722" w14:textId="77777777" w:rsidR="00686E6F" w:rsidRDefault="00686E6F">
            <w:pPr>
              <w:pBdr>
                <w:top w:val="nil"/>
                <w:left w:val="nil"/>
                <w:bottom w:val="nil"/>
                <w:right w:val="nil"/>
                <w:between w:val="nil"/>
              </w:pBdr>
              <w:jc w:val="center"/>
              <w:rPr>
                <w:rFonts w:ascii="Arial" w:eastAsia="Arial" w:hAnsi="Arial" w:cs="Arial"/>
                <w:b/>
                <w:bCs/>
                <w:color w:val="000000"/>
              </w:rPr>
            </w:pPr>
          </w:p>
          <w:p w14:paraId="5D024F1A" w14:textId="77777777" w:rsidR="00686E6F" w:rsidRDefault="00686E6F">
            <w:pPr>
              <w:pBdr>
                <w:top w:val="nil"/>
                <w:left w:val="nil"/>
                <w:bottom w:val="nil"/>
                <w:right w:val="nil"/>
                <w:between w:val="nil"/>
              </w:pBdr>
              <w:jc w:val="center"/>
              <w:rPr>
                <w:rFonts w:ascii="Arial" w:eastAsia="Arial" w:hAnsi="Arial" w:cs="Arial"/>
                <w:b/>
                <w:bCs/>
                <w:color w:val="000000"/>
              </w:rPr>
            </w:pPr>
          </w:p>
          <w:p w14:paraId="3CA18AC9" w14:textId="77777777" w:rsidR="00686E6F" w:rsidRDefault="00686E6F">
            <w:pPr>
              <w:pBdr>
                <w:top w:val="nil"/>
                <w:left w:val="nil"/>
                <w:bottom w:val="nil"/>
                <w:right w:val="nil"/>
                <w:between w:val="nil"/>
              </w:pBdr>
              <w:jc w:val="center"/>
              <w:rPr>
                <w:rFonts w:ascii="Arial" w:eastAsia="Arial" w:hAnsi="Arial" w:cs="Arial"/>
                <w:b/>
                <w:bCs/>
                <w:color w:val="000000"/>
              </w:rPr>
            </w:pPr>
          </w:p>
          <w:p w14:paraId="1C5621E8" w14:textId="77777777" w:rsidR="00686E6F" w:rsidRDefault="00000000">
            <w:pPr>
              <w:pBdr>
                <w:top w:val="nil"/>
                <w:left w:val="nil"/>
                <w:bottom w:val="nil"/>
                <w:right w:val="nil"/>
                <w:between w:val="nil"/>
              </w:pBdr>
              <w:jc w:val="center"/>
              <w:rPr>
                <w:rFonts w:ascii="Arial" w:eastAsia="Arial" w:hAnsi="Arial" w:cs="Arial"/>
                <w:b/>
                <w:bCs/>
                <w:color w:val="000000"/>
              </w:rPr>
            </w:pPr>
            <w:r>
              <w:rPr>
                <w:rFonts w:ascii="Arial" w:eastAsia="Arial" w:hAnsi="Arial" w:cs="Arial"/>
                <w:b/>
                <w:bCs/>
                <w:color w:val="000000"/>
              </w:rPr>
              <w:t>MAGISTRADA</w:t>
            </w:r>
          </w:p>
          <w:p w14:paraId="2F5F6F70" w14:textId="77777777" w:rsidR="00686E6F" w:rsidRDefault="00686E6F">
            <w:pPr>
              <w:pBdr>
                <w:top w:val="nil"/>
                <w:left w:val="nil"/>
                <w:bottom w:val="nil"/>
                <w:right w:val="nil"/>
                <w:between w:val="nil"/>
              </w:pBdr>
              <w:jc w:val="center"/>
              <w:rPr>
                <w:rFonts w:ascii="Arial" w:eastAsia="Arial" w:hAnsi="Arial" w:cs="Arial"/>
                <w:b/>
                <w:bCs/>
                <w:color w:val="000000"/>
              </w:rPr>
            </w:pPr>
          </w:p>
          <w:p w14:paraId="7B42F154" w14:textId="77777777" w:rsidR="00686E6F" w:rsidRDefault="00686E6F">
            <w:pPr>
              <w:pBdr>
                <w:top w:val="nil"/>
                <w:left w:val="nil"/>
                <w:bottom w:val="nil"/>
                <w:right w:val="nil"/>
                <w:between w:val="nil"/>
              </w:pBdr>
              <w:jc w:val="center"/>
              <w:rPr>
                <w:rFonts w:ascii="Arial" w:eastAsia="Arial" w:hAnsi="Arial" w:cs="Arial"/>
                <w:b/>
                <w:bCs/>
                <w:color w:val="000000"/>
              </w:rPr>
            </w:pPr>
          </w:p>
          <w:p w14:paraId="523114F5" w14:textId="77777777" w:rsidR="00686E6F" w:rsidRDefault="00686E6F">
            <w:pPr>
              <w:pBdr>
                <w:top w:val="nil"/>
                <w:left w:val="nil"/>
                <w:bottom w:val="nil"/>
                <w:right w:val="nil"/>
                <w:between w:val="nil"/>
              </w:pBdr>
              <w:jc w:val="center"/>
              <w:rPr>
                <w:rFonts w:ascii="Arial" w:eastAsia="Arial" w:hAnsi="Arial" w:cs="Arial"/>
                <w:b/>
                <w:bCs/>
                <w:color w:val="000000"/>
              </w:rPr>
            </w:pPr>
          </w:p>
          <w:p w14:paraId="3FFDD525" w14:textId="77777777" w:rsidR="00686E6F" w:rsidRDefault="00686E6F">
            <w:pPr>
              <w:pBdr>
                <w:top w:val="nil"/>
                <w:left w:val="nil"/>
                <w:bottom w:val="nil"/>
                <w:right w:val="nil"/>
                <w:between w:val="nil"/>
              </w:pBdr>
              <w:jc w:val="center"/>
              <w:rPr>
                <w:rFonts w:ascii="Arial" w:eastAsia="Arial" w:hAnsi="Arial" w:cs="Arial"/>
                <w:b/>
                <w:bCs/>
                <w:color w:val="000000"/>
              </w:rPr>
            </w:pPr>
          </w:p>
          <w:p w14:paraId="07E6B3A1" w14:textId="77777777" w:rsidR="00686E6F" w:rsidRDefault="00686E6F">
            <w:pPr>
              <w:pBdr>
                <w:top w:val="nil"/>
                <w:left w:val="nil"/>
                <w:bottom w:val="nil"/>
                <w:right w:val="nil"/>
                <w:between w:val="nil"/>
              </w:pBdr>
              <w:jc w:val="center"/>
              <w:rPr>
                <w:rFonts w:ascii="Arial" w:eastAsia="Arial" w:hAnsi="Arial" w:cs="Arial"/>
                <w:b/>
                <w:bCs/>
                <w:color w:val="000000"/>
              </w:rPr>
            </w:pPr>
          </w:p>
          <w:p w14:paraId="3885CA08" w14:textId="77777777" w:rsidR="00686E6F" w:rsidRDefault="00000000">
            <w:pPr>
              <w:pBdr>
                <w:top w:val="nil"/>
                <w:left w:val="nil"/>
                <w:bottom w:val="nil"/>
                <w:right w:val="nil"/>
                <w:between w:val="nil"/>
              </w:pBdr>
              <w:rPr>
                <w:rFonts w:ascii="Arial" w:eastAsia="Arial" w:hAnsi="Arial" w:cs="Arial"/>
                <w:b/>
                <w:bCs/>
                <w:color w:val="000000"/>
              </w:rPr>
            </w:pPr>
            <w:r>
              <w:rPr>
                <w:rFonts w:ascii="Arial" w:eastAsia="Arial" w:hAnsi="Arial" w:cs="Arial"/>
                <w:b/>
                <w:bCs/>
                <w:color w:val="000000"/>
              </w:rPr>
              <w:t xml:space="preserve">ALMA ROSA BAHENA VILLALOBOS </w:t>
            </w:r>
          </w:p>
        </w:tc>
      </w:tr>
      <w:tr w:rsidR="00686E6F" w14:paraId="17EA9202" w14:textId="77777777">
        <w:trPr>
          <w:jc w:val="center"/>
        </w:trPr>
        <w:tc>
          <w:tcPr>
            <w:tcW w:w="4241" w:type="dxa"/>
          </w:tcPr>
          <w:p w14:paraId="60B55884" w14:textId="77777777" w:rsidR="00686E6F" w:rsidRDefault="00686E6F">
            <w:pPr>
              <w:pBdr>
                <w:top w:val="nil"/>
                <w:left w:val="nil"/>
                <w:bottom w:val="nil"/>
                <w:right w:val="nil"/>
                <w:between w:val="nil"/>
              </w:pBdr>
              <w:jc w:val="center"/>
              <w:rPr>
                <w:rFonts w:ascii="Arial" w:eastAsia="Arial" w:hAnsi="Arial" w:cs="Arial"/>
                <w:b/>
                <w:bCs/>
                <w:color w:val="000000"/>
              </w:rPr>
            </w:pPr>
          </w:p>
          <w:p w14:paraId="2811ACAD" w14:textId="77777777" w:rsidR="00686E6F" w:rsidRDefault="00686E6F">
            <w:pPr>
              <w:pBdr>
                <w:top w:val="nil"/>
                <w:left w:val="nil"/>
                <w:bottom w:val="nil"/>
                <w:right w:val="nil"/>
                <w:between w:val="nil"/>
              </w:pBdr>
              <w:jc w:val="center"/>
              <w:rPr>
                <w:rFonts w:ascii="Arial" w:eastAsia="Arial" w:hAnsi="Arial" w:cs="Arial"/>
                <w:b/>
                <w:bCs/>
                <w:color w:val="000000"/>
              </w:rPr>
            </w:pPr>
          </w:p>
          <w:p w14:paraId="491A31D4" w14:textId="77777777" w:rsidR="00686E6F" w:rsidRDefault="00686E6F">
            <w:pPr>
              <w:pBdr>
                <w:top w:val="nil"/>
                <w:left w:val="nil"/>
                <w:bottom w:val="nil"/>
                <w:right w:val="nil"/>
                <w:between w:val="nil"/>
              </w:pBdr>
              <w:jc w:val="center"/>
              <w:rPr>
                <w:rFonts w:ascii="Arial" w:eastAsia="Arial" w:hAnsi="Arial" w:cs="Arial"/>
                <w:b/>
                <w:bCs/>
                <w:color w:val="000000"/>
              </w:rPr>
            </w:pPr>
          </w:p>
          <w:p w14:paraId="0CF668B6" w14:textId="77777777" w:rsidR="00686E6F" w:rsidRDefault="00686E6F">
            <w:pPr>
              <w:pBdr>
                <w:top w:val="nil"/>
                <w:left w:val="nil"/>
                <w:bottom w:val="nil"/>
                <w:right w:val="nil"/>
                <w:between w:val="nil"/>
              </w:pBdr>
              <w:jc w:val="center"/>
              <w:rPr>
                <w:rFonts w:ascii="Arial" w:eastAsia="Arial" w:hAnsi="Arial" w:cs="Arial"/>
                <w:b/>
                <w:bCs/>
                <w:color w:val="000000"/>
              </w:rPr>
            </w:pPr>
          </w:p>
          <w:p w14:paraId="18C78B6B" w14:textId="77777777" w:rsidR="00686E6F" w:rsidRDefault="00686E6F">
            <w:pPr>
              <w:pBdr>
                <w:top w:val="nil"/>
                <w:left w:val="nil"/>
                <w:bottom w:val="nil"/>
                <w:right w:val="nil"/>
                <w:between w:val="nil"/>
              </w:pBdr>
              <w:jc w:val="center"/>
              <w:rPr>
                <w:rFonts w:ascii="Arial" w:eastAsia="Arial" w:hAnsi="Arial" w:cs="Arial"/>
                <w:b/>
                <w:bCs/>
                <w:color w:val="000000"/>
              </w:rPr>
            </w:pPr>
          </w:p>
          <w:p w14:paraId="3A3C465D" w14:textId="77777777" w:rsidR="00686E6F" w:rsidRDefault="00000000">
            <w:pPr>
              <w:pBdr>
                <w:top w:val="nil"/>
                <w:left w:val="nil"/>
                <w:bottom w:val="nil"/>
                <w:right w:val="nil"/>
                <w:between w:val="nil"/>
              </w:pBdr>
              <w:jc w:val="center"/>
              <w:rPr>
                <w:rFonts w:ascii="Arial" w:eastAsia="Arial" w:hAnsi="Arial" w:cs="Arial"/>
                <w:b/>
                <w:bCs/>
                <w:color w:val="000000"/>
              </w:rPr>
            </w:pPr>
            <w:r>
              <w:rPr>
                <w:rFonts w:ascii="Arial" w:eastAsia="Arial" w:hAnsi="Arial" w:cs="Arial"/>
                <w:b/>
                <w:bCs/>
                <w:color w:val="000000"/>
              </w:rPr>
              <w:t>MAGISTRADO</w:t>
            </w:r>
          </w:p>
          <w:p w14:paraId="356423FE" w14:textId="77777777" w:rsidR="00686E6F" w:rsidRDefault="00686E6F">
            <w:pPr>
              <w:pBdr>
                <w:top w:val="nil"/>
                <w:left w:val="nil"/>
                <w:bottom w:val="nil"/>
                <w:right w:val="nil"/>
                <w:between w:val="nil"/>
              </w:pBdr>
              <w:jc w:val="center"/>
              <w:rPr>
                <w:rFonts w:ascii="Arial" w:eastAsia="Arial" w:hAnsi="Arial" w:cs="Arial"/>
                <w:b/>
                <w:bCs/>
                <w:color w:val="000000"/>
              </w:rPr>
            </w:pPr>
          </w:p>
          <w:p w14:paraId="5DC5A8AE" w14:textId="77777777" w:rsidR="00686E6F" w:rsidRDefault="00686E6F">
            <w:pPr>
              <w:pBdr>
                <w:top w:val="nil"/>
                <w:left w:val="nil"/>
                <w:bottom w:val="nil"/>
                <w:right w:val="nil"/>
                <w:between w:val="nil"/>
              </w:pBdr>
              <w:jc w:val="center"/>
              <w:rPr>
                <w:rFonts w:ascii="Arial" w:eastAsia="Arial" w:hAnsi="Arial" w:cs="Arial"/>
                <w:b/>
                <w:bCs/>
                <w:color w:val="000000"/>
              </w:rPr>
            </w:pPr>
          </w:p>
          <w:p w14:paraId="02E4FA26" w14:textId="77777777" w:rsidR="00686E6F" w:rsidRDefault="00686E6F">
            <w:pPr>
              <w:pBdr>
                <w:top w:val="nil"/>
                <w:left w:val="nil"/>
                <w:bottom w:val="nil"/>
                <w:right w:val="nil"/>
                <w:between w:val="nil"/>
              </w:pBdr>
              <w:jc w:val="center"/>
              <w:rPr>
                <w:rFonts w:ascii="Arial" w:eastAsia="Arial" w:hAnsi="Arial" w:cs="Arial"/>
                <w:b/>
                <w:bCs/>
                <w:color w:val="000000"/>
              </w:rPr>
            </w:pPr>
          </w:p>
          <w:p w14:paraId="255D3C9A" w14:textId="77777777" w:rsidR="00686E6F" w:rsidRDefault="00686E6F">
            <w:pPr>
              <w:pBdr>
                <w:top w:val="nil"/>
                <w:left w:val="nil"/>
                <w:bottom w:val="nil"/>
                <w:right w:val="nil"/>
                <w:between w:val="nil"/>
              </w:pBdr>
              <w:jc w:val="center"/>
              <w:rPr>
                <w:rFonts w:ascii="Arial" w:eastAsia="Arial" w:hAnsi="Arial" w:cs="Arial"/>
                <w:b/>
                <w:bCs/>
                <w:color w:val="000000"/>
              </w:rPr>
            </w:pPr>
          </w:p>
          <w:p w14:paraId="04EAADA7" w14:textId="77777777" w:rsidR="00686E6F" w:rsidRDefault="00686E6F">
            <w:pPr>
              <w:pBdr>
                <w:top w:val="nil"/>
                <w:left w:val="nil"/>
                <w:bottom w:val="nil"/>
                <w:right w:val="nil"/>
                <w:between w:val="nil"/>
              </w:pBdr>
              <w:jc w:val="center"/>
              <w:rPr>
                <w:rFonts w:ascii="Arial" w:eastAsia="Arial" w:hAnsi="Arial" w:cs="Arial"/>
                <w:b/>
                <w:bCs/>
                <w:color w:val="000000"/>
              </w:rPr>
            </w:pPr>
          </w:p>
          <w:p w14:paraId="3A1491A5" w14:textId="77777777" w:rsidR="00686E6F" w:rsidRDefault="00000000">
            <w:pPr>
              <w:pBdr>
                <w:top w:val="nil"/>
                <w:left w:val="nil"/>
                <w:bottom w:val="nil"/>
                <w:right w:val="nil"/>
                <w:between w:val="nil"/>
              </w:pBdr>
              <w:jc w:val="center"/>
              <w:rPr>
                <w:rFonts w:ascii="Arial" w:eastAsia="Arial" w:hAnsi="Arial" w:cs="Arial"/>
                <w:b/>
                <w:bCs/>
                <w:color w:val="000000"/>
              </w:rPr>
            </w:pPr>
            <w:r>
              <w:rPr>
                <w:rFonts w:ascii="Arial" w:eastAsia="Arial" w:hAnsi="Arial" w:cs="Arial"/>
                <w:b/>
                <w:bCs/>
                <w:color w:val="000000"/>
              </w:rPr>
              <w:t xml:space="preserve">ADRIÁN HERNÁNDEZ PINEDO </w:t>
            </w:r>
          </w:p>
        </w:tc>
        <w:tc>
          <w:tcPr>
            <w:tcW w:w="4407" w:type="dxa"/>
          </w:tcPr>
          <w:p w14:paraId="422446B3" w14:textId="77777777" w:rsidR="00686E6F" w:rsidRDefault="00686E6F">
            <w:pPr>
              <w:pBdr>
                <w:top w:val="nil"/>
                <w:left w:val="nil"/>
                <w:bottom w:val="nil"/>
                <w:right w:val="nil"/>
                <w:between w:val="nil"/>
              </w:pBdr>
              <w:jc w:val="center"/>
              <w:rPr>
                <w:rFonts w:ascii="Arial" w:eastAsia="Arial" w:hAnsi="Arial" w:cs="Arial"/>
                <w:b/>
                <w:bCs/>
                <w:color w:val="000000"/>
              </w:rPr>
            </w:pPr>
          </w:p>
          <w:p w14:paraId="04B9201E" w14:textId="77777777" w:rsidR="00686E6F" w:rsidRDefault="00686E6F">
            <w:pPr>
              <w:pBdr>
                <w:top w:val="nil"/>
                <w:left w:val="nil"/>
                <w:bottom w:val="nil"/>
                <w:right w:val="nil"/>
                <w:between w:val="nil"/>
              </w:pBdr>
              <w:jc w:val="center"/>
              <w:rPr>
                <w:rFonts w:ascii="Arial" w:eastAsia="Arial" w:hAnsi="Arial" w:cs="Arial"/>
                <w:b/>
                <w:bCs/>
                <w:color w:val="000000"/>
              </w:rPr>
            </w:pPr>
          </w:p>
          <w:p w14:paraId="4D11BF44" w14:textId="77777777" w:rsidR="00686E6F" w:rsidRDefault="00686E6F">
            <w:pPr>
              <w:pBdr>
                <w:top w:val="nil"/>
                <w:left w:val="nil"/>
                <w:bottom w:val="nil"/>
                <w:right w:val="nil"/>
                <w:between w:val="nil"/>
              </w:pBdr>
              <w:jc w:val="center"/>
              <w:rPr>
                <w:rFonts w:ascii="Arial" w:eastAsia="Arial" w:hAnsi="Arial" w:cs="Arial"/>
                <w:b/>
                <w:bCs/>
                <w:color w:val="000000"/>
              </w:rPr>
            </w:pPr>
          </w:p>
          <w:p w14:paraId="3CE37F87" w14:textId="77777777" w:rsidR="00686E6F" w:rsidRDefault="00686E6F">
            <w:pPr>
              <w:pBdr>
                <w:top w:val="nil"/>
                <w:left w:val="nil"/>
                <w:bottom w:val="nil"/>
                <w:right w:val="nil"/>
                <w:between w:val="nil"/>
              </w:pBdr>
              <w:jc w:val="center"/>
              <w:rPr>
                <w:rFonts w:ascii="Arial" w:eastAsia="Arial" w:hAnsi="Arial" w:cs="Arial"/>
                <w:b/>
                <w:bCs/>
                <w:color w:val="000000"/>
              </w:rPr>
            </w:pPr>
          </w:p>
          <w:p w14:paraId="5FFD73C5" w14:textId="77777777" w:rsidR="00686E6F" w:rsidRDefault="00686E6F">
            <w:pPr>
              <w:pBdr>
                <w:top w:val="nil"/>
                <w:left w:val="nil"/>
                <w:bottom w:val="nil"/>
                <w:right w:val="nil"/>
                <w:between w:val="nil"/>
              </w:pBdr>
              <w:jc w:val="center"/>
              <w:rPr>
                <w:rFonts w:ascii="Arial" w:eastAsia="Arial" w:hAnsi="Arial" w:cs="Arial"/>
                <w:b/>
                <w:bCs/>
                <w:color w:val="000000"/>
              </w:rPr>
            </w:pPr>
          </w:p>
          <w:p w14:paraId="194F280E" w14:textId="77777777" w:rsidR="00686E6F" w:rsidRDefault="00000000">
            <w:pPr>
              <w:pBdr>
                <w:top w:val="nil"/>
                <w:left w:val="nil"/>
                <w:bottom w:val="nil"/>
                <w:right w:val="nil"/>
                <w:between w:val="nil"/>
              </w:pBdr>
              <w:jc w:val="center"/>
              <w:rPr>
                <w:rFonts w:ascii="Arial" w:eastAsia="Arial" w:hAnsi="Arial" w:cs="Arial"/>
                <w:b/>
                <w:bCs/>
                <w:color w:val="000000"/>
              </w:rPr>
            </w:pPr>
            <w:r>
              <w:rPr>
                <w:rFonts w:ascii="Arial" w:eastAsia="Arial" w:hAnsi="Arial" w:cs="Arial"/>
                <w:b/>
                <w:bCs/>
                <w:color w:val="000000"/>
              </w:rPr>
              <w:t>MAGISTRADO</w:t>
            </w:r>
          </w:p>
          <w:p w14:paraId="0CC0729D" w14:textId="77777777" w:rsidR="00686E6F" w:rsidRDefault="00686E6F">
            <w:pPr>
              <w:pBdr>
                <w:top w:val="nil"/>
                <w:left w:val="nil"/>
                <w:bottom w:val="nil"/>
                <w:right w:val="nil"/>
                <w:between w:val="nil"/>
              </w:pBdr>
              <w:jc w:val="center"/>
              <w:rPr>
                <w:rFonts w:ascii="Arial" w:eastAsia="Arial" w:hAnsi="Arial" w:cs="Arial"/>
                <w:b/>
                <w:bCs/>
                <w:color w:val="000000"/>
              </w:rPr>
            </w:pPr>
          </w:p>
          <w:p w14:paraId="4DF99620" w14:textId="77777777" w:rsidR="00686E6F" w:rsidRDefault="00686E6F">
            <w:pPr>
              <w:pBdr>
                <w:top w:val="nil"/>
                <w:left w:val="nil"/>
                <w:bottom w:val="nil"/>
                <w:right w:val="nil"/>
                <w:between w:val="nil"/>
              </w:pBdr>
              <w:jc w:val="center"/>
              <w:rPr>
                <w:rFonts w:ascii="Arial" w:eastAsia="Arial" w:hAnsi="Arial" w:cs="Arial"/>
                <w:b/>
                <w:bCs/>
                <w:color w:val="000000"/>
              </w:rPr>
            </w:pPr>
          </w:p>
          <w:p w14:paraId="7B012017" w14:textId="77777777" w:rsidR="00686E6F" w:rsidRDefault="00686E6F">
            <w:pPr>
              <w:pBdr>
                <w:top w:val="nil"/>
                <w:left w:val="nil"/>
                <w:bottom w:val="nil"/>
                <w:right w:val="nil"/>
                <w:between w:val="nil"/>
              </w:pBdr>
              <w:jc w:val="center"/>
              <w:rPr>
                <w:rFonts w:ascii="Arial" w:eastAsia="Arial" w:hAnsi="Arial" w:cs="Arial"/>
                <w:b/>
                <w:bCs/>
                <w:color w:val="000000"/>
              </w:rPr>
            </w:pPr>
          </w:p>
          <w:p w14:paraId="753903B8" w14:textId="77777777" w:rsidR="00686E6F" w:rsidRDefault="00686E6F">
            <w:pPr>
              <w:pBdr>
                <w:top w:val="nil"/>
                <w:left w:val="nil"/>
                <w:bottom w:val="nil"/>
                <w:right w:val="nil"/>
                <w:between w:val="nil"/>
              </w:pBdr>
              <w:jc w:val="center"/>
              <w:rPr>
                <w:rFonts w:ascii="Arial" w:eastAsia="Arial" w:hAnsi="Arial" w:cs="Arial"/>
                <w:b/>
                <w:bCs/>
                <w:color w:val="000000"/>
              </w:rPr>
            </w:pPr>
          </w:p>
          <w:p w14:paraId="2750A34E" w14:textId="77777777" w:rsidR="00686E6F" w:rsidRDefault="00686E6F">
            <w:pPr>
              <w:pBdr>
                <w:top w:val="nil"/>
                <w:left w:val="nil"/>
                <w:bottom w:val="nil"/>
                <w:right w:val="nil"/>
                <w:between w:val="nil"/>
              </w:pBdr>
              <w:jc w:val="center"/>
              <w:rPr>
                <w:rFonts w:ascii="Arial" w:eastAsia="Arial" w:hAnsi="Arial" w:cs="Arial"/>
                <w:b/>
                <w:bCs/>
                <w:color w:val="000000"/>
              </w:rPr>
            </w:pPr>
          </w:p>
          <w:p w14:paraId="5B95ABBE" w14:textId="77777777" w:rsidR="00686E6F" w:rsidRDefault="00000000">
            <w:pPr>
              <w:pBdr>
                <w:top w:val="nil"/>
                <w:left w:val="nil"/>
                <w:bottom w:val="nil"/>
                <w:right w:val="nil"/>
                <w:between w:val="nil"/>
              </w:pBdr>
              <w:jc w:val="center"/>
              <w:rPr>
                <w:rFonts w:ascii="Arial" w:eastAsia="Arial" w:hAnsi="Arial" w:cs="Arial"/>
                <w:b/>
                <w:bCs/>
                <w:color w:val="000000"/>
              </w:rPr>
            </w:pPr>
            <w:r>
              <w:rPr>
                <w:rFonts w:ascii="Arial" w:eastAsia="Arial" w:hAnsi="Arial" w:cs="Arial"/>
                <w:b/>
                <w:bCs/>
                <w:color w:val="000000"/>
              </w:rPr>
              <w:t xml:space="preserve">ERIC LÓPEZ VILLASEÑOR </w:t>
            </w:r>
          </w:p>
        </w:tc>
      </w:tr>
      <w:tr w:rsidR="00686E6F" w14:paraId="11D16CEB" w14:textId="77777777">
        <w:trPr>
          <w:jc w:val="center"/>
        </w:trPr>
        <w:tc>
          <w:tcPr>
            <w:tcW w:w="8648" w:type="dxa"/>
            <w:gridSpan w:val="2"/>
          </w:tcPr>
          <w:p w14:paraId="1CF0257B" w14:textId="77777777" w:rsidR="00686E6F" w:rsidRDefault="00686E6F">
            <w:pPr>
              <w:pBdr>
                <w:top w:val="nil"/>
                <w:left w:val="nil"/>
                <w:bottom w:val="nil"/>
                <w:right w:val="nil"/>
                <w:between w:val="nil"/>
              </w:pBdr>
              <w:jc w:val="center"/>
              <w:rPr>
                <w:rFonts w:ascii="Arial" w:eastAsia="Arial" w:hAnsi="Arial" w:cs="Arial"/>
                <w:b/>
                <w:bCs/>
                <w:color w:val="000000"/>
              </w:rPr>
            </w:pPr>
          </w:p>
          <w:p w14:paraId="43DA8F7D" w14:textId="77777777" w:rsidR="00686E6F" w:rsidRDefault="00686E6F">
            <w:pPr>
              <w:pBdr>
                <w:top w:val="nil"/>
                <w:left w:val="nil"/>
                <w:bottom w:val="nil"/>
                <w:right w:val="nil"/>
                <w:between w:val="nil"/>
              </w:pBdr>
              <w:rPr>
                <w:rFonts w:ascii="Arial" w:eastAsia="Arial" w:hAnsi="Arial" w:cs="Arial"/>
                <w:b/>
                <w:bCs/>
                <w:color w:val="000000"/>
              </w:rPr>
            </w:pPr>
          </w:p>
          <w:p w14:paraId="32BF83E8" w14:textId="77777777" w:rsidR="00686E6F" w:rsidRDefault="00686E6F">
            <w:pPr>
              <w:pBdr>
                <w:top w:val="nil"/>
                <w:left w:val="nil"/>
                <w:bottom w:val="nil"/>
                <w:right w:val="nil"/>
                <w:between w:val="nil"/>
              </w:pBdr>
              <w:jc w:val="center"/>
              <w:rPr>
                <w:rFonts w:ascii="Arial" w:eastAsia="Arial" w:hAnsi="Arial" w:cs="Arial"/>
                <w:b/>
                <w:bCs/>
                <w:color w:val="000000"/>
              </w:rPr>
            </w:pPr>
          </w:p>
          <w:p w14:paraId="7834186B" w14:textId="77777777" w:rsidR="00686E6F" w:rsidRDefault="00686E6F">
            <w:pPr>
              <w:pBdr>
                <w:top w:val="nil"/>
                <w:left w:val="nil"/>
                <w:bottom w:val="nil"/>
                <w:right w:val="nil"/>
                <w:between w:val="nil"/>
              </w:pBdr>
              <w:jc w:val="center"/>
              <w:rPr>
                <w:rFonts w:ascii="Arial" w:eastAsia="Arial" w:hAnsi="Arial" w:cs="Arial"/>
                <w:b/>
                <w:bCs/>
                <w:color w:val="000000"/>
              </w:rPr>
            </w:pPr>
          </w:p>
          <w:p w14:paraId="4A141C67" w14:textId="77777777" w:rsidR="00647049" w:rsidRDefault="00647049">
            <w:pPr>
              <w:pBdr>
                <w:top w:val="nil"/>
                <w:left w:val="nil"/>
                <w:bottom w:val="nil"/>
                <w:right w:val="nil"/>
                <w:between w:val="nil"/>
              </w:pBdr>
              <w:jc w:val="center"/>
              <w:rPr>
                <w:rFonts w:ascii="Arial" w:eastAsia="Arial" w:hAnsi="Arial" w:cs="Arial"/>
                <w:b/>
                <w:bCs/>
                <w:color w:val="000000"/>
              </w:rPr>
            </w:pPr>
          </w:p>
          <w:p w14:paraId="7D0D264B" w14:textId="77777777" w:rsidR="005A7025" w:rsidRDefault="005A7025">
            <w:pPr>
              <w:pBdr>
                <w:top w:val="nil"/>
                <w:left w:val="nil"/>
                <w:bottom w:val="nil"/>
                <w:right w:val="nil"/>
                <w:between w:val="nil"/>
              </w:pBdr>
              <w:jc w:val="center"/>
              <w:rPr>
                <w:rFonts w:ascii="Arial" w:eastAsia="Arial" w:hAnsi="Arial" w:cs="Arial"/>
                <w:b/>
                <w:bCs/>
                <w:color w:val="000000"/>
              </w:rPr>
            </w:pPr>
          </w:p>
          <w:p w14:paraId="0199C978" w14:textId="1489945B" w:rsidR="00686E6F" w:rsidRDefault="00000000">
            <w:pPr>
              <w:pBdr>
                <w:top w:val="nil"/>
                <w:left w:val="nil"/>
                <w:bottom w:val="nil"/>
                <w:right w:val="nil"/>
                <w:between w:val="nil"/>
              </w:pBdr>
              <w:jc w:val="center"/>
              <w:rPr>
                <w:rFonts w:ascii="Arial" w:eastAsia="Arial" w:hAnsi="Arial" w:cs="Arial"/>
                <w:b/>
                <w:bCs/>
                <w:color w:val="000000"/>
              </w:rPr>
            </w:pPr>
            <w:r>
              <w:rPr>
                <w:rFonts w:ascii="Arial" w:eastAsia="Arial" w:hAnsi="Arial" w:cs="Arial"/>
                <w:b/>
                <w:bCs/>
                <w:color w:val="000000"/>
              </w:rPr>
              <w:t>SECRETARIO GENERAL DE ACUERDOS</w:t>
            </w:r>
          </w:p>
          <w:p w14:paraId="03D2B92B" w14:textId="77777777" w:rsidR="00686E6F" w:rsidRDefault="00686E6F">
            <w:pPr>
              <w:pBdr>
                <w:top w:val="nil"/>
                <w:left w:val="nil"/>
                <w:bottom w:val="nil"/>
                <w:right w:val="nil"/>
                <w:between w:val="nil"/>
              </w:pBdr>
              <w:jc w:val="center"/>
              <w:rPr>
                <w:rFonts w:ascii="Arial" w:eastAsia="Arial" w:hAnsi="Arial" w:cs="Arial"/>
                <w:b/>
                <w:bCs/>
                <w:color w:val="000000"/>
              </w:rPr>
            </w:pPr>
          </w:p>
          <w:p w14:paraId="46165F6B" w14:textId="77777777" w:rsidR="00686E6F" w:rsidRDefault="00686E6F">
            <w:pPr>
              <w:pBdr>
                <w:top w:val="nil"/>
                <w:left w:val="nil"/>
                <w:bottom w:val="nil"/>
                <w:right w:val="nil"/>
                <w:between w:val="nil"/>
              </w:pBdr>
              <w:jc w:val="center"/>
              <w:rPr>
                <w:rFonts w:ascii="Arial" w:eastAsia="Arial" w:hAnsi="Arial" w:cs="Arial"/>
                <w:b/>
                <w:bCs/>
                <w:color w:val="000000"/>
              </w:rPr>
            </w:pPr>
          </w:p>
          <w:p w14:paraId="63576511" w14:textId="77777777" w:rsidR="00686E6F" w:rsidRDefault="00686E6F">
            <w:pPr>
              <w:pBdr>
                <w:top w:val="nil"/>
                <w:left w:val="nil"/>
                <w:bottom w:val="nil"/>
                <w:right w:val="nil"/>
                <w:between w:val="nil"/>
              </w:pBdr>
              <w:jc w:val="center"/>
              <w:rPr>
                <w:rFonts w:ascii="Arial" w:eastAsia="Arial" w:hAnsi="Arial" w:cs="Arial"/>
                <w:b/>
                <w:bCs/>
                <w:color w:val="000000"/>
              </w:rPr>
            </w:pPr>
          </w:p>
          <w:p w14:paraId="2ACD2BEC" w14:textId="77777777" w:rsidR="00686E6F" w:rsidRDefault="00686E6F">
            <w:pPr>
              <w:pBdr>
                <w:top w:val="nil"/>
                <w:left w:val="nil"/>
                <w:bottom w:val="nil"/>
                <w:right w:val="nil"/>
                <w:between w:val="nil"/>
              </w:pBdr>
              <w:jc w:val="center"/>
              <w:rPr>
                <w:rFonts w:ascii="Arial" w:eastAsia="Arial" w:hAnsi="Arial" w:cs="Arial"/>
                <w:b/>
                <w:bCs/>
                <w:color w:val="000000"/>
              </w:rPr>
            </w:pPr>
          </w:p>
          <w:p w14:paraId="1C1AC20C" w14:textId="77777777" w:rsidR="00686E6F" w:rsidRDefault="00686E6F">
            <w:pPr>
              <w:pBdr>
                <w:top w:val="nil"/>
                <w:left w:val="nil"/>
                <w:bottom w:val="nil"/>
                <w:right w:val="nil"/>
                <w:between w:val="nil"/>
              </w:pBdr>
              <w:jc w:val="center"/>
              <w:rPr>
                <w:rFonts w:ascii="Arial" w:eastAsia="Arial" w:hAnsi="Arial" w:cs="Arial"/>
                <w:b/>
                <w:bCs/>
                <w:color w:val="000000"/>
              </w:rPr>
            </w:pPr>
          </w:p>
          <w:p w14:paraId="4992FA82" w14:textId="77777777" w:rsidR="00686E6F" w:rsidRDefault="00000000">
            <w:pPr>
              <w:pBdr>
                <w:top w:val="nil"/>
                <w:left w:val="nil"/>
                <w:bottom w:val="nil"/>
                <w:right w:val="nil"/>
                <w:between w:val="nil"/>
              </w:pBdr>
              <w:jc w:val="center"/>
              <w:rPr>
                <w:rFonts w:ascii="Arial" w:eastAsia="Arial" w:hAnsi="Arial" w:cs="Arial"/>
                <w:b/>
                <w:bCs/>
                <w:color w:val="000000"/>
              </w:rPr>
            </w:pPr>
            <w:r>
              <w:rPr>
                <w:rFonts w:ascii="Arial" w:eastAsia="Arial" w:hAnsi="Arial" w:cs="Arial"/>
                <w:b/>
                <w:bCs/>
                <w:color w:val="000000"/>
              </w:rPr>
              <w:t>JESÚS RENATO GARCÍA RIVERA</w:t>
            </w:r>
          </w:p>
          <w:p w14:paraId="26A13741" w14:textId="77777777" w:rsidR="00686E6F" w:rsidRDefault="00686E6F">
            <w:pPr>
              <w:pBdr>
                <w:top w:val="nil"/>
                <w:left w:val="nil"/>
                <w:bottom w:val="nil"/>
                <w:right w:val="nil"/>
                <w:between w:val="nil"/>
              </w:pBdr>
              <w:jc w:val="center"/>
              <w:rPr>
                <w:rFonts w:ascii="Arial" w:eastAsia="Arial" w:hAnsi="Arial" w:cs="Arial"/>
                <w:b/>
                <w:bCs/>
                <w:color w:val="000000"/>
              </w:rPr>
            </w:pPr>
          </w:p>
        </w:tc>
      </w:tr>
    </w:tbl>
    <w:p w14:paraId="2A4C1E9B" w14:textId="77777777" w:rsidR="00686E6F" w:rsidRDefault="00686E6F">
      <w:pPr>
        <w:spacing w:line="360" w:lineRule="auto"/>
        <w:jc w:val="both"/>
        <w:rPr>
          <w:rFonts w:ascii="Arial" w:eastAsia="Arial" w:hAnsi="Arial" w:cs="Arial"/>
          <w:b/>
          <w:bCs/>
        </w:rPr>
      </w:pPr>
    </w:p>
    <w:p w14:paraId="453EF2BB" w14:textId="468D34EE" w:rsidR="00686E6F" w:rsidRDefault="00000000">
      <w:pPr>
        <w:ind w:right="-35"/>
        <w:jc w:val="both"/>
        <w:rPr>
          <w:rFonts w:ascii="Arial Narrow" w:eastAsia="Arial Narrow" w:hAnsi="Arial Narrow" w:cs="Arial Narrow"/>
          <w:b/>
          <w:bCs/>
          <w:sz w:val="20"/>
          <w:szCs w:val="20"/>
        </w:rPr>
      </w:pPr>
      <w:r>
        <w:rPr>
          <w:rFonts w:ascii="Arial Narrow" w:eastAsia="Arial Narrow" w:hAnsi="Arial Narrow" w:cs="Arial Narrow"/>
          <w:sz w:val="20"/>
          <w:szCs w:val="20"/>
        </w:rPr>
        <w:t>El suscrito Jesús Renato García Rivera, Secretario General de Acuerdos del Tribunal Electoral del Estado, con fundamento en los artículos 69 fracci</w:t>
      </w:r>
      <w:r w:rsidR="000D0D60">
        <w:rPr>
          <w:rFonts w:ascii="Arial Narrow" w:eastAsia="Arial Narrow" w:hAnsi="Arial Narrow" w:cs="Arial Narrow"/>
          <w:sz w:val="20"/>
          <w:szCs w:val="20"/>
        </w:rPr>
        <w:t>ón</w:t>
      </w:r>
      <w:r>
        <w:rPr>
          <w:rFonts w:ascii="Arial Narrow" w:eastAsia="Arial Narrow" w:hAnsi="Arial Narrow" w:cs="Arial Narrow"/>
          <w:sz w:val="20"/>
          <w:szCs w:val="20"/>
        </w:rPr>
        <w:t xml:space="preserve"> VII del Código Electoral del Estado de Michoacán de Ocampo y 66, fracciones I y II del Reglamento Interior del Tribunal Electoral del Estado, hago constar que las firmas que obran en el presente documento, corresponden a la resolución emitida por el Pleno del Tribunal Electoral del Estado, en sesión pública celebrada el veinticinco de noviembre de dos mil veinticinco,</w:t>
      </w:r>
      <w:r w:rsidR="005A2DAF">
        <w:rPr>
          <w:rFonts w:ascii="Arial Narrow" w:eastAsia="Arial Narrow" w:hAnsi="Arial Narrow" w:cs="Arial Narrow"/>
          <w:sz w:val="20"/>
          <w:szCs w:val="20"/>
        </w:rPr>
        <w:t xml:space="preserve"> </w:t>
      </w:r>
      <w:r>
        <w:rPr>
          <w:rFonts w:ascii="Arial Narrow" w:eastAsia="Arial Narrow" w:hAnsi="Arial Narrow" w:cs="Arial Narrow"/>
          <w:sz w:val="20"/>
          <w:szCs w:val="20"/>
        </w:rPr>
        <w:t xml:space="preserve">en el </w:t>
      </w:r>
      <w:r w:rsidR="00B550C1">
        <w:rPr>
          <w:rFonts w:ascii="Arial Narrow" w:eastAsia="Arial Narrow" w:hAnsi="Arial Narrow" w:cs="Arial Narrow"/>
          <w:sz w:val="20"/>
          <w:szCs w:val="20"/>
        </w:rPr>
        <w:t xml:space="preserve">Incidente de Incumplimiento de Sentencia derivado del </w:t>
      </w:r>
      <w:r>
        <w:rPr>
          <w:rFonts w:ascii="Arial Narrow" w:eastAsia="Arial Narrow" w:hAnsi="Arial Narrow" w:cs="Arial Narrow"/>
          <w:sz w:val="20"/>
          <w:szCs w:val="20"/>
        </w:rPr>
        <w:t xml:space="preserve">Juicio para la Protección de los Derechos Político-Electorales del Ciudadano </w:t>
      </w:r>
      <w:r>
        <w:rPr>
          <w:rFonts w:ascii="Arial Narrow" w:eastAsia="Arial Narrow" w:hAnsi="Arial Narrow" w:cs="Arial Narrow"/>
          <w:b/>
          <w:bCs/>
          <w:sz w:val="20"/>
          <w:szCs w:val="20"/>
        </w:rPr>
        <w:t>TEEM-JDC-201/2025</w:t>
      </w:r>
      <w:r>
        <w:rPr>
          <w:rFonts w:ascii="Arial Narrow" w:eastAsia="Arial Narrow" w:hAnsi="Arial Narrow" w:cs="Arial Narrow"/>
          <w:sz w:val="20"/>
          <w:szCs w:val="20"/>
        </w:rPr>
        <w:t xml:space="preserve">; documento que consta de doce páginas, incluida la presente. </w:t>
      </w:r>
      <w:r>
        <w:rPr>
          <w:rFonts w:ascii="Arial Narrow" w:eastAsia="Arial Narrow" w:hAnsi="Arial Narrow" w:cs="Arial Narrow"/>
          <w:b/>
          <w:bCs/>
          <w:sz w:val="20"/>
          <w:szCs w:val="20"/>
        </w:rPr>
        <w:t>Doy fe.</w:t>
      </w:r>
    </w:p>
    <w:p w14:paraId="1AF2C248" w14:textId="77777777" w:rsidR="00686E6F" w:rsidRDefault="00000000">
      <w:pPr>
        <w:spacing w:before="280" w:after="280"/>
        <w:jc w:val="both"/>
        <w:rPr>
          <w:rFonts w:ascii="Arial Narrow" w:eastAsia="Arial Narrow" w:hAnsi="Arial Narrow" w:cs="Arial Narrow"/>
          <w:i/>
          <w:iCs/>
          <w:sz w:val="20"/>
          <w:szCs w:val="20"/>
        </w:rPr>
      </w:pPr>
      <w:r>
        <w:rPr>
          <w:rFonts w:ascii="Arial Narrow" w:eastAsia="Arial Narrow" w:hAnsi="Arial Narrow" w:cs="Arial Narrow"/>
          <w:sz w:val="20"/>
          <w:szCs w:val="20"/>
        </w:rPr>
        <w:t xml:space="preserve">Este documento es una representación gráfica autorizada mediante firmas electrónicas certificadas, el cual tiene plena validez jurídica de conformidad con el numeral tercero y cuarto del </w:t>
      </w:r>
      <w:r>
        <w:rPr>
          <w:rFonts w:ascii="Arial Narrow" w:eastAsia="Arial Narrow" w:hAnsi="Arial Narrow" w:cs="Arial Narrow"/>
          <w:i/>
          <w:iCs/>
          <w:sz w:val="20"/>
          <w:szCs w:val="20"/>
        </w:rPr>
        <w:t xml:space="preserve">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  </w:t>
      </w:r>
    </w:p>
    <w:p w14:paraId="6E140F88" w14:textId="77777777" w:rsidR="00686E6F" w:rsidRDefault="00686E6F">
      <w:pPr>
        <w:pBdr>
          <w:top w:val="nil"/>
          <w:left w:val="nil"/>
          <w:bottom w:val="nil"/>
          <w:right w:val="nil"/>
          <w:between w:val="nil"/>
        </w:pBdr>
        <w:tabs>
          <w:tab w:val="left" w:pos="426"/>
        </w:tabs>
        <w:spacing w:after="240"/>
        <w:jc w:val="both"/>
        <w:rPr>
          <w:rFonts w:ascii="Arial" w:eastAsia="Arial" w:hAnsi="Arial" w:cs="Arial"/>
          <w:b/>
          <w:bCs/>
          <w:color w:val="000000"/>
          <w:sz w:val="20"/>
          <w:szCs w:val="20"/>
        </w:rPr>
      </w:pPr>
    </w:p>
    <w:sectPr w:rsidR="00686E6F" w:rsidSect="00822958">
      <w:headerReference w:type="default" r:id="rId8"/>
      <w:footerReference w:type="even" r:id="rId9"/>
      <w:footerReference w:type="default" r:id="rId10"/>
      <w:headerReference w:type="first" r:id="rId11"/>
      <w:footerReference w:type="first" r:id="rId12"/>
      <w:pgSz w:w="12240" w:h="19083"/>
      <w:pgMar w:top="1418" w:right="1418" w:bottom="1418" w:left="2268" w:header="425" w:footer="851"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2C56A4" w14:textId="77777777" w:rsidR="005722F5" w:rsidRDefault="005722F5">
      <w:r>
        <w:separator/>
      </w:r>
    </w:p>
  </w:endnote>
  <w:endnote w:type="continuationSeparator" w:id="0">
    <w:p w14:paraId="600FD72C" w14:textId="77777777" w:rsidR="005722F5" w:rsidRDefault="005722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034DF79A-741B-4C61-8C26-65DF687ED0D0}"/>
  </w:font>
  <w:font w:name="Calibri">
    <w:panose1 w:val="020F0502020204030204"/>
    <w:charset w:val="00"/>
    <w:family w:val="swiss"/>
    <w:pitch w:val="variable"/>
    <w:sig w:usb0="E4002EFF" w:usb1="C200247B" w:usb2="00000009" w:usb3="00000000" w:csb0="000001FF" w:csb1="00000000"/>
    <w:embedRegular r:id="rId2" w:fontKey="{539B5B56-5FA2-4ED9-93AA-8745EF0EAFC9}"/>
  </w:font>
  <w:font w:name="Georgia">
    <w:panose1 w:val="02040502050405020303"/>
    <w:charset w:val="00"/>
    <w:family w:val="roman"/>
    <w:pitch w:val="variable"/>
    <w:sig w:usb0="00000287" w:usb1="00000000" w:usb2="00000000" w:usb3="00000000" w:csb0="0000009F" w:csb1="00000000"/>
    <w:embedItalic r:id="rId3" w:fontKey="{CD281814-A547-4851-8CD6-4FD158196EA3}"/>
  </w:font>
  <w:font w:name="Arial Narrow">
    <w:panose1 w:val="020B0606020202030204"/>
    <w:charset w:val="00"/>
    <w:family w:val="swiss"/>
    <w:pitch w:val="variable"/>
    <w:sig w:usb0="00000287" w:usb1="00000800" w:usb2="00000000" w:usb3="00000000" w:csb0="0000009F" w:csb1="00000000"/>
    <w:embedRegular r:id="rId4" w:fontKey="{226FF5C8-9433-471F-A1B4-4C978CD827B9}"/>
    <w:embedBold r:id="rId5" w:fontKey="{FAE366CD-EA6A-4819-A51D-A769427E732E}"/>
    <w:embedItalic r:id="rId6" w:fontKey="{EA69FF2B-C787-46CF-8BFA-70EFDA02C3F6}"/>
    <w:embedBoldItalic r:id="rId7" w:fontKey="{E3393E7A-8FF9-445C-9408-FF4B63CEA52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15FA8" w14:textId="77777777" w:rsidR="00686E6F" w:rsidRDefault="00000000">
    <w:pPr>
      <w:pBdr>
        <w:top w:val="nil"/>
        <w:left w:val="nil"/>
        <w:bottom w:val="nil"/>
        <w:right w:val="nil"/>
        <w:between w:val="nil"/>
      </w:pBdr>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560F6980" w14:textId="77777777" w:rsidR="00686E6F" w:rsidRDefault="00686E6F">
    <w:pPr>
      <w:pBdr>
        <w:top w:val="nil"/>
        <w:left w:val="nil"/>
        <w:bottom w:val="nil"/>
        <w:right w:val="nil"/>
        <w:between w:val="nil"/>
      </w:pBdr>
      <w:ind w:right="360" w:firstLine="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FBF34" w14:textId="77777777" w:rsidR="00686E6F" w:rsidRDefault="00000000">
    <w:pPr>
      <w:pBdr>
        <w:top w:val="nil"/>
        <w:left w:val="nil"/>
        <w:bottom w:val="nil"/>
        <w:right w:val="nil"/>
        <w:between w:val="nil"/>
      </w:pBdr>
      <w:jc w:val="right"/>
      <w:rPr>
        <w:rFonts w:ascii="Arial" w:eastAsia="Arial" w:hAnsi="Arial" w:cs="Arial"/>
        <w:color w:val="000000"/>
      </w:rPr>
    </w:pPr>
    <w:r>
      <w:rPr>
        <w:rFonts w:ascii="Arial" w:eastAsia="Arial" w:hAnsi="Arial" w:cs="Arial"/>
        <w:color w:val="000000"/>
      </w:rPr>
      <w:fldChar w:fldCharType="begin"/>
    </w:r>
    <w:r>
      <w:rPr>
        <w:rFonts w:ascii="Arial" w:eastAsia="Arial" w:hAnsi="Arial" w:cs="Arial"/>
        <w:color w:val="000000"/>
      </w:rPr>
      <w:instrText>PAGE</w:instrText>
    </w:r>
    <w:r>
      <w:rPr>
        <w:rFonts w:ascii="Arial" w:eastAsia="Arial" w:hAnsi="Arial" w:cs="Arial"/>
        <w:color w:val="000000"/>
      </w:rPr>
      <w:fldChar w:fldCharType="separate"/>
    </w:r>
    <w:r w:rsidR="00822958">
      <w:rPr>
        <w:rFonts w:ascii="Arial" w:eastAsia="Arial" w:hAnsi="Arial" w:cs="Arial"/>
        <w:noProof/>
        <w:color w:val="000000"/>
      </w:rPr>
      <w:t>2</w:t>
    </w:r>
    <w:r>
      <w:rPr>
        <w:rFonts w:ascii="Arial" w:eastAsia="Arial" w:hAnsi="Arial" w:cs="Arial"/>
        <w:color w:val="000000"/>
      </w:rPr>
      <w:fldChar w:fldCharType="end"/>
    </w:r>
  </w:p>
  <w:p w14:paraId="2E36CD5D" w14:textId="77777777" w:rsidR="00686E6F" w:rsidRDefault="00686E6F">
    <w:pPr>
      <w:pBdr>
        <w:top w:val="nil"/>
        <w:left w:val="nil"/>
        <w:bottom w:val="nil"/>
        <w:right w:val="nil"/>
        <w:between w:val="nil"/>
      </w:pBdr>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B4DBE" w14:textId="77777777" w:rsidR="00686E6F" w:rsidRDefault="00000000">
    <w:pPr>
      <w:pBdr>
        <w:top w:val="nil"/>
        <w:left w:val="nil"/>
        <w:bottom w:val="nil"/>
        <w:right w:val="nil"/>
        <w:between w:val="nil"/>
      </w:pBdr>
      <w:jc w:val="right"/>
      <w:rPr>
        <w:rFonts w:ascii="Arial" w:eastAsia="Arial" w:hAnsi="Arial" w:cs="Arial"/>
        <w:color w:val="000000"/>
      </w:rPr>
    </w:pPr>
    <w:r>
      <w:rPr>
        <w:rFonts w:ascii="Arial" w:eastAsia="Arial" w:hAnsi="Arial" w:cs="Arial"/>
        <w:smallCaps/>
        <w:color w:val="000000"/>
      </w:rPr>
      <w:fldChar w:fldCharType="begin"/>
    </w:r>
    <w:r>
      <w:rPr>
        <w:rFonts w:ascii="Arial" w:eastAsia="Arial" w:hAnsi="Arial" w:cs="Arial"/>
        <w:smallCaps/>
        <w:color w:val="000000"/>
      </w:rPr>
      <w:instrText>PAGE</w:instrText>
    </w:r>
    <w:r>
      <w:rPr>
        <w:rFonts w:ascii="Arial" w:eastAsia="Arial" w:hAnsi="Arial" w:cs="Arial"/>
        <w:smallCaps/>
        <w:color w:val="000000"/>
      </w:rPr>
      <w:fldChar w:fldCharType="separate"/>
    </w:r>
    <w:r w:rsidR="00822958">
      <w:rPr>
        <w:rFonts w:ascii="Arial" w:eastAsia="Arial" w:hAnsi="Arial" w:cs="Arial"/>
        <w:smallCaps/>
        <w:noProof/>
        <w:color w:val="000000"/>
      </w:rPr>
      <w:t>1</w:t>
    </w:r>
    <w:r>
      <w:rPr>
        <w:rFonts w:ascii="Arial" w:eastAsia="Arial" w:hAnsi="Arial" w:cs="Arial"/>
        <w:smallCaps/>
        <w:color w:val="000000"/>
      </w:rPr>
      <w:fldChar w:fldCharType="end"/>
    </w:r>
  </w:p>
  <w:p w14:paraId="15F24798" w14:textId="77777777" w:rsidR="00686E6F" w:rsidRDefault="00686E6F">
    <w:pPr>
      <w:pBdr>
        <w:top w:val="nil"/>
        <w:left w:val="nil"/>
        <w:bottom w:val="nil"/>
        <w:right w:val="nil"/>
        <w:between w:val="nil"/>
      </w:pBd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DC4D6" w14:textId="77777777" w:rsidR="005722F5" w:rsidRDefault="005722F5">
      <w:r>
        <w:separator/>
      </w:r>
    </w:p>
  </w:footnote>
  <w:footnote w:type="continuationSeparator" w:id="0">
    <w:p w14:paraId="1F5A86EB" w14:textId="77777777" w:rsidR="005722F5" w:rsidRDefault="005722F5">
      <w:r>
        <w:continuationSeparator/>
      </w:r>
    </w:p>
  </w:footnote>
  <w:footnote w:id="1">
    <w:p w14:paraId="093C18EC" w14:textId="77777777" w:rsidR="00686E6F" w:rsidRDefault="00000000">
      <w:pPr>
        <w:pBdr>
          <w:top w:val="nil"/>
          <w:left w:val="nil"/>
          <w:bottom w:val="nil"/>
          <w:right w:val="nil"/>
          <w:between w:val="nil"/>
        </w:pBdr>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Las fechas posteriormente señaladas corresponden al año dos mil veinticinco, salvo señalamiento específico.</w:t>
      </w:r>
    </w:p>
  </w:footnote>
  <w:footnote w:id="2">
    <w:p w14:paraId="6194C7EF"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Dentro de la sentencia dictada en el ST-JDC-295/2025.</w:t>
      </w:r>
    </w:p>
  </w:footnote>
  <w:footnote w:id="3">
    <w:p w14:paraId="23C7107D"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su calidad de Diputado integrante del Congreso del Estado de Michoacán.</w:t>
      </w:r>
    </w:p>
  </w:footnote>
  <w:footnote w:id="4">
    <w:p w14:paraId="26D05E22" w14:textId="77777777" w:rsidR="00686E6F" w:rsidRDefault="00000000">
      <w:pPr>
        <w:pBdr>
          <w:top w:val="nil"/>
          <w:left w:val="nil"/>
          <w:bottom w:val="nil"/>
          <w:right w:val="nil"/>
          <w:between w:val="nil"/>
        </w:pBdr>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Los cuales se desprenden de las constancias del cuadernillo incidental en que se actúa y el Cuaderno de Antecedentes TEEM-CA-085/2025.</w:t>
      </w:r>
    </w:p>
  </w:footnote>
  <w:footnote w:id="5">
    <w:p w14:paraId="22B80636" w14:textId="77777777" w:rsidR="00686E6F" w:rsidRDefault="00000000">
      <w:pPr>
        <w:pBdr>
          <w:top w:val="nil"/>
          <w:left w:val="nil"/>
          <w:bottom w:val="nil"/>
          <w:right w:val="nil"/>
          <w:between w:val="nil"/>
        </w:pBdr>
        <w:rPr>
          <w:rFonts w:ascii="Arial" w:eastAsia="Arial" w:hAnsi="Arial" w:cs="Arial"/>
          <w:i/>
          <w:iCs/>
          <w:color w:val="000000"/>
          <w:sz w:val="20"/>
          <w:szCs w:val="20"/>
        </w:rPr>
      </w:pPr>
      <w:r>
        <w:rPr>
          <w:vertAlign w:val="superscript"/>
        </w:rPr>
        <w:footnoteRef/>
      </w:r>
      <w:r>
        <w:rPr>
          <w:rFonts w:ascii="Arial" w:eastAsia="Arial" w:hAnsi="Arial" w:cs="Arial"/>
          <w:color w:val="000000"/>
          <w:sz w:val="20"/>
          <w:szCs w:val="20"/>
        </w:rPr>
        <w:t xml:space="preserve"> Fojas 20 a 24</w:t>
      </w:r>
      <w:r>
        <w:rPr>
          <w:rFonts w:ascii="Arial" w:eastAsia="Arial" w:hAnsi="Arial" w:cs="Arial"/>
          <w:i/>
          <w:iCs/>
          <w:color w:val="000000"/>
          <w:sz w:val="20"/>
          <w:szCs w:val="20"/>
        </w:rPr>
        <w:t>.</w:t>
      </w:r>
    </w:p>
  </w:footnote>
  <w:footnote w:id="6">
    <w:p w14:paraId="08D30084"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Foja 390 del Cuaderno de Antecedentes TEEM-CA-085/2025.</w:t>
      </w:r>
    </w:p>
  </w:footnote>
  <w:footnote w:id="7">
    <w:p w14:paraId="21C77297"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Foja 517 del Cuaderno de Antecedentes TEEM-CA-085/2025.</w:t>
      </w:r>
    </w:p>
  </w:footnote>
  <w:footnote w:id="8">
    <w:p w14:paraId="7B83CBE4"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Fojas 152 a 183 del expediente incidental. </w:t>
      </w:r>
    </w:p>
  </w:footnote>
  <w:footnote w:id="9">
    <w:p w14:paraId="0A31DD25"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Foja 184. </w:t>
      </w:r>
    </w:p>
  </w:footnote>
  <w:footnote w:id="10">
    <w:p w14:paraId="35FD9CE6"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Foja 187. </w:t>
      </w:r>
    </w:p>
  </w:footnote>
  <w:footnote w:id="11">
    <w:p w14:paraId="5D78EFD5"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Toda vez que el </w:t>
      </w:r>
      <w:proofErr w:type="spellStart"/>
      <w:r>
        <w:rPr>
          <w:rFonts w:ascii="Arial" w:eastAsia="Arial" w:hAnsi="Arial" w:cs="Arial"/>
          <w:i/>
          <w:iCs/>
          <w:color w:val="000000"/>
          <w:sz w:val="20"/>
          <w:szCs w:val="20"/>
        </w:rPr>
        <w:t>incidentista</w:t>
      </w:r>
      <w:proofErr w:type="spellEnd"/>
      <w:r>
        <w:rPr>
          <w:rFonts w:ascii="Arial" w:eastAsia="Arial" w:hAnsi="Arial" w:cs="Arial"/>
          <w:color w:val="000000"/>
          <w:sz w:val="20"/>
          <w:szCs w:val="20"/>
        </w:rPr>
        <w:t xml:space="preserve"> no compareció a desahogar la vista que se le dio.</w:t>
      </w:r>
    </w:p>
  </w:footnote>
  <w:footnote w:id="12">
    <w:p w14:paraId="039594C6"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Foja 216. </w:t>
      </w:r>
    </w:p>
  </w:footnote>
  <w:footnote w:id="13">
    <w:p w14:paraId="1C7933F8"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Foja 225. </w:t>
      </w:r>
    </w:p>
  </w:footnote>
  <w:footnote w:id="14">
    <w:p w14:paraId="70CB61DF"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Fojas 245 a 262.</w:t>
      </w:r>
    </w:p>
  </w:footnote>
  <w:footnote w:id="15">
    <w:p w14:paraId="45768B5E"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Misma que se notificó el diez siguiente a este </w:t>
      </w:r>
      <w:r>
        <w:rPr>
          <w:rFonts w:ascii="Arial" w:eastAsia="Arial" w:hAnsi="Arial" w:cs="Arial"/>
          <w:i/>
          <w:iCs/>
          <w:color w:val="000000"/>
          <w:sz w:val="20"/>
          <w:szCs w:val="20"/>
        </w:rPr>
        <w:t>Tribunal Electoral</w:t>
      </w:r>
      <w:r>
        <w:rPr>
          <w:rFonts w:ascii="Arial" w:eastAsia="Arial" w:hAnsi="Arial" w:cs="Arial"/>
          <w:color w:val="000000"/>
          <w:sz w:val="20"/>
          <w:szCs w:val="20"/>
        </w:rPr>
        <w:t>.</w:t>
      </w:r>
    </w:p>
  </w:footnote>
  <w:footnote w:id="16">
    <w:p w14:paraId="6FCD6997"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Fojas 263 a 264.</w:t>
      </w:r>
    </w:p>
  </w:footnote>
  <w:footnote w:id="17">
    <w:p w14:paraId="3658BAE5"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Fojas 288 a 289.</w:t>
      </w:r>
    </w:p>
  </w:footnote>
  <w:footnote w:id="18">
    <w:p w14:paraId="0506B28B"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Fojas 320 a 321.</w:t>
      </w:r>
    </w:p>
  </w:footnote>
  <w:footnote w:id="19">
    <w:p w14:paraId="6CFC3FAE"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Fojas 412 a 414.</w:t>
      </w:r>
    </w:p>
  </w:footnote>
  <w:footnote w:id="20">
    <w:p w14:paraId="2423F777"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Foja 417.</w:t>
      </w:r>
    </w:p>
  </w:footnote>
  <w:footnote w:id="21">
    <w:p w14:paraId="12D95072"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Foja 418.</w:t>
      </w:r>
    </w:p>
  </w:footnote>
  <w:footnote w:id="22">
    <w:p w14:paraId="35EFF271" w14:textId="77777777" w:rsidR="00686E6F" w:rsidRDefault="00000000">
      <w:pPr>
        <w:pBdr>
          <w:top w:val="nil"/>
          <w:left w:val="nil"/>
          <w:bottom w:val="nil"/>
          <w:right w:val="nil"/>
          <w:between w:val="nil"/>
        </w:pBdr>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Resulta aplicable la jurisprudencia </w:t>
      </w:r>
      <w:r>
        <w:rPr>
          <w:rFonts w:ascii="Arial" w:eastAsia="Arial" w:hAnsi="Arial" w:cs="Arial"/>
          <w:b/>
          <w:bCs/>
          <w:color w:val="000000"/>
          <w:sz w:val="20"/>
          <w:szCs w:val="20"/>
        </w:rPr>
        <w:t>24/2001</w:t>
      </w:r>
      <w:r>
        <w:rPr>
          <w:rFonts w:ascii="Arial" w:eastAsia="Arial" w:hAnsi="Arial" w:cs="Arial"/>
          <w:color w:val="000000"/>
          <w:sz w:val="20"/>
          <w:szCs w:val="20"/>
        </w:rPr>
        <w:t xml:space="preserve">, emitida por la Sala Superior del Tribunal Electoral del Poder Judicial de la Federación - En adelante, </w:t>
      </w:r>
      <w:r>
        <w:rPr>
          <w:rFonts w:ascii="Arial" w:eastAsia="Arial" w:hAnsi="Arial" w:cs="Arial"/>
          <w:i/>
          <w:iCs/>
          <w:color w:val="000000"/>
          <w:sz w:val="20"/>
          <w:szCs w:val="20"/>
        </w:rPr>
        <w:t>Sala Superior</w:t>
      </w:r>
      <w:r>
        <w:rPr>
          <w:rFonts w:ascii="Arial" w:eastAsia="Arial" w:hAnsi="Arial" w:cs="Arial"/>
          <w:color w:val="000000"/>
          <w:sz w:val="20"/>
          <w:szCs w:val="20"/>
        </w:rPr>
        <w:t xml:space="preserve">- de rubro: </w:t>
      </w:r>
      <w:r>
        <w:rPr>
          <w:rFonts w:ascii="Arial" w:eastAsia="Arial" w:hAnsi="Arial" w:cs="Arial"/>
          <w:b/>
          <w:bCs/>
          <w:i/>
          <w:iCs/>
          <w:color w:val="000000"/>
          <w:sz w:val="20"/>
          <w:szCs w:val="20"/>
        </w:rPr>
        <w:t>“TRIBUNAL ELECTORAL DEL PODER JUDICIAL DE LA FEDERACIÓN. ESTÁ FACULTADO CONSTITUCIONALMENTE PARA EXIGIR EL CUMPLIMIENTO DE TODAS SUS RESOLUCIONES”.</w:t>
      </w:r>
    </w:p>
  </w:footnote>
  <w:footnote w:id="23">
    <w:p w14:paraId="5134A866" w14:textId="77777777" w:rsidR="00686E6F" w:rsidRDefault="00000000">
      <w:pPr>
        <w:pBdr>
          <w:top w:val="nil"/>
          <w:left w:val="nil"/>
          <w:bottom w:val="nil"/>
          <w:right w:val="nil"/>
          <w:between w:val="nil"/>
        </w:pBdr>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Así como en la jurisprudencia 24/2001 de la Sala Superior del Tribunal Electoral del Poder Judicial de la Federación, de rubro: </w:t>
      </w:r>
      <w:r>
        <w:rPr>
          <w:rFonts w:ascii="Arial" w:eastAsia="Arial" w:hAnsi="Arial" w:cs="Arial"/>
          <w:b/>
          <w:bCs/>
          <w:i/>
          <w:iCs/>
          <w:color w:val="000000"/>
          <w:sz w:val="20"/>
          <w:szCs w:val="20"/>
        </w:rPr>
        <w:t>“TRIBUNAL ELECTORAL DEL PODER JUDICIAL DE LA FEDERACIÓN. ESTÁ FACULTADO CONSTITUCIONALMENTE PARA EXIGIR EL CUMPLIMIENTO DE TODAS SUS RESOLUCIONES.”</w:t>
      </w:r>
    </w:p>
  </w:footnote>
  <w:footnote w:id="24">
    <w:p w14:paraId="6C2D389A"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No opera cuando se hacen valer acciones colectivas o de grupo.</w:t>
      </w:r>
    </w:p>
  </w:footnote>
  <w:footnote w:id="25">
    <w:p w14:paraId="1DE16D33"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w:t>
      </w:r>
      <w:r>
        <w:rPr>
          <w:rFonts w:ascii="Arial" w:eastAsia="Arial" w:hAnsi="Arial" w:cs="Arial"/>
          <w:i/>
          <w:iCs/>
          <w:color w:val="000000"/>
          <w:sz w:val="20"/>
          <w:szCs w:val="20"/>
        </w:rPr>
        <w:t>Incidentista</w:t>
      </w:r>
      <w:r>
        <w:rPr>
          <w:rFonts w:ascii="Arial" w:eastAsia="Arial" w:hAnsi="Arial" w:cs="Arial"/>
          <w:color w:val="000000"/>
          <w:sz w:val="20"/>
          <w:szCs w:val="20"/>
        </w:rPr>
        <w:t>,</w:t>
      </w:r>
      <w:r>
        <w:rPr>
          <w:rFonts w:ascii="Arial" w:eastAsia="Arial" w:hAnsi="Arial" w:cs="Arial"/>
          <w:i/>
          <w:iCs/>
          <w:color w:val="000000"/>
          <w:sz w:val="20"/>
          <w:szCs w:val="20"/>
        </w:rPr>
        <w:t xml:space="preserve"> </w:t>
      </w:r>
      <w:r>
        <w:rPr>
          <w:rFonts w:ascii="Arial" w:eastAsia="Arial" w:hAnsi="Arial" w:cs="Arial"/>
          <w:color w:val="000000"/>
          <w:sz w:val="20"/>
          <w:szCs w:val="20"/>
        </w:rPr>
        <w:t>en el caso que nos ocupa.</w:t>
      </w:r>
    </w:p>
  </w:footnote>
  <w:footnote w:id="26">
    <w:p w14:paraId="6C26FDBD" w14:textId="77777777" w:rsidR="00686E6F" w:rsidRDefault="00000000">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Fojas 412 a 414.</w:t>
      </w:r>
    </w:p>
  </w:footnote>
  <w:footnote w:id="27">
    <w:p w14:paraId="2EE12F0D" w14:textId="77777777" w:rsidR="00686E6F" w:rsidRDefault="00000000">
      <w:pPr>
        <w:pBdr>
          <w:top w:val="nil"/>
          <w:left w:val="nil"/>
          <w:bottom w:val="nil"/>
          <w:right w:val="nil"/>
          <w:between w:val="nil"/>
        </w:pBdr>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Foja 417.</w:t>
      </w:r>
    </w:p>
  </w:footnote>
  <w:footnote w:id="28">
    <w:p w14:paraId="0FD6D513" w14:textId="77777777" w:rsidR="00686E6F" w:rsidRDefault="00000000">
      <w:pPr>
        <w:pBdr>
          <w:top w:val="nil"/>
          <w:left w:val="nil"/>
          <w:bottom w:val="nil"/>
          <w:right w:val="nil"/>
          <w:between w:val="nil"/>
        </w:pBdr>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Similar criterio sostuvo este </w:t>
      </w:r>
      <w:r>
        <w:rPr>
          <w:rFonts w:ascii="Arial" w:eastAsia="Arial" w:hAnsi="Arial" w:cs="Arial"/>
          <w:i/>
          <w:iCs/>
          <w:color w:val="000000"/>
          <w:sz w:val="20"/>
          <w:szCs w:val="20"/>
        </w:rPr>
        <w:t xml:space="preserve">Tribunal Electoral </w:t>
      </w:r>
      <w:r>
        <w:rPr>
          <w:rFonts w:ascii="Arial" w:eastAsia="Arial" w:hAnsi="Arial" w:cs="Arial"/>
          <w:color w:val="000000"/>
          <w:sz w:val="20"/>
          <w:szCs w:val="20"/>
        </w:rPr>
        <w:t>en los expedientes TEEM-JIN-013/2024 y TEEM-JIN-014/2024 acumulados.</w:t>
      </w:r>
    </w:p>
  </w:footnote>
  <w:footnote w:id="29">
    <w:p w14:paraId="3FB8FB17" w14:textId="77777777" w:rsidR="00686E6F" w:rsidRDefault="00000000">
      <w:pPr>
        <w:pBdr>
          <w:top w:val="nil"/>
          <w:left w:val="nil"/>
          <w:bottom w:val="nil"/>
          <w:right w:val="nil"/>
          <w:between w:val="nil"/>
        </w:pBdr>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Similar criterio ha sostenido este órgano jurisdiccional</w:t>
      </w:r>
      <w:r>
        <w:rPr>
          <w:rFonts w:ascii="Arial" w:eastAsia="Arial" w:hAnsi="Arial" w:cs="Arial"/>
          <w:i/>
          <w:iCs/>
          <w:color w:val="000000"/>
          <w:sz w:val="20"/>
          <w:szCs w:val="20"/>
        </w:rPr>
        <w:t xml:space="preserve"> </w:t>
      </w:r>
      <w:r>
        <w:rPr>
          <w:rFonts w:ascii="Arial" w:eastAsia="Arial" w:hAnsi="Arial" w:cs="Arial"/>
          <w:color w:val="000000"/>
          <w:sz w:val="20"/>
          <w:szCs w:val="20"/>
        </w:rPr>
        <w:t>en los expedientes TEEM-JDC-044/2021, TEEM-JDC-003/2024 y TEEM-JDC-056/2024, por mencionar algunos.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B710A" w14:textId="77777777" w:rsidR="00686E6F" w:rsidRDefault="00000000">
    <w:pPr>
      <w:pBdr>
        <w:top w:val="nil"/>
        <w:left w:val="nil"/>
        <w:bottom w:val="nil"/>
        <w:right w:val="nil"/>
        <w:between w:val="nil"/>
      </w:pBdr>
      <w:jc w:val="right"/>
      <w:rPr>
        <w:rFonts w:ascii="Arial Narrow" w:eastAsia="Arial Narrow" w:hAnsi="Arial Narrow" w:cs="Arial Narrow"/>
        <w:color w:val="BFBFBF"/>
        <w:sz w:val="22"/>
        <w:szCs w:val="22"/>
      </w:rPr>
    </w:pPr>
    <w:r>
      <w:rPr>
        <w:noProof/>
      </w:rPr>
      <w:drawing>
        <wp:anchor distT="0" distB="0" distL="114300" distR="114300" simplePos="0" relativeHeight="251658240" behindDoc="0" locked="0" layoutInCell="1" hidden="0" allowOverlap="1" wp14:anchorId="3656835C" wp14:editId="2FFA3518">
          <wp:simplePos x="0" y="0"/>
          <wp:positionH relativeFrom="margin">
            <wp:posOffset>149860</wp:posOffset>
          </wp:positionH>
          <wp:positionV relativeFrom="margin">
            <wp:posOffset>-915667</wp:posOffset>
          </wp:positionV>
          <wp:extent cx="1704975" cy="561975"/>
          <wp:effectExtent l="0" t="0" r="0" b="0"/>
          <wp:wrapSquare wrapText="bothSides" distT="0" distB="0" distL="114300" distR="114300"/>
          <wp:docPr id="1380449395"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526" t="9266" r="4554" b="12622"/>
                  <a:stretch>
                    <a:fillRect/>
                  </a:stretch>
                </pic:blipFill>
                <pic:spPr>
                  <a:xfrm>
                    <a:off x="0" y="0"/>
                    <a:ext cx="1704975" cy="561975"/>
                  </a:xfrm>
                  <a:prstGeom prst="rect">
                    <a:avLst/>
                  </a:prstGeom>
                  <a:ln/>
                </pic:spPr>
              </pic:pic>
            </a:graphicData>
          </a:graphic>
        </wp:anchor>
      </w:drawing>
    </w:r>
  </w:p>
  <w:p w14:paraId="3ADC6473" w14:textId="77777777" w:rsidR="00686E6F" w:rsidRDefault="00686E6F">
    <w:pPr>
      <w:pBdr>
        <w:top w:val="nil"/>
        <w:left w:val="nil"/>
        <w:bottom w:val="nil"/>
        <w:right w:val="nil"/>
        <w:between w:val="nil"/>
      </w:pBdr>
      <w:jc w:val="right"/>
      <w:rPr>
        <w:rFonts w:ascii="Arial Narrow" w:eastAsia="Arial Narrow" w:hAnsi="Arial Narrow" w:cs="Arial Narrow"/>
        <w:color w:val="BFBFBF"/>
        <w:sz w:val="22"/>
        <w:szCs w:val="22"/>
      </w:rPr>
    </w:pPr>
  </w:p>
  <w:p w14:paraId="3406651F" w14:textId="77777777" w:rsidR="00686E6F" w:rsidRDefault="00686E6F">
    <w:pPr>
      <w:pBdr>
        <w:top w:val="nil"/>
        <w:left w:val="nil"/>
        <w:bottom w:val="nil"/>
        <w:right w:val="nil"/>
        <w:between w:val="nil"/>
      </w:pBdr>
      <w:jc w:val="right"/>
      <w:rPr>
        <w:rFonts w:ascii="Arial Narrow" w:eastAsia="Arial Narrow" w:hAnsi="Arial Narrow" w:cs="Arial Narrow"/>
        <w:color w:val="595959"/>
        <w:sz w:val="22"/>
        <w:szCs w:val="22"/>
      </w:rPr>
    </w:pPr>
  </w:p>
  <w:p w14:paraId="74622BD4" w14:textId="77777777" w:rsidR="00686E6F" w:rsidRDefault="00000000">
    <w:pPr>
      <w:pBdr>
        <w:top w:val="nil"/>
        <w:left w:val="nil"/>
        <w:bottom w:val="nil"/>
        <w:right w:val="nil"/>
        <w:between w:val="nil"/>
      </w:pBdr>
      <w:jc w:val="right"/>
      <w:rPr>
        <w:rFonts w:ascii="Arial" w:eastAsia="Arial" w:hAnsi="Arial" w:cs="Arial"/>
        <w:color w:val="595959"/>
        <w:sz w:val="18"/>
        <w:szCs w:val="18"/>
      </w:rPr>
    </w:pPr>
    <w:r>
      <w:rPr>
        <w:rFonts w:ascii="Arial" w:eastAsia="Arial" w:hAnsi="Arial" w:cs="Arial"/>
        <w:b/>
        <w:bCs/>
        <w:color w:val="595959"/>
        <w:sz w:val="18"/>
        <w:szCs w:val="18"/>
      </w:rPr>
      <w:t>INCIDENTE DE INCUMPLIMIENTO DE SENTENCIA</w:t>
    </w:r>
  </w:p>
  <w:p w14:paraId="75384E7C" w14:textId="77777777" w:rsidR="00686E6F" w:rsidRDefault="00000000">
    <w:pPr>
      <w:pBdr>
        <w:top w:val="nil"/>
        <w:left w:val="nil"/>
        <w:bottom w:val="nil"/>
        <w:right w:val="nil"/>
        <w:between w:val="nil"/>
      </w:pBdr>
      <w:jc w:val="right"/>
      <w:rPr>
        <w:rFonts w:ascii="Arial" w:eastAsia="Arial" w:hAnsi="Arial" w:cs="Arial"/>
        <w:b/>
        <w:bCs/>
        <w:color w:val="595959"/>
        <w:sz w:val="18"/>
        <w:szCs w:val="18"/>
      </w:rPr>
    </w:pPr>
    <w:r>
      <w:rPr>
        <w:rFonts w:ascii="Arial" w:eastAsia="Arial" w:hAnsi="Arial" w:cs="Arial"/>
        <w:b/>
        <w:bCs/>
        <w:color w:val="595959"/>
        <w:sz w:val="18"/>
        <w:szCs w:val="18"/>
      </w:rPr>
      <w:t>TEEM-JDC-201/2025</w:t>
    </w:r>
  </w:p>
  <w:p w14:paraId="0C27EF99" w14:textId="77777777" w:rsidR="00686E6F" w:rsidRDefault="00686E6F">
    <w:pPr>
      <w:pBdr>
        <w:top w:val="nil"/>
        <w:left w:val="nil"/>
        <w:bottom w:val="nil"/>
        <w:right w:val="nil"/>
        <w:between w:val="nil"/>
      </w:pBdr>
      <w:rPr>
        <w:rFonts w:ascii="Arial" w:eastAsia="Arial" w:hAnsi="Arial" w:cs="Arial"/>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F8BE1" w14:textId="77777777" w:rsidR="00686E6F" w:rsidRDefault="00000000">
    <w:r>
      <w:rPr>
        <w:noProof/>
      </w:rPr>
      <w:drawing>
        <wp:anchor distT="0" distB="0" distL="114300" distR="114300" simplePos="0" relativeHeight="251659264" behindDoc="0" locked="0" layoutInCell="1" hidden="0" allowOverlap="1" wp14:anchorId="2CD396F0" wp14:editId="4C523806">
          <wp:simplePos x="0" y="0"/>
          <wp:positionH relativeFrom="margin">
            <wp:align>left</wp:align>
          </wp:positionH>
          <wp:positionV relativeFrom="margin">
            <wp:posOffset>-684038</wp:posOffset>
          </wp:positionV>
          <wp:extent cx="1704975" cy="561975"/>
          <wp:effectExtent l="0" t="0" r="0" b="0"/>
          <wp:wrapSquare wrapText="bothSides" distT="0" distB="0" distL="114300" distR="114300"/>
          <wp:docPr id="1380449394"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526" t="9266" r="4554" b="12622"/>
                  <a:stretch>
                    <a:fillRect/>
                  </a:stretch>
                </pic:blipFill>
                <pic:spPr>
                  <a:xfrm>
                    <a:off x="0" y="0"/>
                    <a:ext cx="1704975" cy="561975"/>
                  </a:xfrm>
                  <a:prstGeom prst="rect">
                    <a:avLst/>
                  </a:prstGeom>
                  <a:ln/>
                </pic:spPr>
              </pic:pic>
            </a:graphicData>
          </a:graphic>
        </wp:anchor>
      </w:drawing>
    </w:r>
  </w:p>
  <w:p w14:paraId="58A5E498" w14:textId="77777777" w:rsidR="00686E6F" w:rsidRDefault="00686E6F"/>
  <w:p w14:paraId="6F3F7B59" w14:textId="77777777" w:rsidR="00686E6F" w:rsidRDefault="00686E6F">
    <w:pPr>
      <w:rPr>
        <w:sz w:val="20"/>
        <w:szCs w:val="20"/>
      </w:rPr>
    </w:pPr>
  </w:p>
  <w:p w14:paraId="716C0741" w14:textId="77777777" w:rsidR="00686E6F" w:rsidRDefault="00686E6F">
    <w:pP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97FC6"/>
    <w:multiLevelType w:val="multilevel"/>
    <w:tmpl w:val="5C70A024"/>
    <w:lvl w:ilvl="0">
      <w:start w:val="1"/>
      <w:numFmt w:val="upperRoman"/>
      <w:lvlText w:val="%1."/>
      <w:lvlJc w:val="left"/>
      <w:pPr>
        <w:ind w:left="709" w:hanging="720"/>
      </w:pPr>
      <w:rPr>
        <w:rFonts w:ascii="Arial" w:eastAsia="Arial" w:hAnsi="Arial" w:cs="Arial"/>
        <w:b/>
        <w:bCs/>
        <w:color w:val="000000"/>
      </w:rPr>
    </w:lvl>
    <w:lvl w:ilvl="1">
      <w:start w:val="1"/>
      <w:numFmt w:val="lowerLetter"/>
      <w:lvlText w:val="%2."/>
      <w:lvlJc w:val="left"/>
      <w:pPr>
        <w:ind w:left="1069" w:hanging="360"/>
      </w:pPr>
    </w:lvl>
    <w:lvl w:ilvl="2">
      <w:start w:val="1"/>
      <w:numFmt w:val="lowerRoman"/>
      <w:lvlText w:val="%3."/>
      <w:lvlJc w:val="right"/>
      <w:pPr>
        <w:ind w:left="1789" w:hanging="180"/>
      </w:pPr>
    </w:lvl>
    <w:lvl w:ilvl="3">
      <w:start w:val="1"/>
      <w:numFmt w:val="decimal"/>
      <w:lvlText w:val="%4."/>
      <w:lvlJc w:val="left"/>
      <w:pPr>
        <w:ind w:left="2509" w:hanging="360"/>
      </w:pPr>
    </w:lvl>
    <w:lvl w:ilvl="4">
      <w:start w:val="1"/>
      <w:numFmt w:val="lowerLetter"/>
      <w:lvlText w:val="%5."/>
      <w:lvlJc w:val="left"/>
      <w:pPr>
        <w:ind w:left="3229" w:hanging="360"/>
      </w:pPr>
    </w:lvl>
    <w:lvl w:ilvl="5">
      <w:start w:val="1"/>
      <w:numFmt w:val="lowerRoman"/>
      <w:lvlText w:val="%6."/>
      <w:lvlJc w:val="right"/>
      <w:pPr>
        <w:ind w:left="3949" w:hanging="180"/>
      </w:pPr>
    </w:lvl>
    <w:lvl w:ilvl="6">
      <w:start w:val="1"/>
      <w:numFmt w:val="decimal"/>
      <w:lvlText w:val="%7."/>
      <w:lvlJc w:val="left"/>
      <w:pPr>
        <w:ind w:left="4669" w:hanging="360"/>
      </w:pPr>
    </w:lvl>
    <w:lvl w:ilvl="7">
      <w:start w:val="1"/>
      <w:numFmt w:val="lowerLetter"/>
      <w:lvlText w:val="%8."/>
      <w:lvlJc w:val="left"/>
      <w:pPr>
        <w:ind w:left="5389" w:hanging="360"/>
      </w:pPr>
    </w:lvl>
    <w:lvl w:ilvl="8">
      <w:start w:val="1"/>
      <w:numFmt w:val="lowerRoman"/>
      <w:lvlText w:val="%9."/>
      <w:lvlJc w:val="right"/>
      <w:pPr>
        <w:ind w:left="6109" w:hanging="180"/>
      </w:pPr>
    </w:lvl>
  </w:abstractNum>
  <w:abstractNum w:abstractNumId="1" w15:restartNumberingAfterBreak="0">
    <w:nsid w:val="2CB676BC"/>
    <w:multiLevelType w:val="multilevel"/>
    <w:tmpl w:val="97865EF2"/>
    <w:lvl w:ilvl="0">
      <w:start w:val="1"/>
      <w:numFmt w:val="upperRoman"/>
      <w:lvlText w:val="%1."/>
      <w:lvlJc w:val="left"/>
      <w:pPr>
        <w:ind w:left="1080" w:hanging="720"/>
      </w:pPr>
      <w:rPr>
        <w:rFonts w:ascii="Arial" w:eastAsia="Arial" w:hAnsi="Arial" w:cs="Arial"/>
        <w:b/>
        <w:bCs/>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13320559">
    <w:abstractNumId w:val="1"/>
  </w:num>
  <w:num w:numId="2" w16cid:durableId="13212266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mirrorMargin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6E6F"/>
    <w:rsid w:val="000D0D60"/>
    <w:rsid w:val="00207AF7"/>
    <w:rsid w:val="002A14F8"/>
    <w:rsid w:val="005722F5"/>
    <w:rsid w:val="00593DCD"/>
    <w:rsid w:val="005A2DAF"/>
    <w:rsid w:val="005A7025"/>
    <w:rsid w:val="00647049"/>
    <w:rsid w:val="00686E6F"/>
    <w:rsid w:val="00822958"/>
    <w:rsid w:val="0090438B"/>
    <w:rsid w:val="00996028"/>
    <w:rsid w:val="00A2284F"/>
    <w:rsid w:val="00B550C1"/>
    <w:rsid w:val="00B67995"/>
    <w:rsid w:val="00BD2EAE"/>
    <w:rsid w:val="00DA1C4E"/>
    <w:rsid w:val="00FE0C2D"/>
    <w:rsid w:val="00FF1A3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DFB9A"/>
  <w15:docId w15:val="{DA210C78-CE7F-494C-A28B-A4AC07E03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rPr>
  </w:style>
  <w:style w:type="paragraph" w:styleId="Ttulo5">
    <w:name w:val="heading 5"/>
    <w:basedOn w:val="Normal"/>
    <w:next w:val="Normal"/>
    <w:uiPriority w:val="9"/>
    <w:semiHidden/>
    <w:unhideWhenUsed/>
    <w:qFormat/>
    <w:pPr>
      <w:keepNext/>
      <w:keepLines/>
      <w:spacing w:before="220" w:after="40"/>
      <w:outlineLvl w:val="4"/>
    </w:pPr>
    <w:rPr>
      <w:b/>
      <w:bCs/>
      <w:sz w:val="22"/>
      <w:szCs w:val="22"/>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 Normal1"/>
    <w:tblPr>
      <w:tblCellMar>
        <w:top w:w="0" w:type="dxa"/>
        <w:left w:w="0" w:type="dxa"/>
        <w:bottom w:w="0" w:type="dxa"/>
        <w:right w:w="0" w:type="dxa"/>
      </w:tblCellMar>
    </w:tblPr>
  </w:style>
  <w:style w:type="table" w:customStyle="1" w:styleId="2">
    <w:name w:val="2"/>
    <w:basedOn w:val="TableNormal1"/>
    <w:tblPr>
      <w:tblStyleRowBandSize w:val="1"/>
      <w:tblStyleColBandSize w:val="1"/>
      <w:tblCellMar>
        <w:left w:w="108" w:type="dxa"/>
        <w:right w:w="108" w:type="dxa"/>
      </w:tblCellMar>
    </w:tblPr>
  </w:style>
  <w:style w:type="table" w:customStyle="1" w:styleId="1">
    <w:name w:val="1"/>
    <w:basedOn w:val="TableNormal1"/>
    <w:tblPr>
      <w:tblStyleRowBandSize w:val="1"/>
      <w:tblStyleColBandSize w:val="1"/>
      <w:tblCellMar>
        <w:top w:w="60" w:type="dxa"/>
        <w:left w:w="60" w:type="dxa"/>
        <w:bottom w:w="60" w:type="dxa"/>
        <w:right w:w="60" w:type="dxa"/>
      </w:tblCellMar>
    </w:tblPr>
  </w:style>
  <w:style w:type="paragraph" w:styleId="Revisin">
    <w:name w:val="Revision"/>
    <w:hidden/>
    <w:uiPriority w:val="99"/>
    <w:semiHidden/>
    <w:rsid w:val="0069167E"/>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nhideWhenUsed/>
    <w:qFormat/>
    <w:rsid w:val="003213A2"/>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1"/>
    <w:basedOn w:val="Fuentedeprrafopredeter"/>
    <w:link w:val="Textonotapie"/>
    <w:qFormat/>
    <w:rsid w:val="003213A2"/>
    <w:rPr>
      <w:sz w:val="20"/>
      <w:szCs w:val="20"/>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ftref,Ref"/>
    <w:basedOn w:val="Fuentedeprrafopredeter"/>
    <w:link w:val="4GChar"/>
    <w:unhideWhenUsed/>
    <w:qFormat/>
    <w:rsid w:val="003213A2"/>
    <w:rPr>
      <w:vertAlign w:val="superscript"/>
    </w:rPr>
  </w:style>
  <w:style w:type="paragraph" w:styleId="Encabezado">
    <w:name w:val="header"/>
    <w:basedOn w:val="Normal"/>
    <w:link w:val="EncabezadoCar"/>
    <w:uiPriority w:val="99"/>
    <w:unhideWhenUsed/>
    <w:rsid w:val="009561B2"/>
    <w:pPr>
      <w:tabs>
        <w:tab w:val="center" w:pos="4419"/>
        <w:tab w:val="right" w:pos="8838"/>
      </w:tabs>
    </w:pPr>
  </w:style>
  <w:style w:type="character" w:customStyle="1" w:styleId="EncabezadoCar">
    <w:name w:val="Encabezado Car"/>
    <w:basedOn w:val="Fuentedeprrafopredeter"/>
    <w:link w:val="Encabezado"/>
    <w:uiPriority w:val="99"/>
    <w:rsid w:val="009561B2"/>
  </w:style>
  <w:style w:type="paragraph" w:styleId="Prrafodelista">
    <w:name w:val="List Paragraph"/>
    <w:aliases w:val="Colorful List Accent 1,CNBV Parrafo1,Párrafo de lista1,Parrafo 1,Lista multicolor - Énfasis 11,Cuadrícula media 1 - Énfasis 21,List Paragraph-Thesis,Listas,Lista vistosa - Énfasis 11,Cita texto,Footnote,List Paragraph2,List Paragraph1"/>
    <w:basedOn w:val="Normal"/>
    <w:link w:val="PrrafodelistaCar"/>
    <w:uiPriority w:val="34"/>
    <w:qFormat/>
    <w:rsid w:val="00CD7353"/>
    <w:pPr>
      <w:ind w:left="720"/>
      <w:contextualSpacing/>
    </w:pPr>
  </w:style>
  <w:style w:type="character" w:styleId="Hipervnculo">
    <w:name w:val="Hyperlink"/>
    <w:basedOn w:val="Fuentedeprrafopredeter"/>
    <w:uiPriority w:val="99"/>
    <w:unhideWhenUsed/>
    <w:rsid w:val="00A32BF2"/>
    <w:rPr>
      <w:color w:val="0000FF" w:themeColor="hyperlink"/>
      <w:u w:val="single"/>
    </w:rPr>
  </w:style>
  <w:style w:type="character" w:styleId="Mencinsinresolver">
    <w:name w:val="Unresolved Mention"/>
    <w:basedOn w:val="Fuentedeprrafopredeter"/>
    <w:uiPriority w:val="99"/>
    <w:semiHidden/>
    <w:unhideWhenUsed/>
    <w:rsid w:val="00A32BF2"/>
    <w:rPr>
      <w:color w:val="605E5C"/>
      <w:shd w:val="clear" w:color="auto" w:fill="E1DFDD"/>
    </w:rPr>
  </w:style>
  <w:style w:type="paragraph" w:styleId="Sangradetextonormal">
    <w:name w:val="Body Text Indent"/>
    <w:basedOn w:val="Normal"/>
    <w:link w:val="SangradetextonormalCar"/>
    <w:uiPriority w:val="99"/>
    <w:semiHidden/>
    <w:unhideWhenUsed/>
    <w:rsid w:val="00A32BF2"/>
    <w:pPr>
      <w:spacing w:after="120"/>
      <w:ind w:left="283"/>
    </w:pPr>
  </w:style>
  <w:style w:type="character" w:customStyle="1" w:styleId="SangradetextonormalCar">
    <w:name w:val="Sangría de texto normal Car"/>
    <w:basedOn w:val="Fuentedeprrafopredeter"/>
    <w:link w:val="Sangradetextonormal"/>
    <w:uiPriority w:val="99"/>
    <w:semiHidden/>
    <w:rsid w:val="00A32BF2"/>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rsid w:val="00033D0D"/>
    <w:pPr>
      <w:spacing w:before="100" w:beforeAutospacing="1" w:after="100" w:afterAutospacing="1"/>
    </w:pPr>
    <w:rPr>
      <w:lang w:val="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033D0D"/>
    <w:rPr>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qFormat/>
    <w:rsid w:val="00704154"/>
    <w:pPr>
      <w:jc w:val="both"/>
    </w:pPr>
    <w:rPr>
      <w:vertAlign w:val="superscript"/>
    </w:rPr>
  </w:style>
  <w:style w:type="character" w:customStyle="1" w:styleId="PrrafodelistaCar">
    <w:name w:val="Párrafo de lista Car"/>
    <w:aliases w:val="Colorful List Accent 1 Car,CNBV Parrafo1 Car,Párrafo de lista1 Car,Parrafo 1 Car,Lista multicolor - Énfasis 11 Car,Cuadrícula media 1 - Énfasis 21 Car,List Paragraph-Thesis Car,Listas Car,Lista vistosa - Énfasis 11 Car,Footnote Car"/>
    <w:basedOn w:val="Fuentedeprrafopredeter"/>
    <w:link w:val="Prrafodelista"/>
    <w:uiPriority w:val="34"/>
    <w:qFormat/>
    <w:locked/>
    <w:rsid w:val="004B7743"/>
  </w:style>
  <w:style w:type="table" w:styleId="Tablaconcuadrcula">
    <w:name w:val="Table Grid"/>
    <w:basedOn w:val="Tablanormal"/>
    <w:uiPriority w:val="39"/>
    <w:rsid w:val="00C81D6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next w:val="Normal"/>
    <w:uiPriority w:val="39"/>
    <w:unhideWhenUsed/>
    <w:qFormat/>
    <w:rsid w:val="008A498F"/>
    <w:pPr>
      <w:spacing w:before="360" w:after="40"/>
    </w:pPr>
    <w:rPr>
      <w:rFonts w:asciiTheme="majorHAnsi" w:eastAsiaTheme="majorEastAsia" w:hAnsiTheme="majorHAnsi" w:cstheme="majorBidi"/>
      <w:color w:val="E36C0A" w:themeColor="accent6" w:themeShade="BF"/>
      <w:sz w:val="40"/>
      <w:szCs w:val="40"/>
      <w:lang w:val="es-MX" w:eastAsia="en-US"/>
    </w:rPr>
  </w:style>
  <w:style w:type="paragraph" w:styleId="TDC1">
    <w:name w:val="toc 1"/>
    <w:basedOn w:val="Normal"/>
    <w:next w:val="Normal"/>
    <w:autoRedefine/>
    <w:uiPriority w:val="39"/>
    <w:unhideWhenUsed/>
    <w:rsid w:val="008A498F"/>
    <w:pPr>
      <w:spacing w:after="100" w:line="288" w:lineRule="auto"/>
    </w:pPr>
    <w:rPr>
      <w:rFonts w:asciiTheme="minorHAnsi" w:eastAsiaTheme="minorEastAsia" w:hAnsiTheme="minorHAnsi" w:cstheme="minorBidi"/>
      <w:sz w:val="21"/>
      <w:szCs w:val="21"/>
      <w:lang w:val="es-MX" w:eastAsia="en-US"/>
    </w:rPr>
  </w:style>
  <w:style w:type="paragraph" w:styleId="TDC2">
    <w:name w:val="toc 2"/>
    <w:basedOn w:val="Normal"/>
    <w:next w:val="Normal"/>
    <w:autoRedefine/>
    <w:uiPriority w:val="39"/>
    <w:unhideWhenUsed/>
    <w:rsid w:val="008A498F"/>
    <w:pPr>
      <w:spacing w:after="100" w:line="288" w:lineRule="auto"/>
      <w:ind w:left="210"/>
    </w:pPr>
    <w:rPr>
      <w:rFonts w:asciiTheme="minorHAnsi" w:eastAsiaTheme="minorEastAsia" w:hAnsiTheme="minorHAnsi" w:cstheme="minorBidi"/>
      <w:sz w:val="21"/>
      <w:szCs w:val="21"/>
      <w:lang w:val="es-MX" w:eastAsia="en-US"/>
    </w:rPr>
  </w:style>
  <w:style w:type="character" w:customStyle="1" w:styleId="Ttulo1Car">
    <w:name w:val="Título 1 Car"/>
    <w:basedOn w:val="Fuentedeprrafopredeter"/>
    <w:uiPriority w:val="9"/>
    <w:rsid w:val="008A498F"/>
    <w:rPr>
      <w:b/>
      <w:sz w:val="48"/>
      <w:szCs w:val="48"/>
    </w:rPr>
  </w:style>
  <w:style w:type="table" w:customStyle="1" w:styleId="a">
    <w:basedOn w:val="TableNormal0"/>
    <w:tblPr>
      <w:tblStyleRowBandSize w:val="1"/>
      <w:tblStyleColBandSize w:val="1"/>
      <w:tblCellMar>
        <w:top w:w="0" w:type="dxa"/>
        <w:left w:w="108" w:type="dxa"/>
        <w:bottom w:w="0" w:type="dxa"/>
        <w:right w:w="108" w:type="dxa"/>
      </w:tblCellMar>
    </w:tblPr>
  </w:style>
  <w:style w:type="table" w:customStyle="1" w:styleId="a0">
    <w:basedOn w:val="TableNormal0"/>
    <w:rPr>
      <w:rFonts w:ascii="Cambria" w:eastAsia="Cambria" w:hAnsi="Cambria" w:cs="Cambria"/>
      <w:sz w:val="22"/>
      <w:szCs w:val="22"/>
    </w:rPr>
    <w:tblPr>
      <w:tblStyleRowBandSize w:val="1"/>
      <w:tblStyleColBandSize w:val="1"/>
      <w:tblCellMar>
        <w:top w:w="0" w:type="dxa"/>
        <w:left w:w="108" w:type="dxa"/>
        <w:bottom w:w="0" w:type="dxa"/>
        <w:right w:w="108" w:type="dxa"/>
      </w:tblCellMar>
    </w:tblPr>
  </w:style>
  <w:style w:type="table" w:customStyle="1" w:styleId="a1">
    <w:basedOn w:val="TableNormal0"/>
    <w:tblPr>
      <w:tblStyleRowBandSize w:val="1"/>
      <w:tblStyleColBandSize w:val="1"/>
      <w:tblCellMar>
        <w:top w:w="0" w:type="dxa"/>
        <w:left w:w="115" w:type="dxa"/>
        <w:bottom w:w="0" w:type="dxa"/>
        <w:right w:w="115"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2">
    <w:basedOn w:val="TableNormal0"/>
    <w:tblPr>
      <w:tblStyleRowBandSize w:val="1"/>
      <w:tblStyleColBandSize w:val="1"/>
      <w:tblCellMar>
        <w:top w:w="0" w:type="dxa"/>
        <w:left w:w="108" w:type="dxa"/>
        <w:bottom w:w="0" w:type="dxa"/>
        <w:right w:w="108" w:type="dxa"/>
      </w:tblCellMar>
    </w:tblPr>
  </w:style>
  <w:style w:type="table" w:customStyle="1" w:styleId="a3">
    <w:basedOn w:val="TableNormal0"/>
    <w:rPr>
      <w:rFonts w:ascii="Cambria" w:eastAsia="Cambria" w:hAnsi="Cambria" w:cs="Cambria"/>
      <w:sz w:val="22"/>
      <w:szCs w:val="22"/>
    </w:rPr>
    <w:tblPr>
      <w:tblStyleRowBandSize w:val="1"/>
      <w:tblStyleColBandSize w:val="1"/>
      <w:tblCellMar>
        <w:top w:w="0" w:type="dxa"/>
        <w:left w:w="108" w:type="dxa"/>
        <w:bottom w:w="0" w:type="dxa"/>
        <w:right w:w="108" w:type="dxa"/>
      </w:tblCellMar>
    </w:tblPr>
  </w:style>
  <w:style w:type="table" w:customStyle="1" w:styleId="a4">
    <w:basedOn w:val="TableNormal0"/>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lJYTeTxRpTr8eZCqLr0kWu9sVoA==">CgMxLjAyDmguZzg5Y2NkaThuaHE3Mg5oLmNsbDVreDd4dWh5aDIOaC40dnc2OGc5dGVxZGcyDmguNXlvdzFkOWE2bmozMg1oLnhybWRuOTA2dG9sMg5oLmw3cW1oMWphcTZzODgAciExeWhYbHpnNkFSN3pOakJWV21JYjZNYndLSUNzZ0pudlU=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12</Pages>
  <Words>3179</Words>
  <Characters>17804</Characters>
  <Application>Microsoft Office Word</Application>
  <DocSecurity>0</DocSecurity>
  <Lines>481</Lines>
  <Paragraphs>146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JESÚS RENATO GARCÍA RIVERA</cp:lastModifiedBy>
  <cp:revision>13</cp:revision>
  <cp:lastPrinted>2025-11-26T01:33:00Z</cp:lastPrinted>
  <dcterms:created xsi:type="dcterms:W3CDTF">2025-11-25T21:15:00Z</dcterms:created>
  <dcterms:modified xsi:type="dcterms:W3CDTF">2025-11-26T02:25:00Z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ies>
</file>