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EFD705" w14:textId="77777777" w:rsidR="005D2868" w:rsidRDefault="005D2868">
      <w:pPr>
        <w:spacing w:line="240" w:lineRule="auto"/>
        <w:ind w:left="3969" w:right="-92"/>
        <w:jc w:val="center"/>
        <w:rPr>
          <w:rFonts w:ascii="Arial" w:eastAsia="Arial" w:hAnsi="Arial" w:cs="Arial"/>
          <w:b/>
          <w:bCs/>
          <w:sz w:val="24"/>
          <w:szCs w:val="24"/>
        </w:rPr>
      </w:pPr>
    </w:p>
    <w:p w14:paraId="16CA82EF" w14:textId="7C5AA81A" w:rsidR="009E02A1" w:rsidRDefault="00000000">
      <w:pPr>
        <w:spacing w:line="240" w:lineRule="auto"/>
        <w:ind w:left="3969" w:right="-92"/>
        <w:jc w:val="center"/>
        <w:rPr>
          <w:rFonts w:ascii="Arial" w:eastAsia="Arial" w:hAnsi="Arial" w:cs="Arial"/>
          <w:b/>
          <w:bCs/>
          <w:sz w:val="24"/>
          <w:szCs w:val="24"/>
        </w:rPr>
      </w:pPr>
      <w:r>
        <w:rPr>
          <w:rFonts w:ascii="Arial" w:eastAsia="Arial" w:hAnsi="Arial" w:cs="Arial"/>
          <w:b/>
          <w:bCs/>
          <w:sz w:val="24"/>
          <w:szCs w:val="24"/>
        </w:rPr>
        <w:t>ACUERDO PLENARIO DE CUMPLIMIENTO DE SENTENCIA</w:t>
      </w:r>
    </w:p>
    <w:p w14:paraId="720DC7E3" w14:textId="77777777" w:rsidR="009E02A1" w:rsidRDefault="00000000">
      <w:pPr>
        <w:spacing w:line="240" w:lineRule="auto"/>
        <w:ind w:left="3969" w:right="51"/>
        <w:jc w:val="both"/>
        <w:rPr>
          <w:rFonts w:ascii="Arial" w:eastAsia="Arial" w:hAnsi="Arial" w:cs="Arial"/>
          <w:sz w:val="24"/>
          <w:szCs w:val="24"/>
        </w:rPr>
      </w:pPr>
      <w:r>
        <w:rPr>
          <w:rFonts w:ascii="Arial" w:eastAsia="Arial" w:hAnsi="Arial" w:cs="Arial"/>
          <w:b/>
          <w:bCs/>
          <w:sz w:val="24"/>
          <w:szCs w:val="24"/>
        </w:rPr>
        <w:t xml:space="preserve">EXPEDIENTE: </w:t>
      </w:r>
      <w:r>
        <w:rPr>
          <w:rFonts w:ascii="Arial" w:eastAsia="Arial" w:hAnsi="Arial" w:cs="Arial"/>
          <w:sz w:val="24"/>
          <w:szCs w:val="24"/>
        </w:rPr>
        <w:t>TEEM-PES-VPMG-199/2024</w:t>
      </w:r>
    </w:p>
    <w:p w14:paraId="15BA5118" w14:textId="77777777" w:rsidR="009E02A1" w:rsidRDefault="00000000">
      <w:pPr>
        <w:spacing w:line="240" w:lineRule="auto"/>
        <w:ind w:left="3969" w:right="51"/>
        <w:jc w:val="both"/>
        <w:rPr>
          <w:rFonts w:ascii="Arial" w:eastAsia="Arial" w:hAnsi="Arial" w:cs="Arial"/>
          <w:sz w:val="24"/>
          <w:szCs w:val="24"/>
        </w:rPr>
      </w:pPr>
      <w:r>
        <w:rPr>
          <w:rFonts w:ascii="Arial" w:eastAsia="Arial" w:hAnsi="Arial" w:cs="Arial"/>
          <w:b/>
          <w:bCs/>
          <w:sz w:val="24"/>
          <w:szCs w:val="24"/>
        </w:rPr>
        <w:t>DENUNCIANTE:</w:t>
      </w:r>
      <w:r>
        <w:rPr>
          <w:rFonts w:ascii="Arial" w:eastAsia="Arial" w:hAnsi="Arial" w:cs="Arial"/>
          <w:sz w:val="24"/>
          <w:szCs w:val="24"/>
        </w:rPr>
        <w:t xml:space="preserve"> MORENA</w:t>
      </w:r>
    </w:p>
    <w:p w14:paraId="27C5C27D" w14:textId="77777777" w:rsidR="009E02A1" w:rsidRDefault="00000000">
      <w:pPr>
        <w:spacing w:line="240" w:lineRule="auto"/>
        <w:ind w:left="3969" w:right="51"/>
        <w:jc w:val="both"/>
        <w:rPr>
          <w:rFonts w:ascii="Arial" w:eastAsia="Arial" w:hAnsi="Arial" w:cs="Arial"/>
          <w:sz w:val="24"/>
          <w:szCs w:val="24"/>
        </w:rPr>
      </w:pPr>
      <w:r>
        <w:rPr>
          <w:rFonts w:ascii="Arial" w:eastAsia="Arial" w:hAnsi="Arial" w:cs="Arial"/>
          <w:b/>
          <w:bCs/>
          <w:sz w:val="24"/>
          <w:szCs w:val="24"/>
        </w:rPr>
        <w:t>DENUNCIADO:</w:t>
      </w:r>
      <w:r>
        <w:rPr>
          <w:rFonts w:ascii="Arial" w:eastAsia="Arial" w:hAnsi="Arial" w:cs="Arial"/>
          <w:sz w:val="24"/>
          <w:szCs w:val="24"/>
        </w:rPr>
        <w:t xml:space="preserve"> RUBÉN TORRES GARCÍA Y OTRO</w:t>
      </w:r>
    </w:p>
    <w:p w14:paraId="68C2F4CC" w14:textId="77777777" w:rsidR="009E02A1" w:rsidRDefault="00000000">
      <w:pPr>
        <w:spacing w:line="240" w:lineRule="auto"/>
        <w:ind w:left="3969" w:right="51"/>
        <w:jc w:val="both"/>
        <w:rPr>
          <w:rFonts w:ascii="Arial" w:eastAsia="Arial" w:hAnsi="Arial" w:cs="Arial"/>
          <w:sz w:val="24"/>
          <w:szCs w:val="24"/>
        </w:rPr>
      </w:pPr>
      <w:r>
        <w:rPr>
          <w:rFonts w:ascii="Arial" w:eastAsia="Arial" w:hAnsi="Arial" w:cs="Arial"/>
          <w:b/>
          <w:bCs/>
          <w:sz w:val="24"/>
          <w:szCs w:val="24"/>
        </w:rPr>
        <w:t xml:space="preserve">MAGISTRADA: </w:t>
      </w:r>
      <w:r>
        <w:rPr>
          <w:rFonts w:ascii="Arial" w:eastAsia="Arial" w:hAnsi="Arial" w:cs="Arial"/>
          <w:sz w:val="24"/>
          <w:szCs w:val="24"/>
        </w:rPr>
        <w:t>YURISHA ANDRADE MORALES</w:t>
      </w:r>
    </w:p>
    <w:p w14:paraId="1A362994" w14:textId="77777777" w:rsidR="009E02A1" w:rsidRDefault="00000000">
      <w:pPr>
        <w:spacing w:line="240" w:lineRule="auto"/>
        <w:ind w:left="3969" w:right="51"/>
        <w:jc w:val="both"/>
        <w:rPr>
          <w:rFonts w:ascii="Arial" w:eastAsia="Arial" w:hAnsi="Arial" w:cs="Arial"/>
          <w:sz w:val="24"/>
          <w:szCs w:val="24"/>
        </w:rPr>
      </w:pPr>
      <w:r>
        <w:rPr>
          <w:rFonts w:ascii="Arial" w:eastAsia="Arial" w:hAnsi="Arial" w:cs="Arial"/>
          <w:b/>
          <w:bCs/>
          <w:sz w:val="24"/>
          <w:szCs w:val="24"/>
        </w:rPr>
        <w:t>SECRETARIO INSTRUCTOR Y PROYECTISTA:</w:t>
      </w:r>
      <w:r>
        <w:rPr>
          <w:rFonts w:ascii="Arial" w:eastAsia="Arial" w:hAnsi="Arial" w:cs="Arial"/>
          <w:sz w:val="24"/>
          <w:szCs w:val="24"/>
        </w:rPr>
        <w:t xml:space="preserve"> OSCAR MANUEL REGALADO ARROYO</w:t>
      </w:r>
    </w:p>
    <w:p w14:paraId="2AE5C2B9" w14:textId="77777777" w:rsidR="009E02A1" w:rsidRDefault="00000000">
      <w:pPr>
        <w:spacing w:after="0" w:line="240" w:lineRule="auto"/>
        <w:ind w:left="3969" w:right="51"/>
        <w:jc w:val="both"/>
        <w:rPr>
          <w:rFonts w:ascii="Arial" w:eastAsia="Arial" w:hAnsi="Arial" w:cs="Arial"/>
          <w:color w:val="000000"/>
          <w:sz w:val="24"/>
          <w:szCs w:val="24"/>
        </w:rPr>
      </w:pPr>
      <w:r>
        <w:rPr>
          <w:rFonts w:ascii="Arial" w:eastAsia="Arial" w:hAnsi="Arial" w:cs="Arial"/>
          <w:b/>
          <w:bCs/>
          <w:color w:val="000000"/>
          <w:sz w:val="24"/>
          <w:szCs w:val="24"/>
        </w:rPr>
        <w:t xml:space="preserve">COLABORÓ: </w:t>
      </w:r>
      <w:r>
        <w:rPr>
          <w:rFonts w:ascii="Arial" w:eastAsia="Arial" w:hAnsi="Arial" w:cs="Arial"/>
          <w:color w:val="000000"/>
          <w:sz w:val="24"/>
          <w:szCs w:val="24"/>
        </w:rPr>
        <w:t>RUBÍ ARROYO HIGUERA</w:t>
      </w:r>
    </w:p>
    <w:p w14:paraId="4B6BF046" w14:textId="77777777" w:rsidR="009E02A1" w:rsidRDefault="009E02A1">
      <w:pPr>
        <w:spacing w:after="0" w:line="360" w:lineRule="auto"/>
        <w:ind w:left="4395" w:right="51"/>
        <w:jc w:val="both"/>
        <w:rPr>
          <w:rFonts w:ascii="Arial" w:eastAsia="Arial" w:hAnsi="Arial" w:cs="Arial"/>
          <w:color w:val="000000"/>
          <w:sz w:val="24"/>
          <w:szCs w:val="24"/>
        </w:rPr>
      </w:pPr>
    </w:p>
    <w:p w14:paraId="06ED88B2" w14:textId="77777777" w:rsidR="009E02A1" w:rsidRDefault="00000000">
      <w:pPr>
        <w:spacing w:after="0" w:line="360" w:lineRule="auto"/>
        <w:jc w:val="right"/>
        <w:rPr>
          <w:rFonts w:ascii="Arial" w:eastAsia="Arial" w:hAnsi="Arial" w:cs="Arial"/>
          <w:sz w:val="24"/>
          <w:szCs w:val="24"/>
        </w:rPr>
      </w:pPr>
      <w:r>
        <w:rPr>
          <w:rFonts w:ascii="Arial" w:eastAsia="Arial" w:hAnsi="Arial" w:cs="Arial"/>
          <w:sz w:val="24"/>
          <w:szCs w:val="24"/>
        </w:rPr>
        <w:t>Morelia, Michoacán, a veinticinco de noviembre de dos mil veinticinco.</w:t>
      </w:r>
      <w:r>
        <w:rPr>
          <w:rFonts w:ascii="Arial" w:eastAsia="Arial" w:hAnsi="Arial" w:cs="Arial"/>
          <w:sz w:val="24"/>
          <w:szCs w:val="24"/>
          <w:vertAlign w:val="superscript"/>
        </w:rPr>
        <w:footnoteReference w:id="1"/>
      </w:r>
    </w:p>
    <w:p w14:paraId="61A1D148" w14:textId="77777777" w:rsidR="009E02A1" w:rsidRDefault="009E02A1">
      <w:pPr>
        <w:spacing w:after="0" w:line="360" w:lineRule="auto"/>
        <w:jc w:val="right"/>
        <w:rPr>
          <w:rFonts w:ascii="Arial" w:eastAsia="Arial" w:hAnsi="Arial" w:cs="Arial"/>
          <w:sz w:val="24"/>
          <w:szCs w:val="24"/>
        </w:rPr>
      </w:pPr>
    </w:p>
    <w:p w14:paraId="17E68EFA" w14:textId="77777777" w:rsidR="009E02A1" w:rsidRDefault="00000000">
      <w:pPr>
        <w:pBdr>
          <w:top w:val="nil"/>
          <w:left w:val="nil"/>
          <w:bottom w:val="nil"/>
          <w:right w:val="nil"/>
          <w:between w:val="nil"/>
        </w:pBdr>
        <w:spacing w:after="0" w:line="360" w:lineRule="auto"/>
        <w:jc w:val="both"/>
        <w:rPr>
          <w:rFonts w:ascii="Arial" w:eastAsia="Arial" w:hAnsi="Arial" w:cs="Arial"/>
          <w:color w:val="000000"/>
          <w:sz w:val="24"/>
          <w:szCs w:val="24"/>
        </w:rPr>
      </w:pPr>
      <w:bookmarkStart w:id="0" w:name="_heading=h.sa2ojsw7dazg" w:colFirst="0" w:colLast="0"/>
      <w:bookmarkEnd w:id="0"/>
      <w:r>
        <w:rPr>
          <w:rFonts w:ascii="Arial" w:eastAsia="Arial" w:hAnsi="Arial" w:cs="Arial"/>
          <w:b/>
          <w:bCs/>
          <w:color w:val="000000"/>
          <w:sz w:val="24"/>
          <w:szCs w:val="24"/>
        </w:rPr>
        <w:t xml:space="preserve">Acuerdo plenario </w:t>
      </w:r>
      <w:r>
        <w:rPr>
          <w:rFonts w:ascii="Arial" w:eastAsia="Arial" w:hAnsi="Arial" w:cs="Arial"/>
          <w:color w:val="000000"/>
          <w:sz w:val="24"/>
          <w:szCs w:val="24"/>
        </w:rPr>
        <w:t xml:space="preserve">que </w:t>
      </w:r>
      <w:r>
        <w:rPr>
          <w:rFonts w:ascii="Arial" w:eastAsia="Arial" w:hAnsi="Arial" w:cs="Arial"/>
          <w:b/>
          <w:bCs/>
          <w:color w:val="000000"/>
          <w:sz w:val="24"/>
          <w:szCs w:val="24"/>
        </w:rPr>
        <w:t>declara el cumplimiento</w:t>
      </w:r>
      <w:r>
        <w:rPr>
          <w:rFonts w:ascii="Arial" w:eastAsia="Arial" w:hAnsi="Arial" w:cs="Arial"/>
          <w:color w:val="000000"/>
          <w:sz w:val="24"/>
          <w:szCs w:val="24"/>
        </w:rPr>
        <w:t xml:space="preserve"> a lo ordenado por este Órgano Jurisdiccional en la sentencia de trece de diciembre, dictada dentro del Procedimiento Especial Sancionador, identificado al rubro.</w:t>
      </w:r>
    </w:p>
    <w:p w14:paraId="0307BBCE" w14:textId="77777777" w:rsidR="009E02A1" w:rsidRDefault="009E02A1">
      <w:pPr>
        <w:pBdr>
          <w:top w:val="nil"/>
          <w:left w:val="nil"/>
          <w:bottom w:val="nil"/>
          <w:right w:val="nil"/>
          <w:between w:val="nil"/>
        </w:pBdr>
        <w:spacing w:after="0" w:line="360" w:lineRule="auto"/>
        <w:rPr>
          <w:rFonts w:ascii="Arial" w:eastAsia="Arial" w:hAnsi="Arial" w:cs="Arial"/>
          <w:color w:val="000000"/>
          <w:sz w:val="24"/>
          <w:szCs w:val="24"/>
        </w:rPr>
      </w:pPr>
    </w:p>
    <w:p w14:paraId="5ABC7D0A" w14:textId="77777777" w:rsidR="009E02A1" w:rsidRDefault="00000000">
      <w:pPr>
        <w:spacing w:after="0" w:line="360" w:lineRule="auto"/>
        <w:jc w:val="center"/>
        <w:rPr>
          <w:rFonts w:ascii="Arial" w:eastAsia="Arial" w:hAnsi="Arial" w:cs="Arial"/>
          <w:b/>
          <w:bCs/>
          <w:sz w:val="24"/>
          <w:szCs w:val="24"/>
        </w:rPr>
      </w:pPr>
      <w:r>
        <w:rPr>
          <w:rFonts w:ascii="Arial" w:eastAsia="Arial" w:hAnsi="Arial" w:cs="Arial"/>
          <w:b/>
          <w:bCs/>
          <w:color w:val="000000"/>
          <w:sz w:val="24"/>
          <w:szCs w:val="24"/>
        </w:rPr>
        <w:t>I.</w:t>
      </w:r>
      <w:r>
        <w:rPr>
          <w:rFonts w:ascii="Arial" w:eastAsia="Arial" w:hAnsi="Arial" w:cs="Arial"/>
          <w:color w:val="000000"/>
          <w:sz w:val="24"/>
          <w:szCs w:val="24"/>
        </w:rPr>
        <w:t xml:space="preserve"> </w:t>
      </w:r>
      <w:r>
        <w:rPr>
          <w:rFonts w:ascii="Arial" w:eastAsia="Arial" w:hAnsi="Arial" w:cs="Arial"/>
          <w:b/>
          <w:bCs/>
          <w:sz w:val="24"/>
          <w:szCs w:val="24"/>
        </w:rPr>
        <w:t>ANTECEDENTES</w:t>
      </w:r>
    </w:p>
    <w:p w14:paraId="0C15D31D" w14:textId="77777777" w:rsidR="009E02A1" w:rsidRDefault="009E02A1">
      <w:pPr>
        <w:spacing w:after="0" w:line="360" w:lineRule="auto"/>
        <w:jc w:val="center"/>
        <w:rPr>
          <w:rFonts w:ascii="Arial" w:eastAsia="Arial" w:hAnsi="Arial" w:cs="Arial"/>
          <w:b/>
          <w:bCs/>
          <w:sz w:val="24"/>
          <w:szCs w:val="24"/>
        </w:rPr>
      </w:pPr>
    </w:p>
    <w:p w14:paraId="3C50A7EC" w14:textId="77777777" w:rsidR="009E02A1" w:rsidRDefault="00000000">
      <w:pPr>
        <w:spacing w:after="0" w:line="360" w:lineRule="auto"/>
        <w:jc w:val="both"/>
        <w:rPr>
          <w:rFonts w:ascii="Arial" w:eastAsia="Arial" w:hAnsi="Arial" w:cs="Arial"/>
          <w:sz w:val="24"/>
          <w:szCs w:val="24"/>
        </w:rPr>
      </w:pPr>
      <w:r>
        <w:rPr>
          <w:rFonts w:ascii="Arial" w:eastAsia="Arial" w:hAnsi="Arial" w:cs="Arial"/>
          <w:b/>
          <w:bCs/>
          <w:sz w:val="24"/>
          <w:szCs w:val="24"/>
        </w:rPr>
        <w:t xml:space="preserve">1. Sentencia. </w:t>
      </w:r>
      <w:r>
        <w:rPr>
          <w:rFonts w:ascii="Arial" w:eastAsia="Arial" w:hAnsi="Arial" w:cs="Arial"/>
          <w:sz w:val="24"/>
          <w:szCs w:val="24"/>
        </w:rPr>
        <w:t>El trece de diciembre, este Tribunal Electoral del Estado</w:t>
      </w:r>
      <w:r>
        <w:rPr>
          <w:rFonts w:ascii="Arial" w:eastAsia="Arial" w:hAnsi="Arial" w:cs="Arial"/>
          <w:sz w:val="24"/>
          <w:szCs w:val="24"/>
          <w:vertAlign w:val="superscript"/>
        </w:rPr>
        <w:footnoteReference w:id="2"/>
      </w:r>
      <w:r>
        <w:rPr>
          <w:rFonts w:ascii="Arial" w:eastAsia="Arial" w:hAnsi="Arial" w:cs="Arial"/>
          <w:sz w:val="24"/>
          <w:szCs w:val="24"/>
        </w:rPr>
        <w:t xml:space="preserve"> dictó sentencia</w:t>
      </w:r>
      <w:r>
        <w:rPr>
          <w:rFonts w:ascii="Arial" w:eastAsia="Arial" w:hAnsi="Arial" w:cs="Arial"/>
          <w:sz w:val="24"/>
          <w:szCs w:val="24"/>
          <w:vertAlign w:val="superscript"/>
        </w:rPr>
        <w:footnoteReference w:id="3"/>
      </w:r>
      <w:r>
        <w:rPr>
          <w:rFonts w:ascii="Arial" w:eastAsia="Arial" w:hAnsi="Arial" w:cs="Arial"/>
          <w:sz w:val="24"/>
          <w:szCs w:val="24"/>
        </w:rPr>
        <w:t xml:space="preserve"> en el Procedimiento Especial Sancionador citado al rubro. </w:t>
      </w:r>
    </w:p>
    <w:p w14:paraId="7D46DEE6" w14:textId="77777777" w:rsidR="009E02A1" w:rsidRDefault="009E02A1">
      <w:pPr>
        <w:spacing w:after="0" w:line="360" w:lineRule="auto"/>
        <w:jc w:val="both"/>
        <w:rPr>
          <w:rFonts w:ascii="Arial" w:eastAsia="Arial" w:hAnsi="Arial" w:cs="Arial"/>
          <w:sz w:val="24"/>
          <w:szCs w:val="24"/>
        </w:rPr>
      </w:pPr>
    </w:p>
    <w:p w14:paraId="22E2196A" w14:textId="77777777" w:rsidR="009E02A1" w:rsidRDefault="00000000">
      <w:pPr>
        <w:spacing w:after="0" w:line="360" w:lineRule="auto"/>
        <w:jc w:val="both"/>
        <w:rPr>
          <w:rFonts w:ascii="Arial" w:eastAsia="Arial" w:hAnsi="Arial" w:cs="Arial"/>
          <w:i/>
          <w:iCs/>
          <w:sz w:val="24"/>
          <w:szCs w:val="24"/>
        </w:rPr>
      </w:pPr>
      <w:r>
        <w:rPr>
          <w:rFonts w:ascii="Arial" w:eastAsia="Arial" w:hAnsi="Arial" w:cs="Arial"/>
          <w:b/>
          <w:bCs/>
          <w:sz w:val="24"/>
          <w:szCs w:val="24"/>
        </w:rPr>
        <w:t>2. Notificación de la sentencia.</w:t>
      </w:r>
      <w:r>
        <w:rPr>
          <w:rFonts w:ascii="Arial" w:eastAsia="Arial" w:hAnsi="Arial" w:cs="Arial"/>
          <w:sz w:val="24"/>
          <w:szCs w:val="24"/>
        </w:rPr>
        <w:t xml:space="preserve"> El dieciséis de diciembre, se notificó la sentencia a las partes dentro del presente procedimiento.</w:t>
      </w:r>
      <w:r>
        <w:rPr>
          <w:rFonts w:ascii="Arial" w:eastAsia="Arial" w:hAnsi="Arial" w:cs="Arial"/>
          <w:sz w:val="24"/>
          <w:szCs w:val="24"/>
          <w:vertAlign w:val="superscript"/>
        </w:rPr>
        <w:footnoteReference w:id="4"/>
      </w:r>
    </w:p>
    <w:p w14:paraId="56F5B4B9" w14:textId="77777777" w:rsidR="009E02A1" w:rsidRDefault="009E02A1">
      <w:pPr>
        <w:spacing w:after="0" w:line="360" w:lineRule="auto"/>
        <w:jc w:val="both"/>
        <w:rPr>
          <w:rFonts w:ascii="Arial" w:eastAsia="Arial" w:hAnsi="Arial" w:cs="Arial"/>
          <w:sz w:val="24"/>
          <w:szCs w:val="24"/>
        </w:rPr>
      </w:pPr>
    </w:p>
    <w:p w14:paraId="2B230668" w14:textId="77777777" w:rsidR="009E02A1" w:rsidRDefault="00000000">
      <w:pPr>
        <w:spacing w:after="0" w:line="360" w:lineRule="auto"/>
        <w:ind w:right="51"/>
        <w:jc w:val="both"/>
        <w:rPr>
          <w:rFonts w:ascii="Arial" w:eastAsia="Arial" w:hAnsi="Arial" w:cs="Arial"/>
          <w:sz w:val="24"/>
          <w:szCs w:val="24"/>
        </w:rPr>
      </w:pPr>
      <w:bookmarkStart w:id="1" w:name="_heading=h.jgdl3gocecst" w:colFirst="0" w:colLast="0"/>
      <w:bookmarkEnd w:id="1"/>
      <w:r>
        <w:rPr>
          <w:rFonts w:ascii="Arial" w:eastAsia="Arial" w:hAnsi="Arial" w:cs="Arial"/>
          <w:b/>
          <w:bCs/>
          <w:sz w:val="24"/>
          <w:szCs w:val="24"/>
        </w:rPr>
        <w:t>3.</w:t>
      </w:r>
      <w:r>
        <w:rPr>
          <w:rFonts w:ascii="Arial" w:eastAsia="Arial" w:hAnsi="Arial" w:cs="Arial"/>
          <w:sz w:val="24"/>
          <w:szCs w:val="24"/>
        </w:rPr>
        <w:t xml:space="preserve"> </w:t>
      </w:r>
      <w:r>
        <w:rPr>
          <w:rFonts w:ascii="Arial" w:eastAsia="Arial" w:hAnsi="Arial" w:cs="Arial"/>
          <w:b/>
          <w:bCs/>
          <w:sz w:val="24"/>
          <w:szCs w:val="24"/>
        </w:rPr>
        <w:t xml:space="preserve">Recepción de documentación. </w:t>
      </w:r>
      <w:r>
        <w:rPr>
          <w:rFonts w:ascii="Arial" w:eastAsia="Arial" w:hAnsi="Arial" w:cs="Arial"/>
          <w:sz w:val="24"/>
          <w:szCs w:val="24"/>
        </w:rPr>
        <w:t>Mediante acuerdo de trece de febrero,</w:t>
      </w:r>
      <w:r>
        <w:rPr>
          <w:rFonts w:ascii="Arial" w:eastAsia="Arial" w:hAnsi="Arial" w:cs="Arial"/>
          <w:sz w:val="24"/>
          <w:szCs w:val="24"/>
          <w:vertAlign w:val="superscript"/>
        </w:rPr>
        <w:footnoteReference w:id="5"/>
      </w:r>
      <w:r>
        <w:rPr>
          <w:rFonts w:ascii="Arial" w:eastAsia="Arial" w:hAnsi="Arial" w:cs="Arial"/>
          <w:sz w:val="24"/>
          <w:szCs w:val="24"/>
        </w:rPr>
        <w:t xml:space="preserve"> se tuvo al Instituto Nacional Electoral</w:t>
      </w:r>
      <w:r>
        <w:rPr>
          <w:rFonts w:ascii="Arial" w:eastAsia="Arial" w:hAnsi="Arial" w:cs="Arial"/>
          <w:sz w:val="24"/>
          <w:szCs w:val="24"/>
          <w:vertAlign w:val="superscript"/>
        </w:rPr>
        <w:footnoteReference w:id="6"/>
      </w:r>
      <w:r>
        <w:rPr>
          <w:rFonts w:ascii="Arial" w:eastAsia="Arial" w:hAnsi="Arial" w:cs="Arial"/>
          <w:sz w:val="24"/>
          <w:szCs w:val="24"/>
        </w:rPr>
        <w:t xml:space="preserve"> y al Coordinador de lo Contencioso Electoral del Instituto Electoral de Michoacán,</w:t>
      </w:r>
      <w:r>
        <w:rPr>
          <w:rFonts w:ascii="Arial" w:eastAsia="Arial" w:hAnsi="Arial" w:cs="Arial"/>
          <w:sz w:val="24"/>
          <w:szCs w:val="24"/>
          <w:vertAlign w:val="superscript"/>
        </w:rPr>
        <w:footnoteReference w:id="7"/>
      </w:r>
      <w:r>
        <w:rPr>
          <w:rFonts w:ascii="Arial" w:eastAsia="Arial" w:hAnsi="Arial" w:cs="Arial"/>
          <w:sz w:val="24"/>
          <w:szCs w:val="24"/>
        </w:rPr>
        <w:t xml:space="preserve"> informando que el denunciado Rubén Torres García</w:t>
      </w:r>
      <w:r>
        <w:rPr>
          <w:rFonts w:ascii="Arial" w:eastAsia="Arial" w:hAnsi="Arial" w:cs="Arial"/>
          <w:sz w:val="24"/>
          <w:szCs w:val="24"/>
          <w:vertAlign w:val="superscript"/>
        </w:rPr>
        <w:footnoteReference w:id="8"/>
      </w:r>
      <w:r>
        <w:rPr>
          <w:rFonts w:ascii="Arial" w:eastAsia="Arial" w:hAnsi="Arial" w:cs="Arial"/>
          <w:sz w:val="24"/>
          <w:szCs w:val="24"/>
        </w:rPr>
        <w:t xml:space="preserve"> fue inscrito en el Registro Nacional de Personas Sancionadas en Materia </w:t>
      </w:r>
      <w:r>
        <w:rPr>
          <w:rFonts w:ascii="Arial" w:eastAsia="Arial" w:hAnsi="Arial" w:cs="Arial"/>
          <w:sz w:val="24"/>
          <w:szCs w:val="24"/>
        </w:rPr>
        <w:lastRenderedPageBreak/>
        <w:t xml:space="preserve">de Violencia Política Contra las Mujeres </w:t>
      </w:r>
      <w:proofErr w:type="gramStart"/>
      <w:r>
        <w:rPr>
          <w:rFonts w:ascii="Arial" w:eastAsia="Arial" w:hAnsi="Arial" w:cs="Arial"/>
          <w:sz w:val="24"/>
          <w:szCs w:val="24"/>
        </w:rPr>
        <w:t>en Razón de</w:t>
      </w:r>
      <w:proofErr w:type="gramEnd"/>
      <w:r>
        <w:rPr>
          <w:rFonts w:ascii="Arial" w:eastAsia="Arial" w:hAnsi="Arial" w:cs="Arial"/>
          <w:sz w:val="24"/>
          <w:szCs w:val="24"/>
        </w:rPr>
        <w:t xml:space="preserve"> Género,</w:t>
      </w:r>
      <w:r>
        <w:rPr>
          <w:rFonts w:ascii="Arial" w:eastAsia="Arial" w:hAnsi="Arial" w:cs="Arial"/>
          <w:sz w:val="24"/>
          <w:szCs w:val="24"/>
          <w:vertAlign w:val="superscript"/>
        </w:rPr>
        <w:footnoteReference w:id="9"/>
      </w:r>
      <w:r>
        <w:rPr>
          <w:rFonts w:ascii="Arial" w:eastAsia="Arial" w:hAnsi="Arial" w:cs="Arial"/>
          <w:sz w:val="24"/>
          <w:szCs w:val="24"/>
        </w:rPr>
        <w:t xml:space="preserve"> así como en el Registro Estatal de Personas Sancionadas por Violencia Política contra las Mujeres </w:t>
      </w:r>
      <w:proofErr w:type="gramStart"/>
      <w:r>
        <w:rPr>
          <w:rFonts w:ascii="Arial" w:eastAsia="Arial" w:hAnsi="Arial" w:cs="Arial"/>
          <w:sz w:val="24"/>
          <w:szCs w:val="24"/>
        </w:rPr>
        <w:t>en Razón de</w:t>
      </w:r>
      <w:proofErr w:type="gramEnd"/>
      <w:r>
        <w:rPr>
          <w:rFonts w:ascii="Arial" w:eastAsia="Arial" w:hAnsi="Arial" w:cs="Arial"/>
          <w:sz w:val="24"/>
          <w:szCs w:val="24"/>
        </w:rPr>
        <w:t xml:space="preserve"> Género,</w:t>
      </w:r>
      <w:r>
        <w:rPr>
          <w:rFonts w:ascii="Arial" w:eastAsia="Arial" w:hAnsi="Arial" w:cs="Arial"/>
          <w:sz w:val="24"/>
          <w:szCs w:val="24"/>
          <w:vertAlign w:val="superscript"/>
        </w:rPr>
        <w:footnoteReference w:id="10"/>
      </w:r>
      <w:r>
        <w:rPr>
          <w:rFonts w:ascii="Arial" w:eastAsia="Arial" w:hAnsi="Arial" w:cs="Arial"/>
          <w:sz w:val="24"/>
          <w:szCs w:val="24"/>
        </w:rPr>
        <w:t xml:space="preserve"> respectivamente, y remitiendo las constancias pertinentes que así lo acreditan.</w:t>
      </w:r>
    </w:p>
    <w:p w14:paraId="79B99E84" w14:textId="77777777" w:rsidR="009E02A1" w:rsidRDefault="009E02A1">
      <w:pPr>
        <w:spacing w:after="0" w:line="360" w:lineRule="auto"/>
        <w:ind w:right="51"/>
        <w:jc w:val="both"/>
        <w:rPr>
          <w:rFonts w:ascii="Arial" w:eastAsia="Arial" w:hAnsi="Arial" w:cs="Arial"/>
          <w:sz w:val="24"/>
          <w:szCs w:val="24"/>
        </w:rPr>
      </w:pPr>
    </w:p>
    <w:p w14:paraId="61032CE1" w14:textId="77777777" w:rsidR="009E02A1" w:rsidRDefault="00000000">
      <w:pPr>
        <w:spacing w:after="0" w:line="360" w:lineRule="auto"/>
        <w:ind w:right="51"/>
        <w:jc w:val="both"/>
        <w:rPr>
          <w:rFonts w:ascii="Arial" w:eastAsia="Arial" w:hAnsi="Arial" w:cs="Arial"/>
          <w:sz w:val="24"/>
          <w:szCs w:val="24"/>
        </w:rPr>
      </w:pPr>
      <w:r>
        <w:rPr>
          <w:rFonts w:ascii="Arial" w:eastAsia="Arial" w:hAnsi="Arial" w:cs="Arial"/>
          <w:b/>
          <w:bCs/>
          <w:sz w:val="24"/>
          <w:szCs w:val="24"/>
        </w:rPr>
        <w:t>4. Recepción de documentación.</w:t>
      </w:r>
      <w:r>
        <w:rPr>
          <w:rFonts w:ascii="Arial" w:eastAsia="Arial" w:hAnsi="Arial" w:cs="Arial"/>
          <w:sz w:val="24"/>
          <w:szCs w:val="24"/>
        </w:rPr>
        <w:t xml:space="preserve"> Mediante acuerdo de diecinueve de febrero,</w:t>
      </w:r>
      <w:r>
        <w:rPr>
          <w:rFonts w:ascii="Arial" w:eastAsia="Arial" w:hAnsi="Arial" w:cs="Arial"/>
          <w:sz w:val="24"/>
          <w:szCs w:val="24"/>
          <w:vertAlign w:val="superscript"/>
        </w:rPr>
        <w:footnoteReference w:id="11"/>
      </w:r>
      <w:r>
        <w:rPr>
          <w:rFonts w:ascii="Arial" w:eastAsia="Arial" w:hAnsi="Arial" w:cs="Arial"/>
          <w:sz w:val="24"/>
          <w:szCs w:val="24"/>
        </w:rPr>
        <w:t xml:space="preserve"> se tuvo a la Apoderada Jurídica de la </w:t>
      </w:r>
      <w:r>
        <w:rPr>
          <w:rFonts w:ascii="Arial" w:eastAsia="Arial" w:hAnsi="Arial" w:cs="Arial"/>
          <w:i/>
          <w:iCs/>
          <w:sz w:val="24"/>
          <w:szCs w:val="24"/>
        </w:rPr>
        <w:t>Secretaría de Igualdad</w:t>
      </w:r>
      <w:r>
        <w:rPr>
          <w:rFonts w:ascii="Arial" w:eastAsia="Arial" w:hAnsi="Arial" w:cs="Arial"/>
          <w:sz w:val="24"/>
          <w:szCs w:val="24"/>
        </w:rPr>
        <w:t xml:space="preserve">, informando que el </w:t>
      </w:r>
      <w:r>
        <w:rPr>
          <w:rFonts w:ascii="Arial" w:eastAsia="Arial" w:hAnsi="Arial" w:cs="Arial"/>
          <w:i/>
          <w:iCs/>
          <w:sz w:val="24"/>
          <w:szCs w:val="24"/>
        </w:rPr>
        <w:t>denunciado</w:t>
      </w:r>
      <w:r>
        <w:rPr>
          <w:rFonts w:ascii="Arial" w:eastAsia="Arial" w:hAnsi="Arial" w:cs="Arial"/>
          <w:sz w:val="24"/>
          <w:szCs w:val="24"/>
        </w:rPr>
        <w:t xml:space="preserve"> no asistió al programa de capacitaciones que implementó en cumplimiento a lo ordenado en la sentencia y remitiendo diversa documentación relacionada con dicho cumplimiento.</w:t>
      </w:r>
    </w:p>
    <w:p w14:paraId="51DDA88D" w14:textId="77777777" w:rsidR="009E02A1" w:rsidRDefault="009E02A1">
      <w:pPr>
        <w:spacing w:after="0" w:line="360" w:lineRule="auto"/>
        <w:ind w:right="51"/>
        <w:jc w:val="both"/>
        <w:rPr>
          <w:rFonts w:ascii="Arial" w:eastAsia="Arial" w:hAnsi="Arial" w:cs="Arial"/>
          <w:sz w:val="24"/>
          <w:szCs w:val="24"/>
        </w:rPr>
      </w:pPr>
    </w:p>
    <w:p w14:paraId="3F9809E1" w14:textId="77777777" w:rsidR="009E02A1" w:rsidRDefault="00000000">
      <w:pPr>
        <w:spacing w:after="0" w:line="360" w:lineRule="auto"/>
        <w:ind w:right="51"/>
        <w:jc w:val="both"/>
        <w:rPr>
          <w:rFonts w:ascii="Arial" w:eastAsia="Arial" w:hAnsi="Arial" w:cs="Arial"/>
          <w:sz w:val="24"/>
          <w:szCs w:val="24"/>
        </w:rPr>
      </w:pPr>
      <w:r>
        <w:rPr>
          <w:rFonts w:ascii="Arial" w:eastAsia="Arial" w:hAnsi="Arial" w:cs="Arial"/>
          <w:b/>
          <w:bCs/>
          <w:sz w:val="24"/>
          <w:szCs w:val="24"/>
        </w:rPr>
        <w:t>5. Recepción de documentación.</w:t>
      </w:r>
      <w:r>
        <w:rPr>
          <w:rFonts w:ascii="Arial" w:eastAsia="Arial" w:hAnsi="Arial" w:cs="Arial"/>
          <w:sz w:val="24"/>
          <w:szCs w:val="24"/>
        </w:rPr>
        <w:t xml:space="preserve"> Mediante acuerdo de veintiuno de febrero,</w:t>
      </w:r>
      <w:r>
        <w:rPr>
          <w:rFonts w:ascii="Arial" w:eastAsia="Arial" w:hAnsi="Arial" w:cs="Arial"/>
          <w:sz w:val="24"/>
          <w:szCs w:val="24"/>
          <w:vertAlign w:val="superscript"/>
        </w:rPr>
        <w:footnoteReference w:id="12"/>
      </w:r>
      <w:r>
        <w:rPr>
          <w:rFonts w:ascii="Arial" w:eastAsia="Arial" w:hAnsi="Arial" w:cs="Arial"/>
          <w:sz w:val="24"/>
          <w:szCs w:val="24"/>
        </w:rPr>
        <w:t xml:space="preserve"> se tuvo al Sistema Michoacano de Radio y Televisión,</w:t>
      </w:r>
      <w:r>
        <w:rPr>
          <w:rFonts w:ascii="Arial" w:eastAsia="Arial" w:hAnsi="Arial" w:cs="Arial"/>
          <w:sz w:val="24"/>
          <w:szCs w:val="24"/>
          <w:vertAlign w:val="superscript"/>
        </w:rPr>
        <w:footnoteReference w:id="13"/>
      </w:r>
      <w:r>
        <w:rPr>
          <w:rFonts w:ascii="Arial" w:eastAsia="Arial" w:hAnsi="Arial" w:cs="Arial"/>
          <w:sz w:val="24"/>
          <w:szCs w:val="24"/>
        </w:rPr>
        <w:t xml:space="preserve"> remitiendo diversa documentación relacionada con el cumplimiento a la sentencia de mérito y se instruyó al Secretario Instructor y proyectista llevar a cabo una verificación del contenido de un código QR, proporcionado por dicho sistema. </w:t>
      </w:r>
    </w:p>
    <w:p w14:paraId="46BFE2B7" w14:textId="77777777" w:rsidR="009E02A1" w:rsidRDefault="009E02A1">
      <w:pPr>
        <w:spacing w:after="0" w:line="360" w:lineRule="auto"/>
        <w:ind w:right="51"/>
        <w:jc w:val="both"/>
        <w:rPr>
          <w:rFonts w:ascii="Arial" w:eastAsia="Arial" w:hAnsi="Arial" w:cs="Arial"/>
          <w:sz w:val="24"/>
          <w:szCs w:val="24"/>
        </w:rPr>
      </w:pPr>
    </w:p>
    <w:p w14:paraId="4A69687D" w14:textId="77777777" w:rsidR="009E02A1" w:rsidRDefault="00000000">
      <w:pPr>
        <w:spacing w:after="0" w:line="360" w:lineRule="auto"/>
        <w:ind w:right="51"/>
        <w:jc w:val="both"/>
        <w:rPr>
          <w:rFonts w:ascii="Arial" w:eastAsia="Arial" w:hAnsi="Arial" w:cs="Arial"/>
          <w:sz w:val="24"/>
          <w:szCs w:val="24"/>
        </w:rPr>
      </w:pPr>
      <w:r>
        <w:rPr>
          <w:rFonts w:ascii="Arial" w:eastAsia="Arial" w:hAnsi="Arial" w:cs="Arial"/>
          <w:b/>
          <w:bCs/>
          <w:sz w:val="24"/>
          <w:szCs w:val="24"/>
        </w:rPr>
        <w:t xml:space="preserve">6. Requerimientos e incumplimientos de requerimientos. </w:t>
      </w:r>
      <w:r>
        <w:rPr>
          <w:rFonts w:ascii="Arial" w:eastAsia="Arial" w:hAnsi="Arial" w:cs="Arial"/>
          <w:sz w:val="24"/>
          <w:szCs w:val="24"/>
        </w:rPr>
        <w:t>Mediante acuerdos de once y veintiocho de abril, seis, trece y veintitrés de mayo</w:t>
      </w:r>
      <w:r>
        <w:rPr>
          <w:rFonts w:ascii="Arial" w:eastAsia="Arial" w:hAnsi="Arial" w:cs="Arial"/>
          <w:sz w:val="24"/>
          <w:szCs w:val="24"/>
          <w:vertAlign w:val="superscript"/>
        </w:rPr>
        <w:footnoteReference w:id="14"/>
      </w:r>
      <w:r>
        <w:rPr>
          <w:rFonts w:ascii="Arial" w:eastAsia="Arial" w:hAnsi="Arial" w:cs="Arial"/>
          <w:sz w:val="24"/>
          <w:szCs w:val="24"/>
        </w:rPr>
        <w:t xml:space="preserve"> la ponencia instructora ordenó requerir a Rubén Torres García diversa información necesaria para la verificación del cumplimiento de la sentencia materia de análisis, no obstante, incumplió con dichos requerimientos.</w:t>
      </w:r>
    </w:p>
    <w:p w14:paraId="48DA4D5D" w14:textId="77777777" w:rsidR="009E02A1" w:rsidRDefault="009E02A1">
      <w:pPr>
        <w:spacing w:after="0" w:line="360" w:lineRule="auto"/>
        <w:ind w:right="51"/>
        <w:jc w:val="both"/>
        <w:rPr>
          <w:rFonts w:ascii="Arial" w:eastAsia="Arial" w:hAnsi="Arial" w:cs="Arial"/>
          <w:sz w:val="24"/>
          <w:szCs w:val="24"/>
        </w:rPr>
      </w:pPr>
    </w:p>
    <w:p w14:paraId="79D6CD56" w14:textId="77777777" w:rsidR="009E02A1" w:rsidRDefault="00000000">
      <w:pPr>
        <w:spacing w:after="0" w:line="360" w:lineRule="auto"/>
        <w:ind w:right="51"/>
        <w:jc w:val="both"/>
        <w:rPr>
          <w:rFonts w:ascii="Arial" w:eastAsia="Arial" w:hAnsi="Arial" w:cs="Arial"/>
          <w:b/>
          <w:bCs/>
          <w:sz w:val="24"/>
          <w:szCs w:val="24"/>
        </w:rPr>
      </w:pPr>
      <w:r>
        <w:rPr>
          <w:rFonts w:ascii="Arial" w:eastAsia="Arial" w:hAnsi="Arial" w:cs="Arial"/>
          <w:b/>
          <w:bCs/>
          <w:sz w:val="24"/>
          <w:szCs w:val="24"/>
        </w:rPr>
        <w:t xml:space="preserve">7. Diligencia de verificación. </w:t>
      </w:r>
      <w:r>
        <w:rPr>
          <w:rFonts w:ascii="Arial" w:eastAsia="Arial" w:hAnsi="Arial" w:cs="Arial"/>
          <w:sz w:val="24"/>
          <w:szCs w:val="24"/>
        </w:rPr>
        <w:t>Mediante acuerdo de veintidós de mayo, se instruyó al Secretario Instructor y Proyectista para que llevara a cabo la verificación del contenido de un Código QR proporcionado por el</w:t>
      </w:r>
      <w:r>
        <w:rPr>
          <w:rFonts w:ascii="Arial" w:eastAsia="Arial" w:hAnsi="Arial" w:cs="Arial"/>
          <w:i/>
          <w:iCs/>
          <w:sz w:val="24"/>
          <w:szCs w:val="24"/>
        </w:rPr>
        <w:t xml:space="preserve"> SMRT</w:t>
      </w:r>
      <w:r>
        <w:rPr>
          <w:rFonts w:ascii="Arial" w:eastAsia="Arial" w:hAnsi="Arial" w:cs="Arial"/>
          <w:sz w:val="24"/>
          <w:szCs w:val="24"/>
        </w:rPr>
        <w:t>, en el cual refirió se podrían descargar los testigos relativos a la difusión del resumen oficial de la sentencia.</w:t>
      </w:r>
      <w:r>
        <w:rPr>
          <w:rFonts w:ascii="Arial" w:eastAsia="Arial" w:hAnsi="Arial" w:cs="Arial"/>
          <w:b/>
          <w:bCs/>
          <w:sz w:val="24"/>
          <w:szCs w:val="24"/>
        </w:rPr>
        <w:t xml:space="preserve"> </w:t>
      </w:r>
    </w:p>
    <w:p w14:paraId="4090534E" w14:textId="77777777" w:rsidR="009E02A1" w:rsidRDefault="009E02A1">
      <w:pPr>
        <w:spacing w:after="0" w:line="360" w:lineRule="auto"/>
        <w:ind w:right="51"/>
        <w:jc w:val="both"/>
        <w:rPr>
          <w:rFonts w:ascii="Arial" w:eastAsia="Arial" w:hAnsi="Arial" w:cs="Arial"/>
          <w:b/>
          <w:bCs/>
          <w:sz w:val="24"/>
          <w:szCs w:val="24"/>
        </w:rPr>
      </w:pPr>
    </w:p>
    <w:p w14:paraId="7BD8A2EF" w14:textId="77777777" w:rsidR="009E02A1" w:rsidRDefault="00000000">
      <w:pPr>
        <w:spacing w:after="0" w:line="360" w:lineRule="auto"/>
        <w:ind w:right="51"/>
        <w:jc w:val="both"/>
        <w:rPr>
          <w:rFonts w:ascii="Arial" w:eastAsia="Arial" w:hAnsi="Arial" w:cs="Arial"/>
          <w:sz w:val="24"/>
          <w:szCs w:val="24"/>
        </w:rPr>
      </w:pPr>
      <w:r>
        <w:rPr>
          <w:rFonts w:ascii="Arial" w:eastAsia="Arial" w:hAnsi="Arial" w:cs="Arial"/>
          <w:b/>
          <w:bCs/>
          <w:sz w:val="24"/>
          <w:szCs w:val="24"/>
        </w:rPr>
        <w:t xml:space="preserve">8. Imposición de corrección disciplinaria. </w:t>
      </w:r>
      <w:r>
        <w:rPr>
          <w:rFonts w:ascii="Arial" w:eastAsia="Arial" w:hAnsi="Arial" w:cs="Arial"/>
          <w:sz w:val="24"/>
          <w:szCs w:val="24"/>
        </w:rPr>
        <w:t>Mediante acuerdo de dos de junio,</w:t>
      </w:r>
      <w:r>
        <w:rPr>
          <w:rFonts w:ascii="Arial" w:eastAsia="Arial" w:hAnsi="Arial" w:cs="Arial"/>
          <w:sz w:val="24"/>
          <w:szCs w:val="24"/>
          <w:vertAlign w:val="superscript"/>
        </w:rPr>
        <w:footnoteReference w:id="15"/>
      </w:r>
      <w:r>
        <w:rPr>
          <w:rFonts w:ascii="Arial" w:eastAsia="Arial" w:hAnsi="Arial" w:cs="Arial"/>
          <w:sz w:val="24"/>
          <w:szCs w:val="24"/>
        </w:rPr>
        <w:t xml:space="preserve"> se impuso al </w:t>
      </w:r>
      <w:r>
        <w:rPr>
          <w:rFonts w:ascii="Arial" w:eastAsia="Arial" w:hAnsi="Arial" w:cs="Arial"/>
          <w:i/>
          <w:iCs/>
          <w:sz w:val="24"/>
          <w:szCs w:val="24"/>
        </w:rPr>
        <w:t>denunciado</w:t>
      </w:r>
      <w:r>
        <w:rPr>
          <w:rFonts w:ascii="Arial" w:eastAsia="Arial" w:hAnsi="Arial" w:cs="Arial"/>
          <w:sz w:val="24"/>
          <w:szCs w:val="24"/>
        </w:rPr>
        <w:t xml:space="preserve"> la corrección disciplinaria consistente en una amonestación pública, en atención a los diversos incumplimientos de los requerimientos efectuados por la Ponencia instructora. </w:t>
      </w:r>
    </w:p>
    <w:p w14:paraId="40EFB597" w14:textId="77777777" w:rsidR="009E02A1" w:rsidRDefault="009E02A1">
      <w:pPr>
        <w:spacing w:after="0" w:line="360" w:lineRule="auto"/>
        <w:ind w:right="51"/>
        <w:jc w:val="both"/>
        <w:rPr>
          <w:rFonts w:ascii="Arial" w:eastAsia="Arial" w:hAnsi="Arial" w:cs="Arial"/>
          <w:sz w:val="24"/>
          <w:szCs w:val="24"/>
        </w:rPr>
      </w:pPr>
    </w:p>
    <w:p w14:paraId="47164AFB" w14:textId="77777777" w:rsidR="009E02A1" w:rsidRDefault="00000000">
      <w:pPr>
        <w:spacing w:after="0" w:line="360" w:lineRule="auto"/>
        <w:ind w:right="51"/>
        <w:jc w:val="both"/>
        <w:rPr>
          <w:rFonts w:ascii="Arial" w:eastAsia="Arial" w:hAnsi="Arial" w:cs="Arial"/>
          <w:sz w:val="24"/>
          <w:szCs w:val="24"/>
        </w:rPr>
      </w:pPr>
      <w:r>
        <w:rPr>
          <w:rFonts w:ascii="Arial" w:eastAsia="Arial" w:hAnsi="Arial" w:cs="Arial"/>
          <w:b/>
          <w:bCs/>
          <w:sz w:val="24"/>
          <w:szCs w:val="24"/>
        </w:rPr>
        <w:t xml:space="preserve">9. Recepción de documentación. </w:t>
      </w:r>
      <w:r>
        <w:rPr>
          <w:rFonts w:ascii="Arial" w:eastAsia="Arial" w:hAnsi="Arial" w:cs="Arial"/>
          <w:sz w:val="24"/>
          <w:szCs w:val="24"/>
        </w:rPr>
        <w:t>Mediante acuerdo de diecisiete de junio</w:t>
      </w:r>
      <w:r>
        <w:rPr>
          <w:rFonts w:ascii="Arial" w:eastAsia="Arial" w:hAnsi="Arial" w:cs="Arial"/>
          <w:sz w:val="24"/>
          <w:szCs w:val="24"/>
          <w:vertAlign w:val="superscript"/>
        </w:rPr>
        <w:footnoteReference w:id="16"/>
      </w:r>
      <w:r>
        <w:rPr>
          <w:rFonts w:ascii="Arial" w:eastAsia="Arial" w:hAnsi="Arial" w:cs="Arial"/>
          <w:sz w:val="24"/>
          <w:szCs w:val="24"/>
        </w:rPr>
        <w:t xml:space="preserve"> se tuvo al </w:t>
      </w:r>
      <w:r>
        <w:rPr>
          <w:rFonts w:ascii="Arial" w:eastAsia="Arial" w:hAnsi="Arial" w:cs="Arial"/>
          <w:i/>
          <w:iCs/>
          <w:sz w:val="24"/>
          <w:szCs w:val="24"/>
        </w:rPr>
        <w:t xml:space="preserve">denunciado </w:t>
      </w:r>
      <w:r>
        <w:rPr>
          <w:rFonts w:ascii="Arial" w:eastAsia="Arial" w:hAnsi="Arial" w:cs="Arial"/>
          <w:sz w:val="24"/>
          <w:szCs w:val="24"/>
        </w:rPr>
        <w:t xml:space="preserve">y al Director Ejecutivo de Administración de Prerrogativas y Partidos Políticos del </w:t>
      </w:r>
      <w:r>
        <w:rPr>
          <w:rFonts w:ascii="Arial" w:eastAsia="Arial" w:hAnsi="Arial" w:cs="Arial"/>
          <w:i/>
          <w:iCs/>
          <w:sz w:val="24"/>
          <w:szCs w:val="24"/>
        </w:rPr>
        <w:t>IEM</w:t>
      </w:r>
      <w:r>
        <w:rPr>
          <w:rFonts w:ascii="Arial" w:eastAsia="Arial" w:hAnsi="Arial" w:cs="Arial"/>
          <w:sz w:val="24"/>
          <w:szCs w:val="24"/>
        </w:rPr>
        <w:t xml:space="preserve">, remitiendo diversa información relacionada con el cumplimiento de la sentencia. Asimismo, se ordenó verificar dos enlaces electrónicos aportados por el </w:t>
      </w:r>
      <w:r>
        <w:rPr>
          <w:rFonts w:ascii="Arial" w:eastAsia="Arial" w:hAnsi="Arial" w:cs="Arial"/>
          <w:i/>
          <w:iCs/>
          <w:sz w:val="24"/>
          <w:szCs w:val="24"/>
        </w:rPr>
        <w:t>denunciado</w:t>
      </w:r>
      <w:r>
        <w:rPr>
          <w:rFonts w:ascii="Arial" w:eastAsia="Arial" w:hAnsi="Arial" w:cs="Arial"/>
          <w:sz w:val="24"/>
          <w:szCs w:val="24"/>
        </w:rPr>
        <w:t xml:space="preserve"> y se le requirió a efecto de que solicitara a la </w:t>
      </w:r>
      <w:r>
        <w:rPr>
          <w:rFonts w:ascii="Arial" w:eastAsia="Arial" w:hAnsi="Arial" w:cs="Arial"/>
          <w:i/>
          <w:iCs/>
          <w:sz w:val="24"/>
          <w:szCs w:val="24"/>
        </w:rPr>
        <w:t>Secretaría de Igualdad</w:t>
      </w:r>
      <w:r>
        <w:rPr>
          <w:rFonts w:ascii="Arial" w:eastAsia="Arial" w:hAnsi="Arial" w:cs="Arial"/>
          <w:sz w:val="24"/>
          <w:szCs w:val="24"/>
        </w:rPr>
        <w:t xml:space="preserve"> le señalara nuevas fechas para la impartición del programa de capacitación sobre género y violencia política en materia digital. </w:t>
      </w:r>
    </w:p>
    <w:p w14:paraId="3D4752F4" w14:textId="77777777" w:rsidR="009E02A1" w:rsidRDefault="009E02A1">
      <w:pPr>
        <w:spacing w:after="0" w:line="360" w:lineRule="auto"/>
        <w:ind w:right="51"/>
        <w:jc w:val="both"/>
        <w:rPr>
          <w:rFonts w:ascii="Arial" w:eastAsia="Arial" w:hAnsi="Arial" w:cs="Arial"/>
          <w:b/>
          <w:bCs/>
          <w:sz w:val="24"/>
          <w:szCs w:val="24"/>
        </w:rPr>
      </w:pPr>
    </w:p>
    <w:p w14:paraId="74463753" w14:textId="77777777" w:rsidR="009E02A1" w:rsidRDefault="00000000">
      <w:pPr>
        <w:spacing w:after="0" w:line="360" w:lineRule="auto"/>
        <w:ind w:right="51"/>
        <w:jc w:val="both"/>
        <w:rPr>
          <w:rFonts w:ascii="Arial" w:eastAsia="Arial" w:hAnsi="Arial" w:cs="Arial"/>
          <w:b/>
          <w:bCs/>
          <w:sz w:val="24"/>
          <w:szCs w:val="24"/>
        </w:rPr>
      </w:pPr>
      <w:r>
        <w:rPr>
          <w:rFonts w:ascii="Arial" w:eastAsia="Arial" w:hAnsi="Arial" w:cs="Arial"/>
          <w:b/>
          <w:bCs/>
          <w:sz w:val="24"/>
          <w:szCs w:val="24"/>
        </w:rPr>
        <w:t xml:space="preserve">10. Incumplimiento de requerimiento y requerimiento. </w:t>
      </w:r>
      <w:r>
        <w:rPr>
          <w:rFonts w:ascii="Arial" w:eastAsia="Arial" w:hAnsi="Arial" w:cs="Arial"/>
          <w:sz w:val="24"/>
          <w:szCs w:val="24"/>
        </w:rPr>
        <w:t>Mediante acuerdo de treinta de junio,</w:t>
      </w:r>
      <w:r>
        <w:rPr>
          <w:rFonts w:ascii="Arial" w:eastAsia="Arial" w:hAnsi="Arial" w:cs="Arial"/>
          <w:sz w:val="24"/>
          <w:szCs w:val="24"/>
          <w:vertAlign w:val="superscript"/>
        </w:rPr>
        <w:footnoteReference w:id="17"/>
      </w:r>
      <w:r>
        <w:rPr>
          <w:rFonts w:ascii="Arial" w:eastAsia="Arial" w:hAnsi="Arial" w:cs="Arial"/>
          <w:sz w:val="24"/>
          <w:szCs w:val="24"/>
        </w:rPr>
        <w:t xml:space="preserve"> se tuvo al </w:t>
      </w:r>
      <w:r>
        <w:rPr>
          <w:rFonts w:ascii="Arial" w:eastAsia="Arial" w:hAnsi="Arial" w:cs="Arial"/>
          <w:i/>
          <w:iCs/>
          <w:sz w:val="24"/>
          <w:szCs w:val="24"/>
        </w:rPr>
        <w:t>denunciado</w:t>
      </w:r>
      <w:r>
        <w:rPr>
          <w:rFonts w:ascii="Arial" w:eastAsia="Arial" w:hAnsi="Arial" w:cs="Arial"/>
          <w:sz w:val="24"/>
          <w:szCs w:val="24"/>
        </w:rPr>
        <w:t xml:space="preserve"> incumpliendo con el requerimiento efectuado por la Ponencia instructora mediante acuerdo de diecisiete de junio y se requirió a la </w:t>
      </w:r>
      <w:r>
        <w:rPr>
          <w:rFonts w:ascii="Arial" w:eastAsia="Arial" w:hAnsi="Arial" w:cs="Arial"/>
          <w:i/>
          <w:iCs/>
          <w:sz w:val="24"/>
          <w:szCs w:val="24"/>
        </w:rPr>
        <w:t>Secretaría de Igualdad</w:t>
      </w:r>
      <w:r>
        <w:rPr>
          <w:rFonts w:ascii="Arial" w:eastAsia="Arial" w:hAnsi="Arial" w:cs="Arial"/>
          <w:sz w:val="24"/>
          <w:szCs w:val="24"/>
        </w:rPr>
        <w:t xml:space="preserve"> a efecto de que informara si el </w:t>
      </w:r>
      <w:r>
        <w:rPr>
          <w:rFonts w:ascii="Arial" w:eastAsia="Arial" w:hAnsi="Arial" w:cs="Arial"/>
          <w:i/>
          <w:iCs/>
          <w:sz w:val="24"/>
          <w:szCs w:val="24"/>
        </w:rPr>
        <w:t xml:space="preserve">denunciado </w:t>
      </w:r>
      <w:r>
        <w:rPr>
          <w:rFonts w:ascii="Arial" w:eastAsia="Arial" w:hAnsi="Arial" w:cs="Arial"/>
          <w:sz w:val="24"/>
          <w:szCs w:val="24"/>
        </w:rPr>
        <w:t xml:space="preserve">le había solicitado le señalara nuevas fechas para la impartición del programa y en caso de ser negativa su respuesta, reprogramara las capacitaciones sobre género y violencia política. </w:t>
      </w:r>
    </w:p>
    <w:p w14:paraId="44C55F71" w14:textId="77777777" w:rsidR="009E02A1" w:rsidRDefault="009E02A1">
      <w:pPr>
        <w:spacing w:after="0" w:line="360" w:lineRule="auto"/>
        <w:ind w:right="51"/>
        <w:jc w:val="both"/>
        <w:rPr>
          <w:rFonts w:ascii="Arial" w:eastAsia="Arial" w:hAnsi="Arial" w:cs="Arial"/>
          <w:sz w:val="24"/>
          <w:szCs w:val="24"/>
        </w:rPr>
      </w:pPr>
    </w:p>
    <w:p w14:paraId="62EB484B" w14:textId="77777777" w:rsidR="009E02A1" w:rsidRDefault="00000000">
      <w:pPr>
        <w:spacing w:after="0" w:line="360" w:lineRule="auto"/>
        <w:ind w:right="51"/>
        <w:jc w:val="both"/>
        <w:rPr>
          <w:rFonts w:ascii="Arial" w:eastAsia="Arial" w:hAnsi="Arial" w:cs="Arial"/>
          <w:sz w:val="24"/>
          <w:szCs w:val="24"/>
        </w:rPr>
      </w:pPr>
      <w:bookmarkStart w:id="2" w:name="_heading=h.d1vlq6nnlt87" w:colFirst="0" w:colLast="0"/>
      <w:bookmarkEnd w:id="2"/>
      <w:r>
        <w:rPr>
          <w:rFonts w:ascii="Arial" w:eastAsia="Arial" w:hAnsi="Arial" w:cs="Arial"/>
          <w:b/>
          <w:bCs/>
          <w:sz w:val="24"/>
          <w:szCs w:val="24"/>
        </w:rPr>
        <w:t xml:space="preserve">11. Cumplimiento de requerimiento y solicitud de notificación. </w:t>
      </w:r>
      <w:r>
        <w:rPr>
          <w:rFonts w:ascii="Arial" w:eastAsia="Arial" w:hAnsi="Arial" w:cs="Arial"/>
          <w:sz w:val="24"/>
          <w:szCs w:val="24"/>
        </w:rPr>
        <w:t>Mediante acuerdo de cuatro de julio,</w:t>
      </w:r>
      <w:r>
        <w:rPr>
          <w:rFonts w:ascii="Arial" w:eastAsia="Arial" w:hAnsi="Arial" w:cs="Arial"/>
          <w:sz w:val="24"/>
          <w:szCs w:val="24"/>
          <w:vertAlign w:val="superscript"/>
        </w:rPr>
        <w:footnoteReference w:id="18"/>
      </w:r>
      <w:r>
        <w:rPr>
          <w:rFonts w:ascii="Arial" w:eastAsia="Arial" w:hAnsi="Arial" w:cs="Arial"/>
          <w:sz w:val="24"/>
          <w:szCs w:val="24"/>
        </w:rPr>
        <w:t xml:space="preserve"> se tuvo a la </w:t>
      </w:r>
      <w:r>
        <w:rPr>
          <w:rFonts w:ascii="Arial" w:eastAsia="Arial" w:hAnsi="Arial" w:cs="Arial"/>
          <w:i/>
          <w:iCs/>
          <w:sz w:val="24"/>
          <w:szCs w:val="24"/>
        </w:rPr>
        <w:t>Secretaría de Igualdad</w:t>
      </w:r>
      <w:r>
        <w:rPr>
          <w:rFonts w:ascii="Arial" w:eastAsia="Arial" w:hAnsi="Arial" w:cs="Arial"/>
          <w:sz w:val="24"/>
          <w:szCs w:val="24"/>
        </w:rPr>
        <w:t xml:space="preserve"> cumpliendo con el requerimiento efectuado por la Ponencia instructora mediante acuerdo de treinta de junio. Asimismo, toda vez que dicha secretaría reprogramó las capacitaciones y solicitó a este </w:t>
      </w:r>
      <w:r>
        <w:rPr>
          <w:rFonts w:ascii="Arial" w:eastAsia="Arial" w:hAnsi="Arial" w:cs="Arial"/>
          <w:i/>
          <w:iCs/>
          <w:sz w:val="24"/>
          <w:szCs w:val="24"/>
        </w:rPr>
        <w:t xml:space="preserve">Tribunal Electoral </w:t>
      </w:r>
      <w:r>
        <w:rPr>
          <w:rFonts w:ascii="Arial" w:eastAsia="Arial" w:hAnsi="Arial" w:cs="Arial"/>
          <w:sz w:val="24"/>
          <w:szCs w:val="24"/>
        </w:rPr>
        <w:t xml:space="preserve">notificar las fechas al </w:t>
      </w:r>
      <w:r>
        <w:rPr>
          <w:rFonts w:ascii="Arial" w:eastAsia="Arial" w:hAnsi="Arial" w:cs="Arial"/>
          <w:i/>
          <w:iCs/>
          <w:sz w:val="24"/>
          <w:szCs w:val="24"/>
        </w:rPr>
        <w:t>denunciado</w:t>
      </w:r>
      <w:r>
        <w:rPr>
          <w:rFonts w:ascii="Arial" w:eastAsia="Arial" w:hAnsi="Arial" w:cs="Arial"/>
          <w:sz w:val="24"/>
          <w:szCs w:val="24"/>
        </w:rPr>
        <w:t>, se ordenó practicar la notificación solicitada.</w:t>
      </w:r>
    </w:p>
    <w:p w14:paraId="774141B4" w14:textId="77777777" w:rsidR="009E02A1" w:rsidRDefault="009E02A1">
      <w:pPr>
        <w:spacing w:after="0" w:line="360" w:lineRule="auto"/>
        <w:ind w:right="51"/>
        <w:jc w:val="both"/>
        <w:rPr>
          <w:rFonts w:ascii="Arial" w:eastAsia="Arial" w:hAnsi="Arial" w:cs="Arial"/>
          <w:sz w:val="24"/>
          <w:szCs w:val="24"/>
        </w:rPr>
      </w:pPr>
    </w:p>
    <w:p w14:paraId="1D829C24" w14:textId="77777777" w:rsidR="009E02A1" w:rsidRDefault="00000000">
      <w:pPr>
        <w:spacing w:after="0" w:line="360" w:lineRule="auto"/>
        <w:ind w:right="51"/>
        <w:jc w:val="both"/>
        <w:rPr>
          <w:rFonts w:ascii="Arial" w:eastAsia="Arial" w:hAnsi="Arial" w:cs="Arial"/>
          <w:sz w:val="24"/>
          <w:szCs w:val="24"/>
        </w:rPr>
      </w:pPr>
      <w:r>
        <w:rPr>
          <w:rFonts w:ascii="Arial" w:eastAsia="Arial" w:hAnsi="Arial" w:cs="Arial"/>
          <w:b/>
          <w:bCs/>
          <w:sz w:val="24"/>
          <w:szCs w:val="24"/>
        </w:rPr>
        <w:t>12. Requerimiento.</w:t>
      </w:r>
      <w:r>
        <w:rPr>
          <w:rFonts w:ascii="Arial" w:eastAsia="Arial" w:hAnsi="Arial" w:cs="Arial"/>
          <w:sz w:val="24"/>
          <w:szCs w:val="24"/>
        </w:rPr>
        <w:t xml:space="preserve"> Mediante acuerdo de veintinueve de agosto,</w:t>
      </w:r>
      <w:r>
        <w:rPr>
          <w:rFonts w:ascii="Arial" w:eastAsia="Arial" w:hAnsi="Arial" w:cs="Arial"/>
          <w:sz w:val="24"/>
          <w:szCs w:val="24"/>
          <w:vertAlign w:val="superscript"/>
        </w:rPr>
        <w:footnoteReference w:id="19"/>
      </w:r>
      <w:r>
        <w:rPr>
          <w:rFonts w:ascii="Arial" w:eastAsia="Arial" w:hAnsi="Arial" w:cs="Arial"/>
          <w:sz w:val="24"/>
          <w:szCs w:val="24"/>
        </w:rPr>
        <w:t xml:space="preserve"> la Ponencia instructora ordenó requerir a la </w:t>
      </w:r>
      <w:r>
        <w:rPr>
          <w:rFonts w:ascii="Arial" w:eastAsia="Arial" w:hAnsi="Arial" w:cs="Arial"/>
          <w:i/>
          <w:iCs/>
          <w:sz w:val="24"/>
          <w:szCs w:val="24"/>
        </w:rPr>
        <w:t>Secretaría de Igualdad</w:t>
      </w:r>
      <w:r>
        <w:rPr>
          <w:rFonts w:ascii="Arial" w:eastAsia="Arial" w:hAnsi="Arial" w:cs="Arial"/>
          <w:sz w:val="24"/>
          <w:szCs w:val="24"/>
        </w:rPr>
        <w:t xml:space="preserve"> a efecto de que informara si el </w:t>
      </w:r>
      <w:r>
        <w:rPr>
          <w:rFonts w:ascii="Arial" w:eastAsia="Arial" w:hAnsi="Arial" w:cs="Arial"/>
          <w:i/>
          <w:iCs/>
          <w:sz w:val="24"/>
          <w:szCs w:val="24"/>
        </w:rPr>
        <w:t>denunciado</w:t>
      </w:r>
      <w:r>
        <w:rPr>
          <w:rFonts w:ascii="Arial" w:eastAsia="Arial" w:hAnsi="Arial" w:cs="Arial"/>
          <w:sz w:val="24"/>
          <w:szCs w:val="24"/>
        </w:rPr>
        <w:t xml:space="preserve"> había asistido a las capacitaciones reprogramadas del dieciocho al veintidós de agosto. </w:t>
      </w:r>
    </w:p>
    <w:p w14:paraId="36ACCD65" w14:textId="77777777" w:rsidR="009E02A1" w:rsidRDefault="009E02A1">
      <w:pPr>
        <w:spacing w:after="0" w:line="360" w:lineRule="auto"/>
        <w:ind w:right="51"/>
        <w:jc w:val="both"/>
        <w:rPr>
          <w:rFonts w:ascii="Arial" w:eastAsia="Arial" w:hAnsi="Arial" w:cs="Arial"/>
          <w:sz w:val="24"/>
          <w:szCs w:val="24"/>
        </w:rPr>
      </w:pPr>
    </w:p>
    <w:p w14:paraId="1E507E00" w14:textId="77777777" w:rsidR="009E02A1" w:rsidRDefault="00000000">
      <w:pPr>
        <w:spacing w:after="0" w:line="360" w:lineRule="auto"/>
        <w:ind w:right="51"/>
        <w:jc w:val="both"/>
        <w:rPr>
          <w:rFonts w:ascii="Arial" w:eastAsia="Arial" w:hAnsi="Arial" w:cs="Arial"/>
          <w:sz w:val="24"/>
          <w:szCs w:val="24"/>
        </w:rPr>
      </w:pPr>
      <w:r>
        <w:rPr>
          <w:rFonts w:ascii="Arial" w:eastAsia="Arial" w:hAnsi="Arial" w:cs="Arial"/>
          <w:b/>
          <w:bCs/>
          <w:sz w:val="24"/>
          <w:szCs w:val="24"/>
        </w:rPr>
        <w:t xml:space="preserve">13. Cumplimiento de requerimiento y nuevo requerimiento. </w:t>
      </w:r>
      <w:r>
        <w:rPr>
          <w:rFonts w:ascii="Arial" w:eastAsia="Arial" w:hAnsi="Arial" w:cs="Arial"/>
          <w:sz w:val="24"/>
          <w:szCs w:val="24"/>
        </w:rPr>
        <w:t>Mediante acuerdo de ocho de septiembre,</w:t>
      </w:r>
      <w:r>
        <w:rPr>
          <w:rFonts w:ascii="Arial" w:eastAsia="Arial" w:hAnsi="Arial" w:cs="Arial"/>
          <w:sz w:val="24"/>
          <w:szCs w:val="24"/>
          <w:vertAlign w:val="superscript"/>
        </w:rPr>
        <w:footnoteReference w:id="20"/>
      </w:r>
      <w:r>
        <w:rPr>
          <w:rFonts w:ascii="Arial" w:eastAsia="Arial" w:hAnsi="Arial" w:cs="Arial"/>
          <w:sz w:val="24"/>
          <w:szCs w:val="24"/>
        </w:rPr>
        <w:t xml:space="preserve"> se tuvo a la </w:t>
      </w:r>
      <w:r>
        <w:rPr>
          <w:rFonts w:ascii="Arial" w:eastAsia="Arial" w:hAnsi="Arial" w:cs="Arial"/>
          <w:i/>
          <w:iCs/>
          <w:sz w:val="24"/>
          <w:szCs w:val="24"/>
        </w:rPr>
        <w:t>Secretaría de Igualdad</w:t>
      </w:r>
      <w:r>
        <w:rPr>
          <w:rFonts w:ascii="Arial" w:eastAsia="Arial" w:hAnsi="Arial" w:cs="Arial"/>
          <w:sz w:val="24"/>
          <w:szCs w:val="24"/>
        </w:rPr>
        <w:t xml:space="preserve"> cumpliendo con el requerimiento efectuado por la Ponencia instructora en acuerdo de veintinueve de agosto y toda vez que informó que el </w:t>
      </w:r>
      <w:r>
        <w:rPr>
          <w:rFonts w:ascii="Arial" w:eastAsia="Arial" w:hAnsi="Arial" w:cs="Arial"/>
          <w:i/>
          <w:iCs/>
          <w:sz w:val="24"/>
          <w:szCs w:val="24"/>
        </w:rPr>
        <w:t>denunciado</w:t>
      </w:r>
      <w:r>
        <w:rPr>
          <w:rFonts w:ascii="Arial" w:eastAsia="Arial" w:hAnsi="Arial" w:cs="Arial"/>
          <w:sz w:val="24"/>
          <w:szCs w:val="24"/>
        </w:rPr>
        <w:t xml:space="preserve"> no había asistido a las </w:t>
      </w:r>
      <w:r>
        <w:rPr>
          <w:rFonts w:ascii="Arial" w:eastAsia="Arial" w:hAnsi="Arial" w:cs="Arial"/>
          <w:sz w:val="24"/>
          <w:szCs w:val="24"/>
        </w:rPr>
        <w:lastRenderedPageBreak/>
        <w:t xml:space="preserve">capacitaciones que reprogramó, se le requirió para que reagendara el programa de capacitaciones. </w:t>
      </w:r>
    </w:p>
    <w:p w14:paraId="10FE8578" w14:textId="77777777" w:rsidR="009E02A1" w:rsidRDefault="009E02A1">
      <w:pPr>
        <w:spacing w:after="0" w:line="360" w:lineRule="auto"/>
        <w:ind w:right="51"/>
        <w:jc w:val="both"/>
        <w:rPr>
          <w:rFonts w:ascii="Arial" w:eastAsia="Arial" w:hAnsi="Arial" w:cs="Arial"/>
          <w:sz w:val="24"/>
          <w:szCs w:val="24"/>
        </w:rPr>
      </w:pPr>
    </w:p>
    <w:p w14:paraId="0F52FA4E" w14:textId="77777777" w:rsidR="009E02A1" w:rsidRDefault="00000000">
      <w:pPr>
        <w:spacing w:after="0" w:line="360" w:lineRule="auto"/>
        <w:ind w:right="51"/>
        <w:jc w:val="both"/>
        <w:rPr>
          <w:rFonts w:ascii="Arial" w:eastAsia="Arial" w:hAnsi="Arial" w:cs="Arial"/>
          <w:b/>
          <w:bCs/>
          <w:sz w:val="24"/>
          <w:szCs w:val="24"/>
        </w:rPr>
      </w:pPr>
      <w:r>
        <w:rPr>
          <w:rFonts w:ascii="Arial" w:eastAsia="Arial" w:hAnsi="Arial" w:cs="Arial"/>
          <w:b/>
          <w:bCs/>
          <w:sz w:val="24"/>
          <w:szCs w:val="24"/>
        </w:rPr>
        <w:t xml:space="preserve">14. Incumplimiento de requerimiento y nuevo requerimiento. </w:t>
      </w:r>
      <w:r>
        <w:rPr>
          <w:rFonts w:ascii="Arial" w:eastAsia="Arial" w:hAnsi="Arial" w:cs="Arial"/>
          <w:sz w:val="24"/>
          <w:szCs w:val="24"/>
        </w:rPr>
        <w:t>Por acuerdo de seis de octubre,</w:t>
      </w:r>
      <w:r>
        <w:rPr>
          <w:rFonts w:ascii="Arial" w:eastAsia="Arial" w:hAnsi="Arial" w:cs="Arial"/>
          <w:sz w:val="24"/>
          <w:szCs w:val="24"/>
          <w:vertAlign w:val="superscript"/>
        </w:rPr>
        <w:footnoteReference w:id="21"/>
      </w:r>
      <w:r>
        <w:rPr>
          <w:rFonts w:ascii="Arial" w:eastAsia="Arial" w:hAnsi="Arial" w:cs="Arial"/>
          <w:sz w:val="24"/>
          <w:szCs w:val="24"/>
        </w:rPr>
        <w:t xml:space="preserve"> se tuvo a la </w:t>
      </w:r>
      <w:r>
        <w:rPr>
          <w:rFonts w:ascii="Arial" w:eastAsia="Arial" w:hAnsi="Arial" w:cs="Arial"/>
          <w:i/>
          <w:iCs/>
          <w:sz w:val="24"/>
          <w:szCs w:val="24"/>
        </w:rPr>
        <w:t>Secretaría de Igualdad</w:t>
      </w:r>
      <w:r>
        <w:rPr>
          <w:rFonts w:ascii="Arial" w:eastAsia="Arial" w:hAnsi="Arial" w:cs="Arial"/>
          <w:sz w:val="24"/>
          <w:szCs w:val="24"/>
        </w:rPr>
        <w:t xml:space="preserve"> incumpliendo con el requerimiento que le fue efectuado mediante acuerdo de ocho de septiembre, y al resultar necesaria la reprogramación de las capacitaciones, se le volvió a requerir para que reagendara las mismas.</w:t>
      </w:r>
      <w:r>
        <w:rPr>
          <w:rFonts w:ascii="Arial" w:eastAsia="Arial" w:hAnsi="Arial" w:cs="Arial"/>
          <w:b/>
          <w:bCs/>
          <w:sz w:val="24"/>
          <w:szCs w:val="24"/>
        </w:rPr>
        <w:t xml:space="preserve"> </w:t>
      </w:r>
    </w:p>
    <w:p w14:paraId="7D592E2A" w14:textId="77777777" w:rsidR="009E02A1" w:rsidRDefault="009E02A1">
      <w:pPr>
        <w:spacing w:after="0" w:line="360" w:lineRule="auto"/>
        <w:ind w:right="51"/>
        <w:jc w:val="both"/>
        <w:rPr>
          <w:rFonts w:ascii="Arial" w:eastAsia="Arial" w:hAnsi="Arial" w:cs="Arial"/>
          <w:b/>
          <w:bCs/>
          <w:sz w:val="24"/>
          <w:szCs w:val="24"/>
        </w:rPr>
      </w:pPr>
    </w:p>
    <w:p w14:paraId="614D0B6D" w14:textId="77777777" w:rsidR="009E02A1" w:rsidRDefault="00000000">
      <w:pPr>
        <w:spacing w:after="0" w:line="360" w:lineRule="auto"/>
        <w:ind w:right="51"/>
        <w:jc w:val="both"/>
        <w:rPr>
          <w:rFonts w:ascii="Arial" w:eastAsia="Arial" w:hAnsi="Arial" w:cs="Arial"/>
          <w:sz w:val="24"/>
          <w:szCs w:val="24"/>
        </w:rPr>
      </w:pPr>
      <w:r>
        <w:rPr>
          <w:rFonts w:ascii="Arial" w:eastAsia="Arial" w:hAnsi="Arial" w:cs="Arial"/>
          <w:b/>
          <w:bCs/>
          <w:sz w:val="24"/>
          <w:szCs w:val="24"/>
        </w:rPr>
        <w:t xml:space="preserve">15. Cumplimiento de requerimiento y requerimiento. </w:t>
      </w:r>
      <w:r>
        <w:rPr>
          <w:rFonts w:ascii="Arial" w:eastAsia="Arial" w:hAnsi="Arial" w:cs="Arial"/>
          <w:sz w:val="24"/>
          <w:szCs w:val="24"/>
        </w:rPr>
        <w:t>Mediante acuerdo de catorce de octubre,</w:t>
      </w:r>
      <w:r>
        <w:rPr>
          <w:rFonts w:ascii="Arial" w:eastAsia="Arial" w:hAnsi="Arial" w:cs="Arial"/>
          <w:sz w:val="24"/>
          <w:szCs w:val="24"/>
          <w:vertAlign w:val="superscript"/>
        </w:rPr>
        <w:footnoteReference w:id="22"/>
      </w:r>
      <w:r>
        <w:rPr>
          <w:rFonts w:ascii="Arial" w:eastAsia="Arial" w:hAnsi="Arial" w:cs="Arial"/>
          <w:sz w:val="24"/>
          <w:szCs w:val="24"/>
        </w:rPr>
        <w:t xml:space="preserve"> se tuvo a la </w:t>
      </w:r>
      <w:r>
        <w:rPr>
          <w:rFonts w:ascii="Arial" w:eastAsia="Arial" w:hAnsi="Arial" w:cs="Arial"/>
          <w:i/>
          <w:iCs/>
          <w:sz w:val="24"/>
          <w:szCs w:val="24"/>
        </w:rPr>
        <w:t>Secretaría de Igualdad</w:t>
      </w:r>
      <w:r>
        <w:rPr>
          <w:rFonts w:ascii="Arial" w:eastAsia="Arial" w:hAnsi="Arial" w:cs="Arial"/>
          <w:sz w:val="24"/>
          <w:szCs w:val="24"/>
        </w:rPr>
        <w:t xml:space="preserve"> cumpliendo con el requerimiento efectuado mediante acuerdo de seis de octubre, sin embargo, toda vez que el programa de capacitaciones no coincidía con el propuesto de inicio, se le requirió para que precisara el programa completo. </w:t>
      </w:r>
    </w:p>
    <w:p w14:paraId="63BC2C56" w14:textId="77777777" w:rsidR="009E02A1" w:rsidRDefault="009E02A1">
      <w:pPr>
        <w:spacing w:after="0" w:line="360" w:lineRule="auto"/>
        <w:ind w:right="51"/>
        <w:jc w:val="both"/>
        <w:rPr>
          <w:rFonts w:ascii="Arial" w:eastAsia="Arial" w:hAnsi="Arial" w:cs="Arial"/>
          <w:b/>
          <w:bCs/>
          <w:sz w:val="24"/>
          <w:szCs w:val="24"/>
        </w:rPr>
      </w:pPr>
    </w:p>
    <w:p w14:paraId="44FDD3FB" w14:textId="77777777" w:rsidR="009E02A1" w:rsidRDefault="00000000">
      <w:pPr>
        <w:spacing w:after="0" w:line="360" w:lineRule="auto"/>
        <w:ind w:right="51"/>
        <w:jc w:val="both"/>
        <w:rPr>
          <w:rFonts w:ascii="Arial" w:eastAsia="Arial" w:hAnsi="Arial" w:cs="Arial"/>
          <w:sz w:val="24"/>
          <w:szCs w:val="24"/>
        </w:rPr>
      </w:pPr>
      <w:r>
        <w:rPr>
          <w:rFonts w:ascii="Arial" w:eastAsia="Arial" w:hAnsi="Arial" w:cs="Arial"/>
          <w:b/>
          <w:bCs/>
          <w:sz w:val="24"/>
          <w:szCs w:val="24"/>
        </w:rPr>
        <w:t xml:space="preserve">16. Cumplimiento de requerimiento y solicitud de notificación. </w:t>
      </w:r>
      <w:r>
        <w:rPr>
          <w:rFonts w:ascii="Arial" w:eastAsia="Arial" w:hAnsi="Arial" w:cs="Arial"/>
          <w:sz w:val="24"/>
          <w:szCs w:val="24"/>
        </w:rPr>
        <w:t>Mediante acuerdo dieciséis de octubre,</w:t>
      </w:r>
      <w:r>
        <w:rPr>
          <w:rFonts w:ascii="Arial" w:eastAsia="Arial" w:hAnsi="Arial" w:cs="Arial"/>
          <w:sz w:val="24"/>
          <w:szCs w:val="24"/>
          <w:vertAlign w:val="superscript"/>
        </w:rPr>
        <w:footnoteReference w:id="23"/>
      </w:r>
      <w:r>
        <w:rPr>
          <w:rFonts w:ascii="Arial" w:eastAsia="Arial" w:hAnsi="Arial" w:cs="Arial"/>
          <w:sz w:val="24"/>
          <w:szCs w:val="24"/>
        </w:rPr>
        <w:t xml:space="preserve"> se tuvo a la </w:t>
      </w:r>
      <w:r>
        <w:rPr>
          <w:rFonts w:ascii="Arial" w:eastAsia="Arial" w:hAnsi="Arial" w:cs="Arial"/>
          <w:i/>
          <w:iCs/>
          <w:sz w:val="24"/>
          <w:szCs w:val="24"/>
        </w:rPr>
        <w:t>Secretaría de Igualdad</w:t>
      </w:r>
      <w:r>
        <w:rPr>
          <w:rFonts w:ascii="Arial" w:eastAsia="Arial" w:hAnsi="Arial" w:cs="Arial"/>
          <w:sz w:val="24"/>
          <w:szCs w:val="24"/>
        </w:rPr>
        <w:t xml:space="preserve"> cumpliendo con el requerimiento efectuado por la Ponencia instructora mediante acuerdo de catorce de octubre. Asimismo, toda vez que dicha Secretaría reprogramó las capacitaciones y solicitó a este </w:t>
      </w:r>
      <w:r>
        <w:rPr>
          <w:rFonts w:ascii="Arial" w:eastAsia="Arial" w:hAnsi="Arial" w:cs="Arial"/>
          <w:i/>
          <w:iCs/>
          <w:sz w:val="24"/>
          <w:szCs w:val="24"/>
        </w:rPr>
        <w:t xml:space="preserve">Tribunal Electoral </w:t>
      </w:r>
      <w:r>
        <w:rPr>
          <w:rFonts w:ascii="Arial" w:eastAsia="Arial" w:hAnsi="Arial" w:cs="Arial"/>
          <w:sz w:val="24"/>
          <w:szCs w:val="24"/>
        </w:rPr>
        <w:t xml:space="preserve">notificar las fechas al </w:t>
      </w:r>
      <w:r>
        <w:rPr>
          <w:rFonts w:ascii="Arial" w:eastAsia="Arial" w:hAnsi="Arial" w:cs="Arial"/>
          <w:i/>
          <w:iCs/>
          <w:sz w:val="24"/>
          <w:szCs w:val="24"/>
        </w:rPr>
        <w:t>denunciado</w:t>
      </w:r>
      <w:r>
        <w:rPr>
          <w:rFonts w:ascii="Arial" w:eastAsia="Arial" w:hAnsi="Arial" w:cs="Arial"/>
          <w:sz w:val="24"/>
          <w:szCs w:val="24"/>
        </w:rPr>
        <w:t>, se ordenó practicar la notificación solicitada.</w:t>
      </w:r>
    </w:p>
    <w:p w14:paraId="58BA1DDF" w14:textId="77777777" w:rsidR="009E02A1" w:rsidRDefault="009E02A1">
      <w:pPr>
        <w:spacing w:after="0" w:line="360" w:lineRule="auto"/>
        <w:ind w:right="51"/>
        <w:jc w:val="both"/>
        <w:rPr>
          <w:rFonts w:ascii="Arial" w:eastAsia="Arial" w:hAnsi="Arial" w:cs="Arial"/>
          <w:b/>
          <w:bCs/>
          <w:sz w:val="24"/>
          <w:szCs w:val="24"/>
        </w:rPr>
      </w:pPr>
    </w:p>
    <w:p w14:paraId="7718DE1B" w14:textId="77777777" w:rsidR="009E02A1" w:rsidRDefault="00000000">
      <w:pPr>
        <w:spacing w:after="0" w:line="360" w:lineRule="auto"/>
        <w:ind w:right="51"/>
        <w:jc w:val="both"/>
        <w:rPr>
          <w:rFonts w:ascii="Arial" w:eastAsia="Arial" w:hAnsi="Arial" w:cs="Arial"/>
          <w:sz w:val="24"/>
          <w:szCs w:val="24"/>
        </w:rPr>
      </w:pPr>
      <w:r>
        <w:rPr>
          <w:rFonts w:ascii="Arial" w:eastAsia="Arial" w:hAnsi="Arial" w:cs="Arial"/>
          <w:b/>
          <w:bCs/>
          <w:sz w:val="24"/>
          <w:szCs w:val="24"/>
        </w:rPr>
        <w:t xml:space="preserve">17. Requerimiento y cumplimiento. </w:t>
      </w:r>
      <w:r>
        <w:rPr>
          <w:rFonts w:ascii="Arial" w:eastAsia="Arial" w:hAnsi="Arial" w:cs="Arial"/>
          <w:sz w:val="24"/>
          <w:szCs w:val="24"/>
        </w:rPr>
        <w:t>Mediante acuerdo de once de noviembre,</w:t>
      </w:r>
      <w:r>
        <w:rPr>
          <w:rFonts w:ascii="Arial" w:eastAsia="Arial" w:hAnsi="Arial" w:cs="Arial"/>
          <w:sz w:val="24"/>
          <w:szCs w:val="24"/>
          <w:vertAlign w:val="superscript"/>
        </w:rPr>
        <w:footnoteReference w:id="24"/>
      </w:r>
      <w:r>
        <w:rPr>
          <w:rFonts w:ascii="Arial" w:eastAsia="Arial" w:hAnsi="Arial" w:cs="Arial"/>
          <w:sz w:val="24"/>
          <w:szCs w:val="24"/>
        </w:rPr>
        <w:t xml:space="preserve"> se requirió a la </w:t>
      </w:r>
      <w:r>
        <w:rPr>
          <w:rFonts w:ascii="Arial" w:eastAsia="Arial" w:hAnsi="Arial" w:cs="Arial"/>
          <w:i/>
          <w:iCs/>
          <w:sz w:val="24"/>
          <w:szCs w:val="24"/>
        </w:rPr>
        <w:t xml:space="preserve">Secretaría de Igualdad </w:t>
      </w:r>
      <w:r>
        <w:rPr>
          <w:rFonts w:ascii="Arial" w:eastAsia="Arial" w:hAnsi="Arial" w:cs="Arial"/>
          <w:sz w:val="24"/>
          <w:szCs w:val="24"/>
        </w:rPr>
        <w:t xml:space="preserve">a efecto de que informara si el </w:t>
      </w:r>
      <w:r>
        <w:rPr>
          <w:rFonts w:ascii="Arial" w:eastAsia="Arial" w:hAnsi="Arial" w:cs="Arial"/>
          <w:i/>
          <w:iCs/>
          <w:sz w:val="24"/>
          <w:szCs w:val="24"/>
        </w:rPr>
        <w:t>denunciado</w:t>
      </w:r>
      <w:r>
        <w:rPr>
          <w:rFonts w:ascii="Arial" w:eastAsia="Arial" w:hAnsi="Arial" w:cs="Arial"/>
          <w:sz w:val="24"/>
          <w:szCs w:val="24"/>
        </w:rPr>
        <w:t xml:space="preserve"> asistió a las capacitaciones reprogramadas para ser impartidas del tres al siete de noviembre, el cual se tuvo por cumplido mediante acuerdo de catorce de noviembre.</w:t>
      </w:r>
      <w:r>
        <w:rPr>
          <w:rFonts w:ascii="Arial" w:eastAsia="Arial" w:hAnsi="Arial" w:cs="Arial"/>
          <w:sz w:val="24"/>
          <w:szCs w:val="24"/>
          <w:vertAlign w:val="superscript"/>
        </w:rPr>
        <w:footnoteReference w:id="25"/>
      </w:r>
      <w:r>
        <w:rPr>
          <w:rFonts w:ascii="Arial" w:eastAsia="Arial" w:hAnsi="Arial" w:cs="Arial"/>
          <w:sz w:val="24"/>
          <w:szCs w:val="24"/>
        </w:rPr>
        <w:t xml:space="preserve"> </w:t>
      </w:r>
    </w:p>
    <w:p w14:paraId="100DB9CF" w14:textId="77777777" w:rsidR="009E02A1" w:rsidRDefault="009E02A1">
      <w:pPr>
        <w:spacing w:after="0" w:line="360" w:lineRule="auto"/>
        <w:ind w:right="51"/>
        <w:jc w:val="both"/>
        <w:rPr>
          <w:rFonts w:ascii="Arial" w:eastAsia="Arial" w:hAnsi="Arial" w:cs="Arial"/>
          <w:sz w:val="24"/>
          <w:szCs w:val="24"/>
        </w:rPr>
      </w:pPr>
    </w:p>
    <w:p w14:paraId="799DE162" w14:textId="77777777" w:rsidR="009E02A1" w:rsidRDefault="00000000">
      <w:pPr>
        <w:spacing w:after="0" w:line="360" w:lineRule="auto"/>
        <w:jc w:val="center"/>
        <w:rPr>
          <w:rFonts w:ascii="Arial" w:eastAsia="Arial" w:hAnsi="Arial" w:cs="Arial"/>
          <w:b/>
          <w:bCs/>
          <w:sz w:val="24"/>
          <w:szCs w:val="24"/>
        </w:rPr>
      </w:pPr>
      <w:bookmarkStart w:id="3" w:name="_heading=h.yyyzh4iaiq32" w:colFirst="0" w:colLast="0"/>
      <w:bookmarkEnd w:id="3"/>
      <w:r>
        <w:rPr>
          <w:rFonts w:ascii="Arial" w:eastAsia="Arial" w:hAnsi="Arial" w:cs="Arial"/>
          <w:b/>
          <w:bCs/>
          <w:sz w:val="24"/>
          <w:szCs w:val="24"/>
        </w:rPr>
        <w:t>II. COMPETENCIA</w:t>
      </w:r>
    </w:p>
    <w:p w14:paraId="38DC6CBB" w14:textId="77777777" w:rsidR="009E02A1" w:rsidRDefault="009E02A1">
      <w:pPr>
        <w:spacing w:after="0" w:line="360" w:lineRule="auto"/>
        <w:jc w:val="center"/>
        <w:rPr>
          <w:rFonts w:ascii="Arial" w:eastAsia="Arial" w:hAnsi="Arial" w:cs="Arial"/>
          <w:b/>
          <w:bCs/>
          <w:sz w:val="24"/>
          <w:szCs w:val="24"/>
        </w:rPr>
      </w:pPr>
    </w:p>
    <w:p w14:paraId="7B440CC9"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El Pleno del </w:t>
      </w:r>
      <w:r>
        <w:rPr>
          <w:rFonts w:ascii="Arial" w:eastAsia="Arial" w:hAnsi="Arial" w:cs="Arial"/>
          <w:i/>
          <w:iCs/>
          <w:sz w:val="24"/>
          <w:szCs w:val="24"/>
        </w:rPr>
        <w:t xml:space="preserve">Tribunal Electoral </w:t>
      </w:r>
      <w:r>
        <w:rPr>
          <w:rFonts w:ascii="Arial" w:eastAsia="Arial" w:hAnsi="Arial" w:cs="Arial"/>
          <w:sz w:val="24"/>
          <w:szCs w:val="24"/>
        </w:rPr>
        <w:t xml:space="preserve">es competente para conocer y acordar sobre el cumplimiento de una sentencia que este mismo </w:t>
      </w:r>
      <w:r>
        <w:rPr>
          <w:rFonts w:ascii="Arial" w:eastAsia="Arial" w:hAnsi="Arial" w:cs="Arial"/>
          <w:i/>
          <w:iCs/>
          <w:sz w:val="24"/>
          <w:szCs w:val="24"/>
        </w:rPr>
        <w:t xml:space="preserve">Órgano jurisdiccional </w:t>
      </w:r>
      <w:r>
        <w:rPr>
          <w:rFonts w:ascii="Arial" w:eastAsia="Arial" w:hAnsi="Arial" w:cs="Arial"/>
          <w:sz w:val="24"/>
          <w:szCs w:val="24"/>
        </w:rPr>
        <w:t xml:space="preserve">dictó; ello, en atención a que la competencia que tiene para resolver el procedimiento principal </w:t>
      </w:r>
      <w:r>
        <w:rPr>
          <w:rFonts w:ascii="Arial" w:eastAsia="Arial" w:hAnsi="Arial" w:cs="Arial"/>
          <w:sz w:val="24"/>
          <w:szCs w:val="24"/>
        </w:rPr>
        <w:lastRenderedPageBreak/>
        <w:t>incluye también la facultad para velar por el correcto cumplimiento y ejecución de sus resoluciones.</w:t>
      </w:r>
    </w:p>
    <w:p w14:paraId="7CAB6677" w14:textId="77777777" w:rsidR="009E02A1" w:rsidRDefault="009E02A1">
      <w:pPr>
        <w:spacing w:after="0" w:line="360" w:lineRule="auto"/>
        <w:jc w:val="both"/>
        <w:rPr>
          <w:rFonts w:ascii="Arial" w:eastAsia="Arial" w:hAnsi="Arial" w:cs="Arial"/>
          <w:sz w:val="24"/>
          <w:szCs w:val="24"/>
        </w:rPr>
      </w:pPr>
    </w:p>
    <w:p w14:paraId="5686CF5A"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Lo anterior, con fundamento en los artículos 98 A de la Constitución Política de los Estados Unidos Mexicanos</w:t>
      </w:r>
      <w:r>
        <w:rPr>
          <w:rFonts w:ascii="Arial" w:eastAsia="Arial" w:hAnsi="Arial" w:cs="Arial"/>
          <w:sz w:val="24"/>
          <w:szCs w:val="24"/>
          <w:vertAlign w:val="superscript"/>
        </w:rPr>
        <w:footnoteReference w:id="26"/>
      </w:r>
      <w:r>
        <w:rPr>
          <w:rFonts w:ascii="Arial" w:eastAsia="Arial" w:hAnsi="Arial" w:cs="Arial"/>
          <w:sz w:val="24"/>
          <w:szCs w:val="24"/>
        </w:rPr>
        <w:t>, 60, 64 fracción XIII, 66, fracciones II y III del Código Electoral del Estado de Michoacán de Ocampo</w:t>
      </w:r>
      <w:r>
        <w:rPr>
          <w:rFonts w:ascii="Arial" w:eastAsia="Arial" w:hAnsi="Arial" w:cs="Arial"/>
          <w:sz w:val="24"/>
          <w:szCs w:val="24"/>
          <w:vertAlign w:val="superscript"/>
        </w:rPr>
        <w:footnoteReference w:id="27"/>
      </w:r>
      <w:r>
        <w:rPr>
          <w:rFonts w:ascii="Arial" w:eastAsia="Arial" w:hAnsi="Arial" w:cs="Arial"/>
          <w:sz w:val="24"/>
          <w:szCs w:val="24"/>
        </w:rPr>
        <w:t>; así como en la jurisprudencia 24/2001, emitida por la Sala Superior del Tribunal Electoral del Poder Judicial de la Federación,</w:t>
      </w:r>
      <w:r>
        <w:rPr>
          <w:rFonts w:ascii="Arial" w:eastAsia="Arial" w:hAnsi="Arial" w:cs="Arial"/>
          <w:sz w:val="24"/>
          <w:szCs w:val="24"/>
          <w:vertAlign w:val="superscript"/>
        </w:rPr>
        <w:footnoteReference w:id="28"/>
      </w:r>
      <w:r>
        <w:rPr>
          <w:rFonts w:ascii="Arial" w:eastAsia="Arial" w:hAnsi="Arial" w:cs="Arial"/>
          <w:sz w:val="24"/>
          <w:szCs w:val="24"/>
        </w:rPr>
        <w:t xml:space="preserve"> de rubro: “</w:t>
      </w:r>
      <w:r>
        <w:rPr>
          <w:rFonts w:ascii="Arial" w:eastAsia="Arial" w:hAnsi="Arial" w:cs="Arial"/>
          <w:i/>
          <w:iCs/>
          <w:sz w:val="24"/>
          <w:szCs w:val="24"/>
        </w:rPr>
        <w:t>TRIBUNAL ELECTORAL DEL PODER JUDICIAL DE LA FEDERACIÓN. ESTÁ FACULTADO CONSTITUCIONALMENTE PARA EXIGIR EL CUMPLIMIENTO DE TODAS SUS RESOLUCIONES”.</w:t>
      </w:r>
      <w:r>
        <w:rPr>
          <w:rFonts w:ascii="Arial" w:eastAsia="Arial" w:hAnsi="Arial" w:cs="Arial"/>
          <w:sz w:val="24"/>
          <w:szCs w:val="24"/>
        </w:rPr>
        <w:t xml:space="preserve"> </w:t>
      </w:r>
    </w:p>
    <w:p w14:paraId="0CCD8DBC" w14:textId="77777777" w:rsidR="009E02A1" w:rsidRDefault="009E02A1">
      <w:pPr>
        <w:spacing w:after="0" w:line="360" w:lineRule="auto"/>
        <w:jc w:val="both"/>
        <w:rPr>
          <w:rFonts w:ascii="Arial" w:eastAsia="Arial" w:hAnsi="Arial" w:cs="Arial"/>
          <w:sz w:val="24"/>
          <w:szCs w:val="24"/>
        </w:rPr>
      </w:pPr>
    </w:p>
    <w:p w14:paraId="44C31733" w14:textId="77777777" w:rsidR="009E02A1" w:rsidRDefault="00000000">
      <w:pPr>
        <w:spacing w:after="0" w:line="360" w:lineRule="auto"/>
        <w:jc w:val="center"/>
        <w:rPr>
          <w:rFonts w:ascii="Arial" w:eastAsia="Arial" w:hAnsi="Arial" w:cs="Arial"/>
          <w:b/>
          <w:bCs/>
          <w:sz w:val="24"/>
          <w:szCs w:val="24"/>
        </w:rPr>
      </w:pPr>
      <w:r>
        <w:rPr>
          <w:rFonts w:ascii="Arial" w:eastAsia="Arial" w:hAnsi="Arial" w:cs="Arial"/>
          <w:b/>
          <w:bCs/>
          <w:sz w:val="24"/>
          <w:szCs w:val="24"/>
        </w:rPr>
        <w:t>III. NOMBRAMIENTO DE MAGISTRATURAS</w:t>
      </w:r>
    </w:p>
    <w:p w14:paraId="0B5DD852" w14:textId="77777777" w:rsidR="009E02A1" w:rsidRDefault="009E02A1">
      <w:pPr>
        <w:spacing w:after="0" w:line="360" w:lineRule="auto"/>
        <w:jc w:val="center"/>
        <w:rPr>
          <w:rFonts w:ascii="Arial" w:eastAsia="Arial" w:hAnsi="Arial" w:cs="Arial"/>
          <w:b/>
          <w:bCs/>
          <w:sz w:val="24"/>
          <w:szCs w:val="24"/>
        </w:rPr>
      </w:pPr>
    </w:p>
    <w:p w14:paraId="2A407EA2"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Se hace del conocimiento de las partes que el nueve de abril, el Senado de la República eligió a </w:t>
      </w:r>
      <w:proofErr w:type="spellStart"/>
      <w:r>
        <w:rPr>
          <w:rFonts w:ascii="Arial" w:eastAsia="Arial" w:hAnsi="Arial" w:cs="Arial"/>
          <w:sz w:val="24"/>
          <w:szCs w:val="24"/>
        </w:rPr>
        <w:t>Amelí</w:t>
      </w:r>
      <w:proofErr w:type="spellEnd"/>
      <w:r>
        <w:rPr>
          <w:rFonts w:ascii="Arial" w:eastAsia="Arial" w:hAnsi="Arial" w:cs="Arial"/>
          <w:sz w:val="24"/>
          <w:szCs w:val="24"/>
        </w:rPr>
        <w:t xml:space="preserve"> </w:t>
      </w:r>
      <w:proofErr w:type="spellStart"/>
      <w:r>
        <w:rPr>
          <w:rFonts w:ascii="Arial" w:eastAsia="Arial" w:hAnsi="Arial" w:cs="Arial"/>
          <w:sz w:val="24"/>
          <w:szCs w:val="24"/>
        </w:rPr>
        <w:t>Gissel</w:t>
      </w:r>
      <w:proofErr w:type="spellEnd"/>
      <w:r>
        <w:rPr>
          <w:rFonts w:ascii="Arial" w:eastAsia="Arial" w:hAnsi="Arial" w:cs="Arial"/>
          <w:sz w:val="24"/>
          <w:szCs w:val="24"/>
        </w:rPr>
        <w:t xml:space="preserve"> Navarro Lepe, Adrián Hernández Pinedo y Eric López Villaseñor, como Magistrada y Magistrados de este </w:t>
      </w:r>
      <w:r>
        <w:rPr>
          <w:rFonts w:ascii="Arial" w:eastAsia="Arial" w:hAnsi="Arial" w:cs="Arial"/>
          <w:i/>
          <w:iCs/>
          <w:sz w:val="24"/>
          <w:szCs w:val="24"/>
        </w:rPr>
        <w:t>Tribunal Electoral.</w:t>
      </w:r>
      <w:r>
        <w:rPr>
          <w:rFonts w:ascii="Arial" w:eastAsia="Arial" w:hAnsi="Arial" w:cs="Arial"/>
          <w:sz w:val="24"/>
          <w:szCs w:val="24"/>
          <w:vertAlign w:val="superscript"/>
        </w:rPr>
        <w:footnoteReference w:id="29"/>
      </w:r>
    </w:p>
    <w:p w14:paraId="0746D337" w14:textId="77777777" w:rsidR="009E02A1" w:rsidRDefault="009E02A1">
      <w:pPr>
        <w:spacing w:after="0" w:line="360" w:lineRule="auto"/>
        <w:jc w:val="both"/>
        <w:rPr>
          <w:rFonts w:ascii="Arial" w:eastAsia="Arial" w:hAnsi="Arial" w:cs="Arial"/>
          <w:sz w:val="24"/>
          <w:szCs w:val="24"/>
        </w:rPr>
      </w:pPr>
    </w:p>
    <w:p w14:paraId="43218799" w14:textId="77777777" w:rsidR="009E02A1" w:rsidRDefault="00000000">
      <w:pPr>
        <w:spacing w:after="0" w:line="360" w:lineRule="auto"/>
        <w:jc w:val="center"/>
        <w:rPr>
          <w:rFonts w:ascii="Arial" w:eastAsia="Arial" w:hAnsi="Arial" w:cs="Arial"/>
          <w:b/>
          <w:bCs/>
          <w:sz w:val="24"/>
          <w:szCs w:val="24"/>
        </w:rPr>
      </w:pPr>
      <w:bookmarkStart w:id="4" w:name="_heading=h.a1u15nu91r7w" w:colFirst="0" w:colLast="0"/>
      <w:bookmarkEnd w:id="4"/>
      <w:r>
        <w:rPr>
          <w:rFonts w:ascii="Arial" w:eastAsia="Arial" w:hAnsi="Arial" w:cs="Arial"/>
          <w:b/>
          <w:bCs/>
          <w:sz w:val="24"/>
          <w:szCs w:val="24"/>
        </w:rPr>
        <w:t>IV.</w:t>
      </w:r>
      <w:r>
        <w:rPr>
          <w:rFonts w:ascii="Arial" w:eastAsia="Arial" w:hAnsi="Arial" w:cs="Arial"/>
          <w:sz w:val="24"/>
          <w:szCs w:val="24"/>
        </w:rPr>
        <w:t xml:space="preserve"> </w:t>
      </w:r>
      <w:r>
        <w:rPr>
          <w:rFonts w:ascii="Arial" w:eastAsia="Arial" w:hAnsi="Arial" w:cs="Arial"/>
          <w:b/>
          <w:bCs/>
          <w:sz w:val="24"/>
          <w:szCs w:val="24"/>
        </w:rPr>
        <w:t>EFECTOS DE LA SENTENCIA</w:t>
      </w:r>
    </w:p>
    <w:p w14:paraId="785BCF45" w14:textId="77777777" w:rsidR="009E02A1" w:rsidRDefault="009E02A1">
      <w:pPr>
        <w:spacing w:after="0" w:line="360" w:lineRule="auto"/>
        <w:jc w:val="center"/>
        <w:rPr>
          <w:rFonts w:ascii="Arial" w:eastAsia="Arial" w:hAnsi="Arial" w:cs="Arial"/>
          <w:b/>
          <w:bCs/>
          <w:sz w:val="24"/>
          <w:szCs w:val="24"/>
        </w:rPr>
      </w:pPr>
    </w:p>
    <w:p w14:paraId="752B9056" w14:textId="77777777" w:rsidR="009E02A1" w:rsidRDefault="00000000">
      <w:pPr>
        <w:spacing w:after="0" w:line="360" w:lineRule="auto"/>
        <w:ind w:right="51"/>
        <w:jc w:val="both"/>
        <w:rPr>
          <w:rFonts w:ascii="Arial" w:eastAsia="Arial" w:hAnsi="Arial" w:cs="Arial"/>
          <w:sz w:val="24"/>
          <w:szCs w:val="24"/>
        </w:rPr>
      </w:pPr>
      <w:r>
        <w:rPr>
          <w:rFonts w:ascii="Arial" w:eastAsia="Arial" w:hAnsi="Arial" w:cs="Arial"/>
          <w:sz w:val="24"/>
          <w:szCs w:val="24"/>
        </w:rPr>
        <w:t xml:space="preserve">Este </w:t>
      </w:r>
      <w:r>
        <w:rPr>
          <w:rFonts w:ascii="Arial" w:eastAsia="Arial" w:hAnsi="Arial" w:cs="Arial"/>
          <w:i/>
          <w:iCs/>
          <w:sz w:val="24"/>
          <w:szCs w:val="24"/>
        </w:rPr>
        <w:t>Tribunal Electoral,</w:t>
      </w:r>
      <w:r>
        <w:rPr>
          <w:rFonts w:ascii="Arial" w:eastAsia="Arial" w:hAnsi="Arial" w:cs="Arial"/>
          <w:sz w:val="24"/>
          <w:szCs w:val="24"/>
        </w:rPr>
        <w:t xml:space="preserve"> en la sentencia emitida el trece de diciembre dentro del presente procedimiento especial sancionador, ordenó en lo que será materia de cumplimiento, lo siguiente: </w:t>
      </w:r>
    </w:p>
    <w:p w14:paraId="234D2044" w14:textId="77777777" w:rsidR="009E02A1" w:rsidRDefault="009E02A1">
      <w:pPr>
        <w:spacing w:after="0" w:line="360" w:lineRule="auto"/>
        <w:ind w:right="51"/>
        <w:jc w:val="both"/>
        <w:rPr>
          <w:rFonts w:ascii="Arial" w:eastAsia="Arial" w:hAnsi="Arial" w:cs="Arial"/>
          <w:sz w:val="24"/>
          <w:szCs w:val="24"/>
        </w:rPr>
      </w:pPr>
    </w:p>
    <w:p w14:paraId="60DB8F44" w14:textId="77777777" w:rsidR="009E02A1" w:rsidRDefault="00000000">
      <w:pPr>
        <w:numPr>
          <w:ilvl w:val="0"/>
          <w:numId w:val="11"/>
        </w:numPr>
        <w:pBdr>
          <w:top w:val="nil"/>
          <w:left w:val="nil"/>
          <w:bottom w:val="nil"/>
          <w:right w:val="nil"/>
          <w:between w:val="nil"/>
        </w:pBdr>
        <w:spacing w:after="0" w:line="360" w:lineRule="auto"/>
        <w:rPr>
          <w:rFonts w:ascii="Arial" w:eastAsia="Arial" w:hAnsi="Arial" w:cs="Arial"/>
          <w:b/>
          <w:bCs/>
          <w:color w:val="000000"/>
          <w:sz w:val="24"/>
          <w:szCs w:val="24"/>
        </w:rPr>
      </w:pPr>
      <w:bookmarkStart w:id="5" w:name="_heading=h.3b2zbvrdnj85" w:colFirst="0" w:colLast="0"/>
      <w:bookmarkEnd w:id="5"/>
      <w:r>
        <w:rPr>
          <w:rFonts w:ascii="Arial" w:eastAsia="Arial" w:hAnsi="Arial" w:cs="Arial"/>
          <w:b/>
          <w:bCs/>
          <w:color w:val="000000"/>
          <w:sz w:val="24"/>
          <w:szCs w:val="24"/>
        </w:rPr>
        <w:t>Medidas de no repetición</w:t>
      </w:r>
    </w:p>
    <w:p w14:paraId="6214173E" w14:textId="77777777" w:rsidR="009E02A1" w:rsidRDefault="009E02A1">
      <w:pPr>
        <w:pBdr>
          <w:top w:val="nil"/>
          <w:left w:val="nil"/>
          <w:bottom w:val="nil"/>
          <w:right w:val="nil"/>
          <w:between w:val="nil"/>
        </w:pBdr>
        <w:spacing w:after="0" w:line="360" w:lineRule="auto"/>
        <w:ind w:left="720"/>
        <w:rPr>
          <w:rFonts w:ascii="Arial" w:eastAsia="Arial" w:hAnsi="Arial" w:cs="Arial"/>
          <w:b/>
          <w:bCs/>
          <w:color w:val="000000"/>
          <w:sz w:val="24"/>
          <w:szCs w:val="24"/>
        </w:rPr>
      </w:pPr>
    </w:p>
    <w:p w14:paraId="37CC82CF" w14:textId="77777777" w:rsidR="009E02A1" w:rsidRDefault="00000000">
      <w:pPr>
        <w:numPr>
          <w:ilvl w:val="0"/>
          <w:numId w:val="12"/>
        </w:numPr>
        <w:pBdr>
          <w:top w:val="nil"/>
          <w:left w:val="nil"/>
          <w:bottom w:val="nil"/>
          <w:right w:val="nil"/>
          <w:between w:val="nil"/>
        </w:pBdr>
        <w:spacing w:after="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Capacitación en materia de Violencia Política en contra de la Mujer </w:t>
      </w:r>
      <w:proofErr w:type="gramStart"/>
      <w:r>
        <w:rPr>
          <w:rFonts w:ascii="Arial" w:eastAsia="Arial" w:hAnsi="Arial" w:cs="Arial"/>
          <w:b/>
          <w:bCs/>
          <w:color w:val="000000"/>
          <w:sz w:val="24"/>
          <w:szCs w:val="24"/>
        </w:rPr>
        <w:t>en Razón de</w:t>
      </w:r>
      <w:proofErr w:type="gramEnd"/>
      <w:r>
        <w:rPr>
          <w:rFonts w:ascii="Arial" w:eastAsia="Arial" w:hAnsi="Arial" w:cs="Arial"/>
          <w:b/>
          <w:bCs/>
          <w:color w:val="000000"/>
          <w:sz w:val="24"/>
          <w:szCs w:val="24"/>
        </w:rPr>
        <w:t xml:space="preserve"> Género</w:t>
      </w:r>
    </w:p>
    <w:p w14:paraId="3BC31E82"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color w:val="000000"/>
          <w:sz w:val="24"/>
          <w:szCs w:val="24"/>
        </w:rPr>
      </w:pPr>
    </w:p>
    <w:p w14:paraId="47763CDD" w14:textId="77777777" w:rsidR="009E02A1" w:rsidRDefault="00000000">
      <w:pPr>
        <w:numPr>
          <w:ilvl w:val="0"/>
          <w:numId w:val="10"/>
        </w:numPr>
        <w:pBdr>
          <w:top w:val="nil"/>
          <w:left w:val="nil"/>
          <w:bottom w:val="nil"/>
          <w:right w:val="nil"/>
          <w:between w:val="nil"/>
        </w:pBdr>
        <w:spacing w:after="0" w:line="360" w:lineRule="auto"/>
        <w:jc w:val="both"/>
        <w:rPr>
          <w:rFonts w:ascii="Arial" w:eastAsia="Arial" w:hAnsi="Arial" w:cs="Arial"/>
          <w:b/>
          <w:bCs/>
          <w:i/>
          <w:iCs/>
          <w:color w:val="000000"/>
          <w:sz w:val="24"/>
          <w:szCs w:val="24"/>
        </w:rPr>
      </w:pPr>
      <w:r>
        <w:rPr>
          <w:rFonts w:ascii="Arial" w:eastAsia="Arial" w:hAnsi="Arial" w:cs="Arial"/>
          <w:b/>
          <w:bCs/>
          <w:i/>
          <w:iCs/>
          <w:color w:val="000000"/>
          <w:sz w:val="24"/>
          <w:szCs w:val="24"/>
        </w:rPr>
        <w:t xml:space="preserve">Secretaria de Igualdad </w:t>
      </w:r>
      <w:r>
        <w:rPr>
          <w:rFonts w:ascii="Arial" w:eastAsia="Arial" w:hAnsi="Arial" w:cs="Arial"/>
          <w:b/>
          <w:bCs/>
          <w:color w:val="000000"/>
          <w:sz w:val="24"/>
          <w:szCs w:val="24"/>
        </w:rPr>
        <w:t>y</w:t>
      </w:r>
      <w:r>
        <w:rPr>
          <w:rFonts w:ascii="Arial" w:eastAsia="Arial" w:hAnsi="Arial" w:cs="Arial"/>
          <w:b/>
          <w:bCs/>
          <w:i/>
          <w:iCs/>
          <w:color w:val="000000"/>
          <w:sz w:val="24"/>
          <w:szCs w:val="24"/>
        </w:rPr>
        <w:t xml:space="preserve"> denunciado</w:t>
      </w:r>
    </w:p>
    <w:p w14:paraId="1E09C9BF"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i/>
          <w:iCs/>
          <w:color w:val="000000"/>
          <w:sz w:val="24"/>
          <w:szCs w:val="24"/>
        </w:rPr>
      </w:pPr>
    </w:p>
    <w:p w14:paraId="788D6798"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Se vinculó a la </w:t>
      </w:r>
      <w:r>
        <w:rPr>
          <w:rFonts w:ascii="Arial" w:eastAsia="Arial" w:hAnsi="Arial" w:cs="Arial"/>
          <w:i/>
          <w:iCs/>
          <w:sz w:val="24"/>
          <w:szCs w:val="24"/>
        </w:rPr>
        <w:t>Secretaría de Igualdad</w:t>
      </w:r>
      <w:r>
        <w:rPr>
          <w:rFonts w:ascii="Arial" w:eastAsia="Arial" w:hAnsi="Arial" w:cs="Arial"/>
          <w:sz w:val="24"/>
          <w:szCs w:val="24"/>
        </w:rPr>
        <w:t xml:space="preserve">, para que, a la brevedad, implementara un programa de capacitación sobre género y violencia política en materia digital, </w:t>
      </w:r>
      <w:r>
        <w:rPr>
          <w:rFonts w:ascii="Arial" w:eastAsia="Arial" w:hAnsi="Arial" w:cs="Arial"/>
          <w:sz w:val="24"/>
          <w:szCs w:val="24"/>
        </w:rPr>
        <w:lastRenderedPageBreak/>
        <w:t xml:space="preserve">impartido bajo la modalidad que estimara conveniente y una vez realizado, debía informarlo a este </w:t>
      </w:r>
      <w:r>
        <w:rPr>
          <w:rFonts w:ascii="Arial" w:eastAsia="Arial" w:hAnsi="Arial" w:cs="Arial"/>
          <w:i/>
          <w:iCs/>
          <w:sz w:val="24"/>
          <w:szCs w:val="24"/>
        </w:rPr>
        <w:t xml:space="preserve">Tribunal Electoral </w:t>
      </w:r>
      <w:r>
        <w:rPr>
          <w:rFonts w:ascii="Arial" w:eastAsia="Arial" w:hAnsi="Arial" w:cs="Arial"/>
          <w:sz w:val="24"/>
          <w:szCs w:val="24"/>
        </w:rPr>
        <w:t>una vez que concluyera dicha capacitación.</w:t>
      </w:r>
    </w:p>
    <w:p w14:paraId="63CC2FCC" w14:textId="77777777" w:rsidR="009E02A1" w:rsidRDefault="009E02A1">
      <w:pPr>
        <w:spacing w:after="0" w:line="360" w:lineRule="auto"/>
        <w:jc w:val="both"/>
        <w:rPr>
          <w:rFonts w:ascii="Arial" w:eastAsia="Arial" w:hAnsi="Arial" w:cs="Arial"/>
          <w:sz w:val="24"/>
          <w:szCs w:val="24"/>
        </w:rPr>
      </w:pPr>
    </w:p>
    <w:p w14:paraId="2B528F6F"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Por otra parte, se ordenó al </w:t>
      </w:r>
      <w:r>
        <w:rPr>
          <w:rFonts w:ascii="Arial" w:eastAsia="Arial" w:hAnsi="Arial" w:cs="Arial"/>
          <w:i/>
          <w:iCs/>
          <w:sz w:val="24"/>
          <w:szCs w:val="24"/>
        </w:rPr>
        <w:t>denunciado</w:t>
      </w:r>
      <w:r>
        <w:rPr>
          <w:rFonts w:ascii="Arial" w:eastAsia="Arial" w:hAnsi="Arial" w:cs="Arial"/>
          <w:sz w:val="24"/>
          <w:szCs w:val="24"/>
        </w:rPr>
        <w:t xml:space="preserve"> asistir al curso de capacitación, debiendo informar y acreditar ante este </w:t>
      </w:r>
      <w:r>
        <w:rPr>
          <w:rFonts w:ascii="Arial" w:eastAsia="Arial" w:hAnsi="Arial" w:cs="Arial"/>
          <w:i/>
          <w:iCs/>
          <w:sz w:val="24"/>
          <w:szCs w:val="24"/>
        </w:rPr>
        <w:t>Órgano jurisdiccional</w:t>
      </w:r>
      <w:r>
        <w:rPr>
          <w:rFonts w:ascii="Arial" w:eastAsia="Arial" w:hAnsi="Arial" w:cs="Arial"/>
          <w:sz w:val="24"/>
          <w:szCs w:val="24"/>
        </w:rPr>
        <w:t xml:space="preserve"> lo conducente. </w:t>
      </w:r>
    </w:p>
    <w:p w14:paraId="19556580"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 </w:t>
      </w:r>
    </w:p>
    <w:p w14:paraId="7C23A09C" w14:textId="77777777" w:rsidR="009E02A1" w:rsidRDefault="00000000">
      <w:pPr>
        <w:numPr>
          <w:ilvl w:val="0"/>
          <w:numId w:val="11"/>
        </w:numPr>
        <w:pBdr>
          <w:top w:val="nil"/>
          <w:left w:val="nil"/>
          <w:bottom w:val="nil"/>
          <w:right w:val="nil"/>
          <w:between w:val="nil"/>
        </w:pBdr>
        <w:spacing w:after="0" w:line="360" w:lineRule="auto"/>
        <w:rPr>
          <w:rFonts w:ascii="Arial" w:eastAsia="Arial" w:hAnsi="Arial" w:cs="Arial"/>
          <w:b/>
          <w:bCs/>
          <w:color w:val="000000"/>
          <w:sz w:val="24"/>
          <w:szCs w:val="24"/>
        </w:rPr>
      </w:pPr>
      <w:r>
        <w:rPr>
          <w:rFonts w:ascii="Arial" w:eastAsia="Arial" w:hAnsi="Arial" w:cs="Arial"/>
          <w:b/>
          <w:bCs/>
          <w:color w:val="000000"/>
          <w:sz w:val="24"/>
          <w:szCs w:val="24"/>
        </w:rPr>
        <w:t>Medidas de satisfacción</w:t>
      </w:r>
    </w:p>
    <w:p w14:paraId="7DD57AF4" w14:textId="77777777" w:rsidR="009E02A1" w:rsidRDefault="009E02A1">
      <w:pPr>
        <w:pBdr>
          <w:top w:val="nil"/>
          <w:left w:val="nil"/>
          <w:bottom w:val="nil"/>
          <w:right w:val="nil"/>
          <w:between w:val="nil"/>
        </w:pBdr>
        <w:spacing w:after="0" w:line="360" w:lineRule="auto"/>
        <w:ind w:left="720"/>
        <w:rPr>
          <w:rFonts w:ascii="Arial" w:eastAsia="Arial" w:hAnsi="Arial" w:cs="Arial"/>
          <w:b/>
          <w:bCs/>
          <w:color w:val="000000"/>
          <w:sz w:val="24"/>
          <w:szCs w:val="24"/>
        </w:rPr>
      </w:pPr>
    </w:p>
    <w:p w14:paraId="01DACD45" w14:textId="77777777" w:rsidR="009E02A1" w:rsidRDefault="00000000">
      <w:pPr>
        <w:numPr>
          <w:ilvl w:val="0"/>
          <w:numId w:val="13"/>
        </w:numPr>
        <w:pBdr>
          <w:top w:val="nil"/>
          <w:left w:val="nil"/>
          <w:bottom w:val="nil"/>
          <w:right w:val="nil"/>
          <w:between w:val="nil"/>
        </w:pBdr>
        <w:spacing w:after="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Publicación del resumen de la sentencia</w:t>
      </w:r>
    </w:p>
    <w:p w14:paraId="42016F76"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color w:val="000000"/>
          <w:sz w:val="24"/>
          <w:szCs w:val="24"/>
        </w:rPr>
      </w:pPr>
    </w:p>
    <w:p w14:paraId="4C1DDFD4" w14:textId="77777777" w:rsidR="009E02A1" w:rsidRDefault="00000000">
      <w:pPr>
        <w:numPr>
          <w:ilvl w:val="0"/>
          <w:numId w:val="10"/>
        </w:numPr>
        <w:pBdr>
          <w:top w:val="nil"/>
          <w:left w:val="nil"/>
          <w:bottom w:val="nil"/>
          <w:right w:val="nil"/>
          <w:between w:val="nil"/>
        </w:pBdr>
        <w:spacing w:after="0" w:line="360" w:lineRule="auto"/>
        <w:jc w:val="both"/>
        <w:rPr>
          <w:rFonts w:ascii="Arial" w:eastAsia="Arial" w:hAnsi="Arial" w:cs="Arial"/>
          <w:b/>
          <w:bCs/>
          <w:i/>
          <w:iCs/>
          <w:color w:val="000000"/>
          <w:sz w:val="24"/>
          <w:szCs w:val="24"/>
        </w:rPr>
      </w:pPr>
      <w:r>
        <w:rPr>
          <w:rFonts w:ascii="Arial" w:eastAsia="Arial" w:hAnsi="Arial" w:cs="Arial"/>
          <w:b/>
          <w:bCs/>
          <w:i/>
          <w:iCs/>
          <w:color w:val="000000"/>
          <w:sz w:val="24"/>
          <w:szCs w:val="24"/>
        </w:rPr>
        <w:t>Denunciado</w:t>
      </w:r>
    </w:p>
    <w:p w14:paraId="3120B051"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i/>
          <w:iCs/>
          <w:color w:val="000000"/>
          <w:sz w:val="24"/>
          <w:szCs w:val="24"/>
        </w:rPr>
      </w:pPr>
    </w:p>
    <w:p w14:paraId="4E18E745"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Se le ordenó la publicación del resumen de la sentencia, en sus cuentas de redes sociales o, en su defecto, en algún otro medio de comunicación social que resulte pertinente, durante el plazo de quince días naturales, a partir del día siguiente en que se le notificara la firmeza de la resolución.</w:t>
      </w:r>
    </w:p>
    <w:p w14:paraId="2C6D25B9" w14:textId="77777777" w:rsidR="009E02A1" w:rsidRDefault="009E02A1">
      <w:pPr>
        <w:spacing w:after="0" w:line="360" w:lineRule="auto"/>
        <w:jc w:val="both"/>
        <w:rPr>
          <w:rFonts w:ascii="Arial" w:eastAsia="Arial" w:hAnsi="Arial" w:cs="Arial"/>
          <w:sz w:val="24"/>
          <w:szCs w:val="24"/>
        </w:rPr>
      </w:pPr>
    </w:p>
    <w:p w14:paraId="724CF402" w14:textId="77777777" w:rsidR="009E02A1" w:rsidRDefault="00000000">
      <w:pPr>
        <w:numPr>
          <w:ilvl w:val="0"/>
          <w:numId w:val="10"/>
        </w:numPr>
        <w:pBdr>
          <w:top w:val="nil"/>
          <w:left w:val="nil"/>
          <w:bottom w:val="nil"/>
          <w:right w:val="nil"/>
          <w:between w:val="nil"/>
        </w:pBdr>
        <w:spacing w:after="0" w:line="360" w:lineRule="auto"/>
        <w:jc w:val="both"/>
        <w:rPr>
          <w:rFonts w:ascii="Arial" w:eastAsia="Arial" w:hAnsi="Arial" w:cs="Arial"/>
          <w:b/>
          <w:bCs/>
          <w:i/>
          <w:iCs/>
          <w:color w:val="000000"/>
          <w:sz w:val="24"/>
          <w:szCs w:val="24"/>
        </w:rPr>
      </w:pPr>
      <w:r>
        <w:rPr>
          <w:rFonts w:ascii="Arial" w:eastAsia="Arial" w:hAnsi="Arial" w:cs="Arial"/>
          <w:b/>
          <w:bCs/>
          <w:i/>
          <w:iCs/>
          <w:color w:val="000000"/>
          <w:sz w:val="24"/>
          <w:szCs w:val="24"/>
        </w:rPr>
        <w:t>SMRT</w:t>
      </w:r>
    </w:p>
    <w:p w14:paraId="0D39EDB6"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i/>
          <w:iCs/>
          <w:color w:val="000000"/>
          <w:sz w:val="24"/>
          <w:szCs w:val="24"/>
        </w:rPr>
      </w:pPr>
    </w:p>
    <w:p w14:paraId="026111B3"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Se le vinculó para el efecto de que difundiera el resumen oficial, mediante las frecuencias de radio con cobertura en el municipio de Charapan, Michoacán, por el plazo de tres días naturales, a partir de que se le notificara la firmeza de la resolución, debiendo informar a este </w:t>
      </w:r>
      <w:r>
        <w:rPr>
          <w:rFonts w:ascii="Arial" w:eastAsia="Arial" w:hAnsi="Arial" w:cs="Arial"/>
          <w:i/>
          <w:iCs/>
          <w:sz w:val="24"/>
          <w:szCs w:val="24"/>
        </w:rPr>
        <w:t>Tribunal Electoral</w:t>
      </w:r>
      <w:r>
        <w:rPr>
          <w:rFonts w:ascii="Arial" w:eastAsia="Arial" w:hAnsi="Arial" w:cs="Arial"/>
          <w:sz w:val="24"/>
          <w:szCs w:val="24"/>
        </w:rPr>
        <w:t xml:space="preserve"> dentro de los dos días hábiles siguientes a que ello ocurriera.</w:t>
      </w:r>
    </w:p>
    <w:p w14:paraId="60F0A471" w14:textId="77777777" w:rsidR="009E02A1" w:rsidRDefault="009E02A1">
      <w:pPr>
        <w:spacing w:after="0" w:line="360" w:lineRule="auto"/>
        <w:jc w:val="both"/>
        <w:rPr>
          <w:rFonts w:ascii="Arial" w:eastAsia="Arial" w:hAnsi="Arial" w:cs="Arial"/>
          <w:sz w:val="24"/>
          <w:szCs w:val="24"/>
        </w:rPr>
      </w:pPr>
    </w:p>
    <w:p w14:paraId="0AE16789" w14:textId="77777777" w:rsidR="009E02A1" w:rsidRDefault="00000000">
      <w:pPr>
        <w:spacing w:after="0" w:line="480" w:lineRule="auto"/>
        <w:jc w:val="both"/>
        <w:rPr>
          <w:rFonts w:ascii="Arial" w:eastAsia="Arial" w:hAnsi="Arial" w:cs="Arial"/>
          <w:sz w:val="24"/>
          <w:szCs w:val="24"/>
        </w:rPr>
      </w:pPr>
      <w:r>
        <w:rPr>
          <w:rFonts w:ascii="Arial" w:eastAsia="Arial" w:hAnsi="Arial" w:cs="Arial"/>
          <w:sz w:val="24"/>
          <w:szCs w:val="24"/>
        </w:rPr>
        <w:t>El resumen que debían publicar y difundir es el siguiente:</w:t>
      </w:r>
    </w:p>
    <w:p w14:paraId="044DAD25" w14:textId="77777777" w:rsidR="009E02A1" w:rsidRDefault="009E02A1">
      <w:pPr>
        <w:spacing w:after="0" w:line="480" w:lineRule="auto"/>
        <w:jc w:val="both"/>
        <w:rPr>
          <w:rFonts w:ascii="Arial" w:eastAsia="Arial" w:hAnsi="Arial" w:cs="Arial"/>
          <w:sz w:val="24"/>
          <w:szCs w:val="24"/>
        </w:rPr>
      </w:pPr>
    </w:p>
    <w:p w14:paraId="32F804A9" w14:textId="77777777" w:rsidR="009E02A1" w:rsidRDefault="00000000">
      <w:pPr>
        <w:spacing w:after="0" w:line="240" w:lineRule="auto"/>
        <w:ind w:left="567"/>
        <w:jc w:val="center"/>
        <w:rPr>
          <w:rFonts w:ascii="Arial" w:eastAsia="Arial" w:hAnsi="Arial" w:cs="Arial"/>
          <w:b/>
          <w:bCs/>
          <w:i/>
          <w:iCs/>
          <w:sz w:val="20"/>
          <w:szCs w:val="20"/>
        </w:rPr>
      </w:pPr>
      <w:r>
        <w:rPr>
          <w:rFonts w:ascii="Arial" w:eastAsia="Arial" w:hAnsi="Arial" w:cs="Arial"/>
          <w:b/>
          <w:bCs/>
          <w:i/>
          <w:iCs/>
          <w:sz w:val="20"/>
          <w:szCs w:val="20"/>
        </w:rPr>
        <w:t>“RESUMEN OFICIAL DE LA SENTENCIA</w:t>
      </w:r>
    </w:p>
    <w:p w14:paraId="6FD7A547" w14:textId="77777777" w:rsidR="009E02A1" w:rsidRDefault="00000000">
      <w:pPr>
        <w:spacing w:after="0" w:line="240" w:lineRule="auto"/>
        <w:ind w:left="567"/>
        <w:jc w:val="center"/>
        <w:rPr>
          <w:rFonts w:ascii="Arial" w:eastAsia="Arial" w:hAnsi="Arial" w:cs="Arial"/>
          <w:b/>
          <w:bCs/>
          <w:i/>
          <w:iCs/>
          <w:sz w:val="20"/>
          <w:szCs w:val="20"/>
        </w:rPr>
      </w:pPr>
      <w:r>
        <w:rPr>
          <w:rFonts w:ascii="Arial" w:eastAsia="Arial" w:hAnsi="Arial" w:cs="Arial"/>
          <w:b/>
          <w:bCs/>
          <w:i/>
          <w:iCs/>
          <w:sz w:val="20"/>
          <w:szCs w:val="20"/>
        </w:rPr>
        <w:t>TEEM-PES-VPMG-199/2024</w:t>
      </w:r>
    </w:p>
    <w:p w14:paraId="3EEC857C" w14:textId="77777777" w:rsidR="009E02A1" w:rsidRDefault="009E02A1">
      <w:pPr>
        <w:spacing w:after="0" w:line="240" w:lineRule="auto"/>
        <w:ind w:left="567"/>
        <w:jc w:val="both"/>
        <w:rPr>
          <w:rFonts w:ascii="Arial" w:eastAsia="Arial" w:hAnsi="Arial" w:cs="Arial"/>
          <w:i/>
          <w:iCs/>
          <w:sz w:val="20"/>
          <w:szCs w:val="20"/>
        </w:rPr>
      </w:pPr>
    </w:p>
    <w:p w14:paraId="12C9C715" w14:textId="77777777" w:rsidR="009E02A1" w:rsidRDefault="00000000">
      <w:pPr>
        <w:spacing w:after="0" w:line="240" w:lineRule="auto"/>
        <w:ind w:left="567"/>
        <w:jc w:val="both"/>
        <w:rPr>
          <w:rFonts w:ascii="Arial" w:eastAsia="Arial" w:hAnsi="Arial" w:cs="Arial"/>
          <w:i/>
          <w:iCs/>
          <w:sz w:val="20"/>
          <w:szCs w:val="20"/>
        </w:rPr>
      </w:pPr>
      <w:r>
        <w:rPr>
          <w:rFonts w:ascii="Arial" w:eastAsia="Arial" w:hAnsi="Arial" w:cs="Arial"/>
          <w:i/>
          <w:iCs/>
          <w:sz w:val="20"/>
          <w:szCs w:val="20"/>
        </w:rPr>
        <w:t xml:space="preserve">El partido MORENA denunció a Rubén Torres García y al Partido de la Revolución Democrática, por hechos presuntamente constitutivos de violencia política por razón de género, cometida en contra de las mujeres de Charapan, Michoacán, al haber realizado el registro del candidato bajo una acción afirmativa fraudulenta. </w:t>
      </w:r>
    </w:p>
    <w:p w14:paraId="61E72CB8" w14:textId="77777777" w:rsidR="009E02A1" w:rsidRDefault="009E02A1">
      <w:pPr>
        <w:spacing w:after="0" w:line="240" w:lineRule="auto"/>
        <w:ind w:left="567"/>
        <w:jc w:val="both"/>
        <w:rPr>
          <w:rFonts w:ascii="Arial" w:eastAsia="Arial" w:hAnsi="Arial" w:cs="Arial"/>
          <w:i/>
          <w:iCs/>
          <w:sz w:val="20"/>
          <w:szCs w:val="20"/>
        </w:rPr>
      </w:pPr>
    </w:p>
    <w:p w14:paraId="7CAB829B" w14:textId="77777777" w:rsidR="009E02A1" w:rsidRDefault="00000000">
      <w:pPr>
        <w:spacing w:after="0" w:line="240" w:lineRule="auto"/>
        <w:ind w:left="567"/>
        <w:jc w:val="both"/>
        <w:rPr>
          <w:rFonts w:ascii="Arial" w:eastAsia="Arial" w:hAnsi="Arial" w:cs="Arial"/>
          <w:i/>
          <w:iCs/>
          <w:sz w:val="20"/>
          <w:szCs w:val="20"/>
        </w:rPr>
      </w:pPr>
      <w:r>
        <w:rPr>
          <w:rFonts w:ascii="Arial" w:eastAsia="Arial" w:hAnsi="Arial" w:cs="Arial"/>
          <w:i/>
          <w:iCs/>
          <w:sz w:val="20"/>
          <w:szCs w:val="20"/>
        </w:rPr>
        <w:t xml:space="preserve">En el expediente TEEM-PES-VPMG-199/2024 se determinó la existencia de violencia política </w:t>
      </w:r>
      <w:proofErr w:type="gramStart"/>
      <w:r>
        <w:rPr>
          <w:rFonts w:ascii="Arial" w:eastAsia="Arial" w:hAnsi="Arial" w:cs="Arial"/>
          <w:i/>
          <w:iCs/>
          <w:sz w:val="20"/>
          <w:szCs w:val="20"/>
        </w:rPr>
        <w:t>en razón de</w:t>
      </w:r>
      <w:proofErr w:type="gramEnd"/>
      <w:r>
        <w:rPr>
          <w:rFonts w:ascii="Arial" w:eastAsia="Arial" w:hAnsi="Arial" w:cs="Arial"/>
          <w:i/>
          <w:iCs/>
          <w:sz w:val="20"/>
          <w:szCs w:val="20"/>
        </w:rPr>
        <w:t xml:space="preserve"> género, al haberse vulnerado el principio constitucional de paridad y acreditarse violencia de tipo simbólica y psicológica, en perjuicio de las mujeres del municipio en cita, al haberles obstaculizado su derecho de participar y registrarse en la contienda electoral para la presidencia municipal dentro del proceso electoral local ordinario 2023-2024.</w:t>
      </w:r>
    </w:p>
    <w:p w14:paraId="5ABE667F" w14:textId="77777777" w:rsidR="009E02A1" w:rsidRDefault="009E02A1">
      <w:pPr>
        <w:spacing w:after="0" w:line="240" w:lineRule="auto"/>
        <w:ind w:left="567"/>
        <w:jc w:val="both"/>
        <w:rPr>
          <w:rFonts w:ascii="Arial" w:eastAsia="Arial" w:hAnsi="Arial" w:cs="Arial"/>
          <w:i/>
          <w:iCs/>
          <w:sz w:val="20"/>
          <w:szCs w:val="20"/>
        </w:rPr>
      </w:pPr>
    </w:p>
    <w:p w14:paraId="556F0F72" w14:textId="77777777" w:rsidR="009E02A1" w:rsidRDefault="00000000">
      <w:pPr>
        <w:spacing w:after="0" w:line="240" w:lineRule="auto"/>
        <w:ind w:left="567"/>
        <w:jc w:val="both"/>
        <w:rPr>
          <w:rFonts w:ascii="Arial" w:eastAsia="Arial" w:hAnsi="Arial" w:cs="Arial"/>
          <w:i/>
          <w:iCs/>
          <w:sz w:val="20"/>
          <w:szCs w:val="20"/>
        </w:rPr>
      </w:pPr>
      <w:r>
        <w:rPr>
          <w:rFonts w:ascii="Arial" w:eastAsia="Arial" w:hAnsi="Arial" w:cs="Arial"/>
          <w:i/>
          <w:iCs/>
          <w:sz w:val="20"/>
          <w:szCs w:val="20"/>
        </w:rPr>
        <w:t xml:space="preserve">Con base en lo anterior, el Tribunal Electoral del Estado impuso una AMONESTACIÓN PÚBLICA al entonces PRD -derivado de la pérdida de su registro nacional; así como una MULTA al entonces candidato denunciado y ordenó su inscripción en los registros nacional y </w:t>
      </w:r>
      <w:r>
        <w:rPr>
          <w:rFonts w:ascii="Arial" w:eastAsia="Arial" w:hAnsi="Arial" w:cs="Arial"/>
          <w:i/>
          <w:iCs/>
          <w:sz w:val="20"/>
          <w:szCs w:val="20"/>
        </w:rPr>
        <w:lastRenderedPageBreak/>
        <w:t xml:space="preserve">estatal de personas sancionadas por violencia política contra las mujeres </w:t>
      </w:r>
      <w:proofErr w:type="gramStart"/>
      <w:r>
        <w:rPr>
          <w:rFonts w:ascii="Arial" w:eastAsia="Arial" w:hAnsi="Arial" w:cs="Arial"/>
          <w:i/>
          <w:iCs/>
          <w:sz w:val="20"/>
          <w:szCs w:val="20"/>
        </w:rPr>
        <w:t>en razón de</w:t>
      </w:r>
      <w:proofErr w:type="gramEnd"/>
      <w:r>
        <w:rPr>
          <w:rFonts w:ascii="Arial" w:eastAsia="Arial" w:hAnsi="Arial" w:cs="Arial"/>
          <w:i/>
          <w:iCs/>
          <w:sz w:val="20"/>
          <w:szCs w:val="20"/>
        </w:rPr>
        <w:t xml:space="preserve"> género. Asimismo, dictó las medidas de reparación integral siguientes: </w:t>
      </w:r>
    </w:p>
    <w:p w14:paraId="20B0652D" w14:textId="77777777" w:rsidR="009E02A1" w:rsidRDefault="009E02A1">
      <w:pPr>
        <w:spacing w:after="0" w:line="240" w:lineRule="auto"/>
        <w:ind w:left="567"/>
        <w:jc w:val="both"/>
        <w:rPr>
          <w:rFonts w:ascii="Arial" w:eastAsia="Arial" w:hAnsi="Arial" w:cs="Arial"/>
          <w:i/>
          <w:iCs/>
          <w:sz w:val="20"/>
          <w:szCs w:val="20"/>
        </w:rPr>
      </w:pPr>
    </w:p>
    <w:p w14:paraId="2A26443E" w14:textId="77777777" w:rsidR="009E02A1" w:rsidRDefault="00000000">
      <w:pPr>
        <w:spacing w:after="0" w:line="240" w:lineRule="auto"/>
        <w:ind w:left="567"/>
        <w:jc w:val="both"/>
        <w:rPr>
          <w:rFonts w:ascii="Arial" w:eastAsia="Arial" w:hAnsi="Arial" w:cs="Arial"/>
          <w:i/>
          <w:iCs/>
          <w:sz w:val="20"/>
          <w:szCs w:val="20"/>
        </w:rPr>
      </w:pPr>
      <w:r>
        <w:rPr>
          <w:rFonts w:ascii="Arial" w:eastAsia="Arial" w:hAnsi="Arial" w:cs="Arial"/>
          <w:b/>
          <w:bCs/>
          <w:i/>
          <w:iCs/>
          <w:sz w:val="20"/>
          <w:szCs w:val="20"/>
        </w:rPr>
        <w:t>1. De restitución.</w:t>
      </w:r>
      <w:r>
        <w:rPr>
          <w:rFonts w:ascii="Arial" w:eastAsia="Arial" w:hAnsi="Arial" w:cs="Arial"/>
          <w:i/>
          <w:iCs/>
          <w:sz w:val="20"/>
          <w:szCs w:val="20"/>
        </w:rPr>
        <w:t xml:space="preserve"> Lo constituye la sentencia, que reconoce y protege el derecho de las mujeres para ejercer sus derechos político-electorales libres de cualquier tipo de violencia política </w:t>
      </w:r>
      <w:proofErr w:type="gramStart"/>
      <w:r>
        <w:rPr>
          <w:rFonts w:ascii="Arial" w:eastAsia="Arial" w:hAnsi="Arial" w:cs="Arial"/>
          <w:i/>
          <w:iCs/>
          <w:sz w:val="20"/>
          <w:szCs w:val="20"/>
        </w:rPr>
        <w:t>en razón de</w:t>
      </w:r>
      <w:proofErr w:type="gramEnd"/>
      <w:r>
        <w:rPr>
          <w:rFonts w:ascii="Arial" w:eastAsia="Arial" w:hAnsi="Arial" w:cs="Arial"/>
          <w:i/>
          <w:iCs/>
          <w:sz w:val="20"/>
          <w:szCs w:val="20"/>
        </w:rPr>
        <w:t xml:space="preserve"> género. </w:t>
      </w:r>
    </w:p>
    <w:p w14:paraId="1914D0A6" w14:textId="77777777" w:rsidR="009E02A1" w:rsidRDefault="009E02A1">
      <w:pPr>
        <w:spacing w:after="0" w:line="240" w:lineRule="auto"/>
        <w:ind w:left="567"/>
        <w:jc w:val="both"/>
        <w:rPr>
          <w:rFonts w:ascii="Arial" w:eastAsia="Arial" w:hAnsi="Arial" w:cs="Arial"/>
          <w:i/>
          <w:iCs/>
          <w:sz w:val="20"/>
          <w:szCs w:val="20"/>
        </w:rPr>
      </w:pPr>
    </w:p>
    <w:p w14:paraId="4E9526C7" w14:textId="77777777" w:rsidR="009E02A1" w:rsidRDefault="00000000">
      <w:pPr>
        <w:spacing w:after="0" w:line="240" w:lineRule="auto"/>
        <w:ind w:left="567"/>
        <w:jc w:val="both"/>
        <w:rPr>
          <w:rFonts w:ascii="Arial" w:eastAsia="Arial" w:hAnsi="Arial" w:cs="Arial"/>
          <w:i/>
          <w:iCs/>
          <w:sz w:val="20"/>
          <w:szCs w:val="20"/>
        </w:rPr>
      </w:pPr>
      <w:r>
        <w:rPr>
          <w:rFonts w:ascii="Arial" w:eastAsia="Arial" w:hAnsi="Arial" w:cs="Arial"/>
          <w:b/>
          <w:bCs/>
          <w:i/>
          <w:iCs/>
          <w:sz w:val="20"/>
          <w:szCs w:val="20"/>
        </w:rPr>
        <w:t>2. De no repetición.</w:t>
      </w:r>
      <w:r>
        <w:rPr>
          <w:rFonts w:ascii="Arial" w:eastAsia="Arial" w:hAnsi="Arial" w:cs="Arial"/>
          <w:i/>
          <w:iCs/>
          <w:sz w:val="20"/>
          <w:szCs w:val="20"/>
        </w:rPr>
        <w:t xml:space="preserve"> Se vinculó a la Secretaría de Igualdad Sustantiva y Desarrollo de las Mujeres Michoacanas, para que implemente un programa de capacitación sobre género y violencia política; al cual se ordenó al entonces candidato denunciado, asistir. </w:t>
      </w:r>
    </w:p>
    <w:p w14:paraId="4AFD7C28" w14:textId="77777777" w:rsidR="009E02A1" w:rsidRDefault="00000000">
      <w:pPr>
        <w:spacing w:after="0" w:line="240" w:lineRule="auto"/>
        <w:ind w:left="567"/>
        <w:jc w:val="both"/>
        <w:rPr>
          <w:rFonts w:ascii="Arial" w:eastAsia="Arial" w:hAnsi="Arial" w:cs="Arial"/>
          <w:i/>
          <w:iCs/>
          <w:sz w:val="20"/>
          <w:szCs w:val="20"/>
        </w:rPr>
      </w:pPr>
      <w:r>
        <w:rPr>
          <w:rFonts w:ascii="Arial" w:eastAsia="Arial" w:hAnsi="Arial" w:cs="Arial"/>
          <w:b/>
          <w:bCs/>
          <w:i/>
          <w:iCs/>
          <w:sz w:val="20"/>
          <w:szCs w:val="20"/>
        </w:rPr>
        <w:t>3. De satisfacción.</w:t>
      </w:r>
      <w:r>
        <w:rPr>
          <w:rFonts w:ascii="Arial" w:eastAsia="Arial" w:hAnsi="Arial" w:cs="Arial"/>
          <w:i/>
          <w:iCs/>
          <w:sz w:val="20"/>
          <w:szCs w:val="20"/>
        </w:rPr>
        <w:t xml:space="preserve"> Se ordenó al entonces candidato denunciado ofrecer una disculpa pública a las mujeres afectadas; así como publicar el presente resumen en las cuentas de sus redes sociales, o en algún otro medio de comunicación social pertinente.”</w:t>
      </w:r>
    </w:p>
    <w:p w14:paraId="7990D887" w14:textId="77777777" w:rsidR="009E02A1" w:rsidRDefault="009E02A1">
      <w:pPr>
        <w:spacing w:after="0" w:line="360" w:lineRule="auto"/>
        <w:jc w:val="both"/>
        <w:rPr>
          <w:rFonts w:ascii="Arial" w:eastAsia="Arial" w:hAnsi="Arial" w:cs="Arial"/>
          <w:sz w:val="24"/>
          <w:szCs w:val="24"/>
        </w:rPr>
      </w:pPr>
    </w:p>
    <w:p w14:paraId="44CFB69E" w14:textId="77777777" w:rsidR="009E02A1" w:rsidRDefault="00000000">
      <w:pPr>
        <w:numPr>
          <w:ilvl w:val="0"/>
          <w:numId w:val="13"/>
        </w:numPr>
        <w:pBdr>
          <w:top w:val="nil"/>
          <w:left w:val="nil"/>
          <w:bottom w:val="nil"/>
          <w:right w:val="nil"/>
          <w:between w:val="nil"/>
        </w:pBdr>
        <w:spacing w:after="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Disculpa pública</w:t>
      </w:r>
    </w:p>
    <w:p w14:paraId="6F9DA3BC" w14:textId="77777777" w:rsidR="009E02A1" w:rsidRDefault="009E02A1">
      <w:pPr>
        <w:spacing w:after="0" w:line="360" w:lineRule="auto"/>
        <w:jc w:val="both"/>
        <w:rPr>
          <w:rFonts w:ascii="Arial" w:eastAsia="Arial" w:hAnsi="Arial" w:cs="Arial"/>
          <w:b/>
          <w:bCs/>
          <w:sz w:val="24"/>
          <w:szCs w:val="24"/>
        </w:rPr>
      </w:pPr>
    </w:p>
    <w:p w14:paraId="0D9F696C" w14:textId="77777777" w:rsidR="009E02A1" w:rsidRDefault="00000000">
      <w:pPr>
        <w:numPr>
          <w:ilvl w:val="0"/>
          <w:numId w:val="10"/>
        </w:numPr>
        <w:pBdr>
          <w:top w:val="nil"/>
          <w:left w:val="nil"/>
          <w:bottom w:val="nil"/>
          <w:right w:val="nil"/>
          <w:between w:val="nil"/>
        </w:pBdr>
        <w:spacing w:after="0" w:line="360" w:lineRule="auto"/>
        <w:jc w:val="both"/>
        <w:rPr>
          <w:rFonts w:ascii="Arial" w:eastAsia="Arial" w:hAnsi="Arial" w:cs="Arial"/>
          <w:b/>
          <w:bCs/>
          <w:i/>
          <w:iCs/>
          <w:color w:val="000000"/>
          <w:sz w:val="24"/>
          <w:szCs w:val="24"/>
        </w:rPr>
      </w:pPr>
      <w:r>
        <w:rPr>
          <w:rFonts w:ascii="Arial" w:eastAsia="Arial" w:hAnsi="Arial" w:cs="Arial"/>
          <w:b/>
          <w:bCs/>
          <w:i/>
          <w:iCs/>
          <w:color w:val="000000"/>
          <w:sz w:val="24"/>
          <w:szCs w:val="24"/>
        </w:rPr>
        <w:t>Denunciado</w:t>
      </w:r>
    </w:p>
    <w:p w14:paraId="379C0D1B"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i/>
          <w:iCs/>
          <w:color w:val="000000"/>
          <w:sz w:val="24"/>
          <w:szCs w:val="24"/>
        </w:rPr>
      </w:pPr>
    </w:p>
    <w:p w14:paraId="78AF9979"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Se le ordenó ofrecer una disculpa pública a las mujeres del Municipio de Charapan, Michoacán, en la que reconociera la comisión de los hechos y la aceptación de la responsabilidad derivada de los actos analizados, a fin de reestablecer la vulneración perpetrada.</w:t>
      </w:r>
    </w:p>
    <w:p w14:paraId="039FC0E7" w14:textId="77777777" w:rsidR="009E02A1" w:rsidRDefault="009E02A1">
      <w:pPr>
        <w:spacing w:after="0" w:line="360" w:lineRule="auto"/>
        <w:ind w:left="426"/>
        <w:jc w:val="both"/>
        <w:rPr>
          <w:rFonts w:ascii="Arial" w:eastAsia="Arial" w:hAnsi="Arial" w:cs="Arial"/>
          <w:sz w:val="24"/>
          <w:szCs w:val="24"/>
        </w:rPr>
      </w:pPr>
    </w:p>
    <w:p w14:paraId="22B820D5"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Dicha disculpa debería ser publicada en sus cuentas de redes sociales o, en su defecto, en algún otro medio de comunicación social que resultara pertinente, durante el plazo de quince días naturales, a partir del día siguiente al que se le notificara la firmeza de la sentencia.</w:t>
      </w:r>
    </w:p>
    <w:p w14:paraId="0CD046BA" w14:textId="77777777" w:rsidR="009E02A1" w:rsidRDefault="009E02A1">
      <w:pPr>
        <w:spacing w:after="0" w:line="360" w:lineRule="auto"/>
        <w:jc w:val="both"/>
        <w:rPr>
          <w:rFonts w:ascii="Arial" w:eastAsia="Arial" w:hAnsi="Arial" w:cs="Arial"/>
          <w:sz w:val="24"/>
          <w:szCs w:val="24"/>
        </w:rPr>
      </w:pPr>
    </w:p>
    <w:p w14:paraId="2D35FBA7"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El mensaje que debía ofrecer como disculpa pública es el siguiente:</w:t>
      </w:r>
    </w:p>
    <w:p w14:paraId="0B040459" w14:textId="77777777" w:rsidR="009E02A1" w:rsidRDefault="009E02A1">
      <w:pPr>
        <w:spacing w:after="0" w:line="240" w:lineRule="auto"/>
        <w:jc w:val="both"/>
        <w:rPr>
          <w:rFonts w:ascii="Arial" w:eastAsia="Arial" w:hAnsi="Arial" w:cs="Arial"/>
          <w:sz w:val="21"/>
          <w:szCs w:val="21"/>
        </w:rPr>
      </w:pPr>
    </w:p>
    <w:p w14:paraId="3427732B" w14:textId="77777777" w:rsidR="009E02A1" w:rsidRDefault="00000000">
      <w:pPr>
        <w:spacing w:after="0" w:line="240" w:lineRule="auto"/>
        <w:ind w:left="426" w:right="474"/>
        <w:jc w:val="both"/>
        <w:rPr>
          <w:rFonts w:ascii="Arial" w:eastAsia="Arial" w:hAnsi="Arial" w:cs="Arial"/>
          <w:i/>
          <w:iCs/>
          <w:sz w:val="20"/>
          <w:szCs w:val="20"/>
        </w:rPr>
      </w:pPr>
      <w:r>
        <w:rPr>
          <w:rFonts w:ascii="Arial" w:eastAsia="Arial" w:hAnsi="Arial" w:cs="Arial"/>
          <w:i/>
          <w:iCs/>
          <w:sz w:val="20"/>
          <w:szCs w:val="20"/>
        </w:rPr>
        <w:t>“El suscrito Rubén Torres García, en cuanto entonces candidato a la presidencia municipal de Charapan, Michoacán, postulado por el extinto Partido de la Revolución Democrática ofrezco una disculpa a las mujeres de dicha localidad, que hayan tenido la intención de participar en el proceso electoral local 2023-2024; por la vulneración a su derecho político-electoral, al haberles impedido el registro respectivo y, en cambio haberme postulado bajo una acción afirmativa fraudulenta, incumpliendo con el principio de paridad; lo que constituyó violencia política en razón de género en su contra”.</w:t>
      </w:r>
    </w:p>
    <w:p w14:paraId="687A123C" w14:textId="77777777" w:rsidR="009E02A1" w:rsidRDefault="009E02A1">
      <w:pPr>
        <w:spacing w:after="0" w:line="360" w:lineRule="auto"/>
        <w:jc w:val="both"/>
        <w:rPr>
          <w:rFonts w:ascii="Arial" w:eastAsia="Arial" w:hAnsi="Arial" w:cs="Arial"/>
          <w:sz w:val="24"/>
          <w:szCs w:val="24"/>
        </w:rPr>
      </w:pPr>
    </w:p>
    <w:p w14:paraId="2E1A6AEE"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Finalizado el plazo referido, dentro de los dos días hábiles siguientes, debía informar a este </w:t>
      </w:r>
      <w:r>
        <w:rPr>
          <w:rFonts w:ascii="Arial" w:eastAsia="Arial" w:hAnsi="Arial" w:cs="Arial"/>
          <w:i/>
          <w:iCs/>
          <w:sz w:val="24"/>
          <w:szCs w:val="24"/>
        </w:rPr>
        <w:t>Tribunal Electoral</w:t>
      </w:r>
      <w:r>
        <w:rPr>
          <w:rFonts w:ascii="Arial" w:eastAsia="Arial" w:hAnsi="Arial" w:cs="Arial"/>
          <w:sz w:val="24"/>
          <w:szCs w:val="24"/>
        </w:rPr>
        <w:t xml:space="preserve"> el cumplimiento, anexando las constancias que acreditaran su actuar.</w:t>
      </w:r>
    </w:p>
    <w:p w14:paraId="4684EBDA" w14:textId="77777777" w:rsidR="009E02A1" w:rsidRDefault="009E02A1">
      <w:pPr>
        <w:spacing w:after="0" w:line="360" w:lineRule="auto"/>
        <w:jc w:val="both"/>
        <w:rPr>
          <w:rFonts w:ascii="Arial" w:eastAsia="Arial" w:hAnsi="Arial" w:cs="Arial"/>
          <w:sz w:val="24"/>
          <w:szCs w:val="24"/>
        </w:rPr>
      </w:pPr>
    </w:p>
    <w:p w14:paraId="7458D74B" w14:textId="77777777" w:rsidR="009E02A1" w:rsidRDefault="00000000">
      <w:pPr>
        <w:numPr>
          <w:ilvl w:val="0"/>
          <w:numId w:val="11"/>
        </w:numPr>
        <w:pBdr>
          <w:top w:val="nil"/>
          <w:left w:val="nil"/>
          <w:bottom w:val="nil"/>
          <w:right w:val="nil"/>
          <w:between w:val="nil"/>
        </w:pBdr>
        <w:spacing w:after="0" w:line="360" w:lineRule="auto"/>
        <w:rPr>
          <w:rFonts w:ascii="Arial" w:eastAsia="Arial" w:hAnsi="Arial" w:cs="Arial"/>
          <w:b/>
          <w:bCs/>
          <w:color w:val="000000"/>
          <w:sz w:val="24"/>
          <w:szCs w:val="24"/>
        </w:rPr>
      </w:pPr>
      <w:r>
        <w:rPr>
          <w:rFonts w:ascii="Arial" w:eastAsia="Arial" w:hAnsi="Arial" w:cs="Arial"/>
          <w:b/>
          <w:bCs/>
          <w:color w:val="000000"/>
          <w:sz w:val="24"/>
          <w:szCs w:val="24"/>
        </w:rPr>
        <w:t>Sanción impuesta</w:t>
      </w:r>
    </w:p>
    <w:p w14:paraId="0F4854EE" w14:textId="77777777" w:rsidR="009E02A1" w:rsidRDefault="009E02A1">
      <w:pPr>
        <w:pBdr>
          <w:top w:val="nil"/>
          <w:left w:val="nil"/>
          <w:bottom w:val="nil"/>
          <w:right w:val="nil"/>
          <w:between w:val="nil"/>
        </w:pBdr>
        <w:spacing w:after="0" w:line="360" w:lineRule="auto"/>
        <w:ind w:left="720"/>
        <w:rPr>
          <w:rFonts w:ascii="Arial" w:eastAsia="Arial" w:hAnsi="Arial" w:cs="Arial"/>
          <w:b/>
          <w:bCs/>
          <w:color w:val="000000"/>
          <w:sz w:val="24"/>
          <w:szCs w:val="24"/>
        </w:rPr>
      </w:pPr>
    </w:p>
    <w:p w14:paraId="64EEEB87" w14:textId="77777777" w:rsidR="009E02A1" w:rsidRDefault="00000000">
      <w:pPr>
        <w:numPr>
          <w:ilvl w:val="0"/>
          <w:numId w:val="2"/>
        </w:numPr>
        <w:pBdr>
          <w:top w:val="nil"/>
          <w:left w:val="nil"/>
          <w:bottom w:val="nil"/>
          <w:right w:val="nil"/>
          <w:between w:val="nil"/>
        </w:pBdr>
        <w:spacing w:after="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Multa </w:t>
      </w:r>
    </w:p>
    <w:p w14:paraId="3CCE754E"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color w:val="000000"/>
          <w:sz w:val="24"/>
          <w:szCs w:val="24"/>
        </w:rPr>
      </w:pPr>
    </w:p>
    <w:p w14:paraId="57771451" w14:textId="77777777" w:rsidR="009E02A1" w:rsidRDefault="00000000">
      <w:pPr>
        <w:numPr>
          <w:ilvl w:val="0"/>
          <w:numId w:val="10"/>
        </w:numPr>
        <w:pBdr>
          <w:top w:val="nil"/>
          <w:left w:val="nil"/>
          <w:bottom w:val="nil"/>
          <w:right w:val="nil"/>
          <w:between w:val="nil"/>
        </w:pBdr>
        <w:spacing w:after="0" w:line="360" w:lineRule="auto"/>
        <w:jc w:val="both"/>
        <w:rPr>
          <w:rFonts w:ascii="Arial" w:eastAsia="Arial" w:hAnsi="Arial" w:cs="Arial"/>
          <w:b/>
          <w:bCs/>
          <w:i/>
          <w:iCs/>
          <w:color w:val="000000"/>
          <w:sz w:val="24"/>
          <w:szCs w:val="24"/>
        </w:rPr>
      </w:pPr>
      <w:r>
        <w:rPr>
          <w:rFonts w:ascii="Arial" w:eastAsia="Arial" w:hAnsi="Arial" w:cs="Arial"/>
          <w:b/>
          <w:bCs/>
          <w:i/>
          <w:iCs/>
          <w:color w:val="000000"/>
          <w:sz w:val="24"/>
          <w:szCs w:val="24"/>
        </w:rPr>
        <w:t>Denunciado</w:t>
      </w:r>
    </w:p>
    <w:p w14:paraId="0E533F3F" w14:textId="77777777" w:rsidR="009E02A1" w:rsidRDefault="009E02A1">
      <w:pPr>
        <w:spacing w:after="0" w:line="360" w:lineRule="auto"/>
        <w:ind w:left="426"/>
        <w:jc w:val="both"/>
        <w:rPr>
          <w:rFonts w:ascii="Arial" w:eastAsia="Arial" w:hAnsi="Arial" w:cs="Arial"/>
          <w:b/>
          <w:bCs/>
          <w:i/>
          <w:iCs/>
          <w:sz w:val="24"/>
          <w:szCs w:val="24"/>
        </w:rPr>
      </w:pPr>
    </w:p>
    <w:p w14:paraId="2AAE02DE"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Se les impuso una multa por la cantidad de treinta veces la Unidad de Medida y Actualización vigente al momento de la comisión de la conducta, equivalente a $3,257.10 (tres mil doscientos cincuenta y siete pesos 10/100 Moneda Nacional). </w:t>
      </w:r>
    </w:p>
    <w:p w14:paraId="70B0D437" w14:textId="77777777" w:rsidR="009E02A1" w:rsidRDefault="009E02A1">
      <w:pPr>
        <w:spacing w:after="0" w:line="360" w:lineRule="auto"/>
        <w:jc w:val="both"/>
        <w:rPr>
          <w:rFonts w:ascii="Arial" w:eastAsia="Arial" w:hAnsi="Arial" w:cs="Arial"/>
          <w:sz w:val="24"/>
          <w:szCs w:val="24"/>
        </w:rPr>
      </w:pPr>
    </w:p>
    <w:p w14:paraId="4ACA2C74"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Para el efecto de pagar la multa impuesta se le otorgó un plazo de quince días hábiles contados a partir del día siguiente al que se le notificara que había causado ejecutoria la sentencia, para que la pagara ante la </w:t>
      </w:r>
      <w:r>
        <w:rPr>
          <w:rFonts w:ascii="Arial" w:eastAsia="Arial" w:hAnsi="Arial" w:cs="Arial"/>
          <w:i/>
          <w:iCs/>
          <w:sz w:val="24"/>
          <w:szCs w:val="24"/>
        </w:rPr>
        <w:t>Dirección Ejecutiva</w:t>
      </w:r>
      <w:r>
        <w:rPr>
          <w:rFonts w:ascii="Arial" w:eastAsia="Arial" w:hAnsi="Arial" w:cs="Arial"/>
          <w:sz w:val="24"/>
          <w:szCs w:val="24"/>
        </w:rPr>
        <w:t xml:space="preserve">, por tanto, se le solicitó a dicha dirección que hiciera del conocimiento de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la información relativa al pago de la multa precisada dentro de los cinco días hábiles posteriores a que ello ocurriera o, en su caso, informara las acciones tomadas.</w:t>
      </w:r>
    </w:p>
    <w:p w14:paraId="49183C53" w14:textId="77777777" w:rsidR="009E02A1" w:rsidRDefault="009E02A1">
      <w:pPr>
        <w:spacing w:after="0" w:line="360" w:lineRule="auto"/>
        <w:jc w:val="both"/>
        <w:rPr>
          <w:rFonts w:ascii="Arial" w:eastAsia="Arial" w:hAnsi="Arial" w:cs="Arial"/>
          <w:sz w:val="24"/>
          <w:szCs w:val="24"/>
        </w:rPr>
      </w:pPr>
    </w:p>
    <w:p w14:paraId="41CF225B" w14:textId="77777777" w:rsidR="009E02A1" w:rsidRDefault="00000000">
      <w:pPr>
        <w:numPr>
          <w:ilvl w:val="0"/>
          <w:numId w:val="2"/>
        </w:numPr>
        <w:pBdr>
          <w:top w:val="nil"/>
          <w:left w:val="nil"/>
          <w:bottom w:val="nil"/>
          <w:right w:val="nil"/>
          <w:between w:val="nil"/>
        </w:pBdr>
        <w:spacing w:after="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Inscripción en el </w:t>
      </w:r>
      <w:r>
        <w:rPr>
          <w:rFonts w:ascii="Arial" w:eastAsia="Arial" w:hAnsi="Arial" w:cs="Arial"/>
          <w:b/>
          <w:bCs/>
          <w:i/>
          <w:iCs/>
          <w:color w:val="000000"/>
          <w:sz w:val="24"/>
          <w:szCs w:val="24"/>
        </w:rPr>
        <w:t>Registro</w:t>
      </w:r>
      <w:r>
        <w:rPr>
          <w:rFonts w:ascii="Arial" w:eastAsia="Arial" w:hAnsi="Arial" w:cs="Arial"/>
          <w:b/>
          <w:bCs/>
          <w:color w:val="000000"/>
          <w:sz w:val="24"/>
          <w:szCs w:val="24"/>
        </w:rPr>
        <w:t xml:space="preserve"> </w:t>
      </w:r>
      <w:r>
        <w:rPr>
          <w:rFonts w:ascii="Arial" w:eastAsia="Arial" w:hAnsi="Arial" w:cs="Arial"/>
          <w:b/>
          <w:bCs/>
          <w:i/>
          <w:iCs/>
          <w:color w:val="000000"/>
          <w:sz w:val="24"/>
          <w:szCs w:val="24"/>
        </w:rPr>
        <w:t>Nacional</w:t>
      </w:r>
      <w:r>
        <w:rPr>
          <w:rFonts w:ascii="Arial" w:eastAsia="Arial" w:hAnsi="Arial" w:cs="Arial"/>
          <w:b/>
          <w:bCs/>
          <w:color w:val="000000"/>
          <w:sz w:val="24"/>
          <w:szCs w:val="24"/>
        </w:rPr>
        <w:t xml:space="preserve"> y </w:t>
      </w:r>
      <w:r>
        <w:rPr>
          <w:rFonts w:ascii="Arial" w:eastAsia="Arial" w:hAnsi="Arial" w:cs="Arial"/>
          <w:b/>
          <w:bCs/>
          <w:i/>
          <w:iCs/>
          <w:color w:val="000000"/>
          <w:sz w:val="24"/>
          <w:szCs w:val="24"/>
        </w:rPr>
        <w:t>Registro</w:t>
      </w:r>
      <w:r>
        <w:rPr>
          <w:rFonts w:ascii="Arial" w:eastAsia="Arial" w:hAnsi="Arial" w:cs="Arial"/>
          <w:b/>
          <w:bCs/>
          <w:color w:val="000000"/>
          <w:sz w:val="24"/>
          <w:szCs w:val="24"/>
        </w:rPr>
        <w:t xml:space="preserve"> </w:t>
      </w:r>
      <w:r>
        <w:rPr>
          <w:rFonts w:ascii="Arial" w:eastAsia="Arial" w:hAnsi="Arial" w:cs="Arial"/>
          <w:b/>
          <w:bCs/>
          <w:i/>
          <w:iCs/>
          <w:color w:val="000000"/>
          <w:sz w:val="24"/>
          <w:szCs w:val="24"/>
        </w:rPr>
        <w:t>Estatal</w:t>
      </w:r>
      <w:r>
        <w:rPr>
          <w:rFonts w:ascii="Arial" w:eastAsia="Arial" w:hAnsi="Arial" w:cs="Arial"/>
          <w:b/>
          <w:bCs/>
          <w:color w:val="000000"/>
          <w:sz w:val="24"/>
          <w:szCs w:val="24"/>
        </w:rPr>
        <w:t xml:space="preserve"> </w:t>
      </w:r>
    </w:p>
    <w:p w14:paraId="4265CD9B"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color w:val="000000"/>
          <w:sz w:val="24"/>
          <w:szCs w:val="24"/>
        </w:rPr>
      </w:pPr>
    </w:p>
    <w:p w14:paraId="568D9743" w14:textId="77777777" w:rsidR="009E02A1" w:rsidRDefault="00000000">
      <w:pPr>
        <w:numPr>
          <w:ilvl w:val="0"/>
          <w:numId w:val="10"/>
        </w:numPr>
        <w:pBdr>
          <w:top w:val="nil"/>
          <w:left w:val="nil"/>
          <w:bottom w:val="nil"/>
          <w:right w:val="nil"/>
          <w:between w:val="nil"/>
        </w:pBdr>
        <w:spacing w:after="0" w:line="360" w:lineRule="auto"/>
        <w:jc w:val="both"/>
        <w:rPr>
          <w:rFonts w:ascii="Arial" w:eastAsia="Arial" w:hAnsi="Arial" w:cs="Arial"/>
          <w:b/>
          <w:bCs/>
          <w:i/>
          <w:iCs/>
          <w:color w:val="000000"/>
          <w:sz w:val="24"/>
          <w:szCs w:val="24"/>
        </w:rPr>
      </w:pPr>
      <w:r>
        <w:rPr>
          <w:rFonts w:ascii="Arial" w:eastAsia="Arial" w:hAnsi="Arial" w:cs="Arial"/>
          <w:b/>
          <w:bCs/>
          <w:i/>
          <w:iCs/>
          <w:color w:val="000000"/>
          <w:sz w:val="24"/>
          <w:szCs w:val="24"/>
        </w:rPr>
        <w:t>Denunciado</w:t>
      </w:r>
    </w:p>
    <w:p w14:paraId="10F0CB05"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i/>
          <w:iCs/>
          <w:color w:val="000000"/>
          <w:sz w:val="24"/>
          <w:szCs w:val="24"/>
        </w:rPr>
      </w:pPr>
    </w:p>
    <w:p w14:paraId="00A944F4"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Se ordenó su inscripción en el </w:t>
      </w:r>
      <w:r>
        <w:rPr>
          <w:rFonts w:ascii="Arial" w:eastAsia="Arial" w:hAnsi="Arial" w:cs="Arial"/>
          <w:i/>
          <w:iCs/>
          <w:sz w:val="24"/>
          <w:szCs w:val="24"/>
        </w:rPr>
        <w:t>Registro</w:t>
      </w:r>
      <w:r>
        <w:rPr>
          <w:rFonts w:ascii="Arial" w:eastAsia="Arial" w:hAnsi="Arial" w:cs="Arial"/>
          <w:sz w:val="24"/>
          <w:szCs w:val="24"/>
        </w:rPr>
        <w:t xml:space="preserve"> </w:t>
      </w:r>
      <w:r>
        <w:rPr>
          <w:rFonts w:ascii="Arial" w:eastAsia="Arial" w:hAnsi="Arial" w:cs="Arial"/>
          <w:i/>
          <w:iCs/>
          <w:sz w:val="24"/>
          <w:szCs w:val="24"/>
        </w:rPr>
        <w:t>Nacional</w:t>
      </w:r>
      <w:r>
        <w:rPr>
          <w:rFonts w:ascii="Arial" w:eastAsia="Arial" w:hAnsi="Arial" w:cs="Arial"/>
          <w:sz w:val="24"/>
          <w:szCs w:val="24"/>
        </w:rPr>
        <w:t xml:space="preserve"> y en el </w:t>
      </w:r>
      <w:r>
        <w:rPr>
          <w:rFonts w:ascii="Arial" w:eastAsia="Arial" w:hAnsi="Arial" w:cs="Arial"/>
          <w:i/>
          <w:iCs/>
          <w:sz w:val="24"/>
          <w:szCs w:val="24"/>
        </w:rPr>
        <w:t>Registro</w:t>
      </w:r>
      <w:r>
        <w:rPr>
          <w:rFonts w:ascii="Arial" w:eastAsia="Arial" w:hAnsi="Arial" w:cs="Arial"/>
          <w:sz w:val="24"/>
          <w:szCs w:val="24"/>
        </w:rPr>
        <w:t xml:space="preserve"> </w:t>
      </w:r>
      <w:r>
        <w:rPr>
          <w:rFonts w:ascii="Arial" w:eastAsia="Arial" w:hAnsi="Arial" w:cs="Arial"/>
          <w:i/>
          <w:iCs/>
          <w:sz w:val="24"/>
          <w:szCs w:val="24"/>
        </w:rPr>
        <w:t>Estatal</w:t>
      </w:r>
      <w:r>
        <w:rPr>
          <w:rFonts w:ascii="Arial" w:eastAsia="Arial" w:hAnsi="Arial" w:cs="Arial"/>
          <w:sz w:val="24"/>
          <w:szCs w:val="24"/>
        </w:rPr>
        <w:t xml:space="preserve"> por treinta meses, para lo cual se vinculó al </w:t>
      </w:r>
      <w:r>
        <w:rPr>
          <w:rFonts w:ascii="Arial" w:eastAsia="Arial" w:hAnsi="Arial" w:cs="Arial"/>
          <w:i/>
          <w:iCs/>
          <w:sz w:val="24"/>
          <w:szCs w:val="24"/>
        </w:rPr>
        <w:t xml:space="preserve">IEM </w:t>
      </w:r>
      <w:r>
        <w:rPr>
          <w:rFonts w:ascii="Arial" w:eastAsia="Arial" w:hAnsi="Arial" w:cs="Arial"/>
          <w:sz w:val="24"/>
          <w:szCs w:val="24"/>
        </w:rPr>
        <w:t xml:space="preserve">y al </w:t>
      </w:r>
      <w:r>
        <w:rPr>
          <w:rFonts w:ascii="Arial" w:eastAsia="Arial" w:hAnsi="Arial" w:cs="Arial"/>
          <w:i/>
          <w:iCs/>
          <w:sz w:val="24"/>
          <w:szCs w:val="24"/>
        </w:rPr>
        <w:t>INE</w:t>
      </w:r>
      <w:r>
        <w:rPr>
          <w:rFonts w:ascii="Arial" w:eastAsia="Arial" w:hAnsi="Arial" w:cs="Arial"/>
          <w:sz w:val="24"/>
          <w:szCs w:val="24"/>
        </w:rPr>
        <w:t xml:space="preserve"> y se les otorgó el término de diez días hábiles para cumplir con lo ordenado, contados a partir de que se les notificara la firmeza de la sentencia y debían hacerlo del conocimiento de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dentro de los </w:t>
      </w:r>
      <w:r>
        <w:rPr>
          <w:rFonts w:ascii="Arial" w:eastAsia="Arial" w:hAnsi="Arial" w:cs="Arial"/>
          <w:b/>
          <w:bCs/>
          <w:sz w:val="24"/>
          <w:szCs w:val="24"/>
        </w:rPr>
        <w:t>tres días hábiles</w:t>
      </w:r>
      <w:r>
        <w:rPr>
          <w:rFonts w:ascii="Arial" w:eastAsia="Arial" w:hAnsi="Arial" w:cs="Arial"/>
          <w:sz w:val="24"/>
          <w:szCs w:val="24"/>
        </w:rPr>
        <w:t xml:space="preserve"> posteriores a que ello ocurra.</w:t>
      </w:r>
    </w:p>
    <w:p w14:paraId="78C6F8B6" w14:textId="77777777" w:rsidR="009E02A1" w:rsidRDefault="009E02A1">
      <w:pPr>
        <w:spacing w:after="0" w:line="360" w:lineRule="auto"/>
        <w:jc w:val="both"/>
        <w:rPr>
          <w:rFonts w:ascii="Arial" w:eastAsia="Arial" w:hAnsi="Arial" w:cs="Arial"/>
          <w:sz w:val="24"/>
          <w:szCs w:val="24"/>
        </w:rPr>
      </w:pPr>
    </w:p>
    <w:p w14:paraId="0440678A" w14:textId="77777777" w:rsidR="009E02A1" w:rsidRDefault="00000000">
      <w:pPr>
        <w:spacing w:after="0" w:line="360" w:lineRule="auto"/>
        <w:jc w:val="center"/>
        <w:rPr>
          <w:rFonts w:ascii="Arial" w:eastAsia="Arial" w:hAnsi="Arial" w:cs="Arial"/>
          <w:b/>
          <w:bCs/>
          <w:sz w:val="24"/>
          <w:szCs w:val="24"/>
        </w:rPr>
      </w:pPr>
      <w:bookmarkStart w:id="6" w:name="_heading=h.t5bpxfacx3ib" w:colFirst="0" w:colLast="0"/>
      <w:bookmarkEnd w:id="6"/>
      <w:r>
        <w:rPr>
          <w:rFonts w:ascii="Arial" w:eastAsia="Arial" w:hAnsi="Arial" w:cs="Arial"/>
          <w:b/>
          <w:bCs/>
          <w:sz w:val="24"/>
          <w:szCs w:val="24"/>
        </w:rPr>
        <w:t>V. ANÁLISIS SOBRE EL CUMPLIMIENTO DE LA SENTENCIA</w:t>
      </w:r>
    </w:p>
    <w:p w14:paraId="35D0DD18" w14:textId="77777777" w:rsidR="009E02A1" w:rsidRDefault="009E02A1">
      <w:pPr>
        <w:spacing w:after="0" w:line="360" w:lineRule="auto"/>
        <w:jc w:val="center"/>
        <w:rPr>
          <w:rFonts w:ascii="Arial" w:eastAsia="Arial" w:hAnsi="Arial" w:cs="Arial"/>
          <w:b/>
          <w:bCs/>
          <w:sz w:val="24"/>
          <w:szCs w:val="24"/>
        </w:rPr>
      </w:pPr>
    </w:p>
    <w:p w14:paraId="28BEB1E5"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Como lo ha sostenido </w:t>
      </w:r>
      <w:r>
        <w:rPr>
          <w:rFonts w:ascii="Arial" w:eastAsia="Arial" w:hAnsi="Arial" w:cs="Arial"/>
          <w:i/>
          <w:iCs/>
          <w:sz w:val="24"/>
          <w:szCs w:val="24"/>
        </w:rPr>
        <w:t>Sala Superior</w:t>
      </w:r>
      <w:r>
        <w:rPr>
          <w:rFonts w:ascii="Arial" w:eastAsia="Arial" w:hAnsi="Arial" w:cs="Arial"/>
          <w:sz w:val="24"/>
          <w:szCs w:val="24"/>
        </w:rPr>
        <w:t xml:space="preserve">, el objeto de la determinación sobre el cumplimiento de una sentencia se encuentra delimitado por lo resuelto en esta, es decir, por la </w:t>
      </w:r>
      <w:r>
        <w:rPr>
          <w:rFonts w:ascii="Arial" w:eastAsia="Arial" w:hAnsi="Arial" w:cs="Arial"/>
          <w:i/>
          <w:iCs/>
          <w:sz w:val="24"/>
          <w:szCs w:val="24"/>
        </w:rPr>
        <w:t>litis</w:t>
      </w:r>
      <w:r>
        <w:rPr>
          <w:rFonts w:ascii="Arial" w:eastAsia="Arial" w:hAnsi="Arial" w:cs="Arial"/>
          <w:sz w:val="24"/>
          <w:szCs w:val="24"/>
        </w:rPr>
        <w:t xml:space="preserve">, sus fundamentos, su motivación, así como por los efectos que de ella deriven; siendo estos aspectos los que circunscriben los alcances de la resolución que deba emitirse sobre el cumplimiento o no de la determinación emitida por el </w:t>
      </w:r>
      <w:r>
        <w:rPr>
          <w:rFonts w:ascii="Arial" w:eastAsia="Arial" w:hAnsi="Arial" w:cs="Arial"/>
          <w:i/>
          <w:iCs/>
          <w:sz w:val="24"/>
          <w:szCs w:val="24"/>
        </w:rPr>
        <w:t>Tribunal Electoral.</w:t>
      </w:r>
      <w:r>
        <w:rPr>
          <w:rFonts w:ascii="Arial" w:eastAsia="Arial" w:hAnsi="Arial" w:cs="Arial"/>
          <w:sz w:val="24"/>
          <w:szCs w:val="24"/>
        </w:rPr>
        <w:t xml:space="preserve"> </w:t>
      </w:r>
    </w:p>
    <w:p w14:paraId="36BB5F4E" w14:textId="77777777" w:rsidR="009E02A1" w:rsidRDefault="009E02A1">
      <w:pPr>
        <w:spacing w:after="0" w:line="360" w:lineRule="auto"/>
        <w:jc w:val="both"/>
        <w:rPr>
          <w:rFonts w:ascii="Arial" w:eastAsia="Arial" w:hAnsi="Arial" w:cs="Arial"/>
          <w:sz w:val="24"/>
          <w:szCs w:val="24"/>
        </w:rPr>
      </w:pPr>
    </w:p>
    <w:p w14:paraId="4D440741"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Por tanto, solo se hará cumplir aquello que se ordenó expresamente en su resolución, con el objeto de materializar lo determinado por el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y así lograr un cumplimiento eficaz en apego a lo que fue resuelto por este.</w:t>
      </w:r>
    </w:p>
    <w:p w14:paraId="45D7333C" w14:textId="77777777" w:rsidR="009E02A1" w:rsidRDefault="009E02A1">
      <w:pPr>
        <w:spacing w:after="0" w:line="360" w:lineRule="auto"/>
        <w:jc w:val="both"/>
        <w:rPr>
          <w:rFonts w:ascii="Arial" w:eastAsia="Arial" w:hAnsi="Arial" w:cs="Arial"/>
          <w:sz w:val="24"/>
          <w:szCs w:val="24"/>
        </w:rPr>
      </w:pPr>
    </w:p>
    <w:p w14:paraId="6BD570D7" w14:textId="77777777" w:rsidR="009E02A1" w:rsidRDefault="00000000">
      <w:pPr>
        <w:numPr>
          <w:ilvl w:val="0"/>
          <w:numId w:val="1"/>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bCs/>
          <w:color w:val="000000"/>
          <w:sz w:val="24"/>
          <w:szCs w:val="24"/>
        </w:rPr>
        <w:t>Material probatorio</w:t>
      </w:r>
    </w:p>
    <w:p w14:paraId="7656E575" w14:textId="77777777" w:rsidR="009E02A1" w:rsidRDefault="009E02A1">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7EADB55B"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lastRenderedPageBreak/>
        <w:t xml:space="preserve">En ese sentido, a fin de dar cumplimiento a lo ordenado en la sentencia de mérito se remitieron a este </w:t>
      </w:r>
      <w:r>
        <w:rPr>
          <w:rFonts w:ascii="Arial" w:eastAsia="Arial" w:hAnsi="Arial" w:cs="Arial"/>
          <w:i/>
          <w:iCs/>
          <w:sz w:val="24"/>
          <w:szCs w:val="24"/>
        </w:rPr>
        <w:t xml:space="preserve">Tribunal Electoral </w:t>
      </w:r>
      <w:r>
        <w:rPr>
          <w:rFonts w:ascii="Arial" w:eastAsia="Arial" w:hAnsi="Arial" w:cs="Arial"/>
          <w:sz w:val="24"/>
          <w:szCs w:val="24"/>
        </w:rPr>
        <w:t xml:space="preserve">las siguientes constancias: </w:t>
      </w:r>
    </w:p>
    <w:p w14:paraId="69136E00" w14:textId="77777777" w:rsidR="009E02A1" w:rsidRDefault="009E02A1">
      <w:pPr>
        <w:spacing w:after="0" w:line="360" w:lineRule="auto"/>
        <w:jc w:val="both"/>
        <w:rPr>
          <w:rFonts w:ascii="Arial" w:eastAsia="Arial" w:hAnsi="Arial" w:cs="Arial"/>
          <w:sz w:val="24"/>
          <w:szCs w:val="24"/>
        </w:rPr>
      </w:pPr>
    </w:p>
    <w:p w14:paraId="296FDF47" w14:textId="77777777" w:rsidR="009E02A1" w:rsidRDefault="00000000">
      <w:pPr>
        <w:numPr>
          <w:ilvl w:val="0"/>
          <w:numId w:val="10"/>
        </w:numPr>
        <w:pBdr>
          <w:top w:val="nil"/>
          <w:left w:val="nil"/>
          <w:bottom w:val="nil"/>
          <w:right w:val="nil"/>
          <w:between w:val="nil"/>
        </w:pBdr>
        <w:spacing w:after="0" w:line="360" w:lineRule="auto"/>
        <w:jc w:val="both"/>
        <w:rPr>
          <w:rFonts w:ascii="Arial" w:eastAsia="Arial" w:hAnsi="Arial" w:cs="Arial"/>
          <w:b/>
          <w:bCs/>
          <w:i/>
          <w:iCs/>
          <w:color w:val="000000"/>
          <w:sz w:val="24"/>
          <w:szCs w:val="24"/>
        </w:rPr>
      </w:pPr>
      <w:bookmarkStart w:id="7" w:name="_heading=h.2v0wgs5lp5on" w:colFirst="0" w:colLast="0"/>
      <w:bookmarkEnd w:id="7"/>
      <w:r>
        <w:rPr>
          <w:rFonts w:ascii="Arial" w:eastAsia="Arial" w:hAnsi="Arial" w:cs="Arial"/>
          <w:b/>
          <w:bCs/>
          <w:i/>
          <w:iCs/>
          <w:color w:val="000000"/>
          <w:sz w:val="24"/>
          <w:szCs w:val="24"/>
        </w:rPr>
        <w:t>INE</w:t>
      </w:r>
    </w:p>
    <w:p w14:paraId="43D56223"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i/>
          <w:iCs/>
          <w:color w:val="000000"/>
          <w:sz w:val="24"/>
          <w:szCs w:val="24"/>
        </w:rPr>
      </w:pPr>
    </w:p>
    <w:p w14:paraId="6C22AD28"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Copia certificada de la impresión de correo electrónico y anexo consistente en el oficio INE-UT/00634/2025, de doce de febrero, mediante el cual, el </w:t>
      </w:r>
      <w:r>
        <w:rPr>
          <w:rFonts w:ascii="Arial" w:eastAsia="Arial" w:hAnsi="Arial" w:cs="Arial"/>
          <w:i/>
          <w:iCs/>
          <w:sz w:val="24"/>
          <w:szCs w:val="24"/>
        </w:rPr>
        <w:t>INE</w:t>
      </w:r>
      <w:r>
        <w:rPr>
          <w:rFonts w:ascii="Arial" w:eastAsia="Arial" w:hAnsi="Arial" w:cs="Arial"/>
          <w:sz w:val="24"/>
          <w:szCs w:val="24"/>
        </w:rPr>
        <w:t xml:space="preserve">, informó a este </w:t>
      </w:r>
      <w:r>
        <w:rPr>
          <w:rFonts w:ascii="Arial" w:eastAsia="Arial" w:hAnsi="Arial" w:cs="Arial"/>
          <w:i/>
          <w:iCs/>
          <w:sz w:val="24"/>
          <w:szCs w:val="24"/>
        </w:rPr>
        <w:t>Tribunal Electoral</w:t>
      </w:r>
      <w:r>
        <w:rPr>
          <w:rFonts w:ascii="Arial" w:eastAsia="Arial" w:hAnsi="Arial" w:cs="Arial"/>
          <w:sz w:val="24"/>
          <w:szCs w:val="24"/>
        </w:rPr>
        <w:t xml:space="preserve"> que el </w:t>
      </w:r>
      <w:r>
        <w:rPr>
          <w:rFonts w:ascii="Arial" w:eastAsia="Arial" w:hAnsi="Arial" w:cs="Arial"/>
          <w:i/>
          <w:iCs/>
          <w:sz w:val="24"/>
          <w:szCs w:val="24"/>
        </w:rPr>
        <w:t xml:space="preserve">denunciado </w:t>
      </w:r>
      <w:r>
        <w:rPr>
          <w:rFonts w:ascii="Arial" w:eastAsia="Arial" w:hAnsi="Arial" w:cs="Arial"/>
          <w:sz w:val="24"/>
          <w:szCs w:val="24"/>
        </w:rPr>
        <w:t xml:space="preserve">fue inscrito en el </w:t>
      </w:r>
      <w:r>
        <w:rPr>
          <w:rFonts w:ascii="Arial" w:eastAsia="Arial" w:hAnsi="Arial" w:cs="Arial"/>
          <w:i/>
          <w:iCs/>
          <w:sz w:val="24"/>
          <w:szCs w:val="24"/>
        </w:rPr>
        <w:t>Registro Nacional</w:t>
      </w:r>
      <w:r>
        <w:rPr>
          <w:rFonts w:ascii="Arial" w:eastAsia="Arial" w:hAnsi="Arial" w:cs="Arial"/>
          <w:sz w:val="24"/>
          <w:szCs w:val="24"/>
        </w:rPr>
        <w:t>.</w:t>
      </w:r>
      <w:r>
        <w:rPr>
          <w:rFonts w:ascii="Arial" w:eastAsia="Arial" w:hAnsi="Arial" w:cs="Arial"/>
          <w:sz w:val="24"/>
          <w:szCs w:val="24"/>
          <w:vertAlign w:val="superscript"/>
        </w:rPr>
        <w:footnoteReference w:id="30"/>
      </w:r>
      <w:r>
        <w:rPr>
          <w:rFonts w:ascii="Arial" w:eastAsia="Arial" w:hAnsi="Arial" w:cs="Arial"/>
          <w:sz w:val="24"/>
          <w:szCs w:val="24"/>
        </w:rPr>
        <w:t xml:space="preserve"> </w:t>
      </w:r>
    </w:p>
    <w:p w14:paraId="0959CC93" w14:textId="77777777" w:rsidR="009E02A1" w:rsidRDefault="009E02A1">
      <w:pPr>
        <w:spacing w:after="0" w:line="360" w:lineRule="auto"/>
        <w:jc w:val="both"/>
        <w:rPr>
          <w:rFonts w:ascii="Arial" w:eastAsia="Arial" w:hAnsi="Arial" w:cs="Arial"/>
          <w:sz w:val="24"/>
          <w:szCs w:val="24"/>
        </w:rPr>
      </w:pPr>
    </w:p>
    <w:p w14:paraId="5509CC63" w14:textId="77777777" w:rsidR="009E02A1" w:rsidRDefault="00000000">
      <w:pPr>
        <w:numPr>
          <w:ilvl w:val="0"/>
          <w:numId w:val="10"/>
        </w:numPr>
        <w:pBdr>
          <w:top w:val="nil"/>
          <w:left w:val="nil"/>
          <w:bottom w:val="nil"/>
          <w:right w:val="nil"/>
          <w:between w:val="nil"/>
        </w:pBdr>
        <w:spacing w:after="0" w:line="360" w:lineRule="auto"/>
        <w:jc w:val="both"/>
        <w:rPr>
          <w:rFonts w:ascii="Arial" w:eastAsia="Arial" w:hAnsi="Arial" w:cs="Arial"/>
          <w:b/>
          <w:bCs/>
          <w:i/>
          <w:iCs/>
          <w:color w:val="000000"/>
          <w:sz w:val="24"/>
          <w:szCs w:val="24"/>
        </w:rPr>
      </w:pPr>
      <w:r>
        <w:rPr>
          <w:rFonts w:ascii="Arial" w:eastAsia="Arial" w:hAnsi="Arial" w:cs="Arial"/>
          <w:b/>
          <w:bCs/>
          <w:i/>
          <w:iCs/>
          <w:color w:val="000000"/>
          <w:sz w:val="24"/>
          <w:szCs w:val="24"/>
        </w:rPr>
        <w:t>IEM</w:t>
      </w:r>
    </w:p>
    <w:p w14:paraId="73F2D983"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i/>
          <w:iCs/>
          <w:color w:val="000000"/>
          <w:sz w:val="24"/>
          <w:szCs w:val="24"/>
        </w:rPr>
      </w:pPr>
    </w:p>
    <w:p w14:paraId="468F77D7" w14:textId="77777777" w:rsidR="009E02A1" w:rsidRDefault="00000000">
      <w:pPr>
        <w:numPr>
          <w:ilvl w:val="0"/>
          <w:numId w:val="8"/>
        </w:numPr>
        <w:pBdr>
          <w:top w:val="nil"/>
          <w:left w:val="nil"/>
          <w:bottom w:val="nil"/>
          <w:right w:val="nil"/>
          <w:between w:val="nil"/>
        </w:pBdr>
        <w:spacing w:after="0" w:line="360" w:lineRule="auto"/>
        <w:ind w:left="426" w:hanging="491"/>
        <w:jc w:val="both"/>
        <w:rPr>
          <w:rFonts w:ascii="Arial" w:eastAsia="Arial" w:hAnsi="Arial" w:cs="Arial"/>
          <w:b/>
          <w:bCs/>
          <w:i/>
          <w:iCs/>
          <w:color w:val="000000"/>
          <w:sz w:val="24"/>
          <w:szCs w:val="24"/>
        </w:rPr>
      </w:pPr>
      <w:r>
        <w:rPr>
          <w:rFonts w:ascii="Arial" w:eastAsia="Arial" w:hAnsi="Arial" w:cs="Arial"/>
          <w:color w:val="000000"/>
          <w:sz w:val="24"/>
          <w:szCs w:val="24"/>
        </w:rPr>
        <w:t>Original del oficio IEM-SE-CE-85/2025,</w:t>
      </w:r>
      <w:r>
        <w:rPr>
          <w:rFonts w:ascii="Arial" w:eastAsia="Arial" w:hAnsi="Arial" w:cs="Arial"/>
          <w:color w:val="000000"/>
          <w:sz w:val="24"/>
          <w:szCs w:val="24"/>
          <w:vertAlign w:val="superscript"/>
        </w:rPr>
        <w:footnoteReference w:id="31"/>
      </w:r>
      <w:r>
        <w:rPr>
          <w:rFonts w:ascii="Arial" w:eastAsia="Arial" w:hAnsi="Arial" w:cs="Arial"/>
          <w:color w:val="000000"/>
          <w:sz w:val="24"/>
          <w:szCs w:val="24"/>
        </w:rPr>
        <w:t xml:space="preserve"> de once de febrero, signado por el titular de la Coordinación de lo Contencioso Electoral de la Secretaría Ejecutiva del </w:t>
      </w:r>
      <w:r>
        <w:rPr>
          <w:rFonts w:ascii="Arial" w:eastAsia="Arial" w:hAnsi="Arial" w:cs="Arial"/>
          <w:i/>
          <w:iCs/>
          <w:color w:val="000000"/>
          <w:sz w:val="24"/>
          <w:szCs w:val="24"/>
        </w:rPr>
        <w:t>IEM</w:t>
      </w:r>
      <w:r>
        <w:rPr>
          <w:rFonts w:ascii="Arial" w:eastAsia="Arial" w:hAnsi="Arial" w:cs="Arial"/>
          <w:color w:val="000000"/>
          <w:sz w:val="24"/>
          <w:szCs w:val="24"/>
        </w:rPr>
        <w:t xml:space="preserve">, mediante el cual, informó a este </w:t>
      </w:r>
      <w:r>
        <w:rPr>
          <w:rFonts w:ascii="Arial" w:eastAsia="Arial" w:hAnsi="Arial" w:cs="Arial"/>
          <w:i/>
          <w:iCs/>
          <w:color w:val="000000"/>
          <w:sz w:val="24"/>
          <w:szCs w:val="24"/>
        </w:rPr>
        <w:t>Órgano jurisdiccional</w:t>
      </w:r>
      <w:r>
        <w:rPr>
          <w:rFonts w:ascii="Arial" w:eastAsia="Arial" w:hAnsi="Arial" w:cs="Arial"/>
          <w:color w:val="000000"/>
          <w:sz w:val="24"/>
          <w:szCs w:val="24"/>
        </w:rPr>
        <w:t xml:space="preserve"> la inscripción del </w:t>
      </w:r>
      <w:r>
        <w:rPr>
          <w:rFonts w:ascii="Arial" w:eastAsia="Arial" w:hAnsi="Arial" w:cs="Arial"/>
          <w:i/>
          <w:iCs/>
          <w:color w:val="000000"/>
          <w:sz w:val="24"/>
          <w:szCs w:val="24"/>
        </w:rPr>
        <w:t xml:space="preserve">denunciado </w:t>
      </w:r>
      <w:r>
        <w:rPr>
          <w:rFonts w:ascii="Arial" w:eastAsia="Arial" w:hAnsi="Arial" w:cs="Arial"/>
          <w:color w:val="000000"/>
          <w:sz w:val="24"/>
          <w:szCs w:val="24"/>
        </w:rPr>
        <w:t xml:space="preserve">al </w:t>
      </w:r>
      <w:r>
        <w:rPr>
          <w:rFonts w:ascii="Arial" w:eastAsia="Arial" w:hAnsi="Arial" w:cs="Arial"/>
          <w:i/>
          <w:iCs/>
          <w:color w:val="000000"/>
          <w:sz w:val="24"/>
          <w:szCs w:val="24"/>
        </w:rPr>
        <w:t>Registro Estatal</w:t>
      </w:r>
      <w:r>
        <w:rPr>
          <w:rFonts w:ascii="Arial" w:eastAsia="Arial" w:hAnsi="Arial" w:cs="Arial"/>
          <w:color w:val="000000"/>
          <w:sz w:val="24"/>
          <w:szCs w:val="24"/>
        </w:rPr>
        <w:t>, y anexo consistente en:</w:t>
      </w:r>
    </w:p>
    <w:p w14:paraId="08F559B0" w14:textId="77777777" w:rsidR="009E02A1" w:rsidRDefault="009E02A1">
      <w:pPr>
        <w:spacing w:after="0" w:line="360" w:lineRule="auto"/>
        <w:jc w:val="both"/>
        <w:rPr>
          <w:rFonts w:ascii="Arial" w:eastAsia="Arial" w:hAnsi="Arial" w:cs="Arial"/>
          <w:sz w:val="24"/>
          <w:szCs w:val="24"/>
        </w:rPr>
      </w:pPr>
    </w:p>
    <w:p w14:paraId="477E5B9A" w14:textId="77777777" w:rsidR="009E02A1" w:rsidRDefault="00000000">
      <w:pPr>
        <w:numPr>
          <w:ilvl w:val="0"/>
          <w:numId w:val="3"/>
        </w:numPr>
        <w:pBdr>
          <w:top w:val="nil"/>
          <w:left w:val="nil"/>
          <w:bottom w:val="nil"/>
          <w:right w:val="nil"/>
          <w:between w:val="nil"/>
        </w:pBdr>
        <w:spacing w:after="0" w:line="360" w:lineRule="auto"/>
        <w:jc w:val="both"/>
        <w:rPr>
          <w:rFonts w:ascii="Arial" w:eastAsia="Arial" w:hAnsi="Arial" w:cs="Arial"/>
          <w:i/>
          <w:iCs/>
          <w:color w:val="000000"/>
          <w:sz w:val="24"/>
          <w:szCs w:val="24"/>
        </w:rPr>
      </w:pPr>
      <w:r>
        <w:rPr>
          <w:rFonts w:ascii="Arial" w:eastAsia="Arial" w:hAnsi="Arial" w:cs="Arial"/>
          <w:color w:val="000000"/>
          <w:sz w:val="24"/>
          <w:szCs w:val="24"/>
        </w:rPr>
        <w:t>Copia certificada del oficio IEM-COIGNyDH-049/2025,</w:t>
      </w:r>
      <w:r>
        <w:rPr>
          <w:rFonts w:ascii="Arial" w:eastAsia="Arial" w:hAnsi="Arial" w:cs="Arial"/>
          <w:color w:val="000000"/>
          <w:sz w:val="24"/>
          <w:szCs w:val="24"/>
          <w:vertAlign w:val="superscript"/>
        </w:rPr>
        <w:footnoteReference w:id="32"/>
      </w:r>
      <w:r>
        <w:rPr>
          <w:rFonts w:ascii="Arial" w:eastAsia="Arial" w:hAnsi="Arial" w:cs="Arial"/>
          <w:color w:val="000000"/>
          <w:sz w:val="24"/>
          <w:szCs w:val="24"/>
        </w:rPr>
        <w:t xml:space="preserve"> de siete de febrero, signado por la Titular de la Coordinación de Igualdad de Género, no Discriminación y Derechos Humanos del IEM a través del cual informa al Coordinador de lo Contencioso Electoral del</w:t>
      </w:r>
      <w:r>
        <w:rPr>
          <w:rFonts w:ascii="Arial" w:eastAsia="Arial" w:hAnsi="Arial" w:cs="Arial"/>
          <w:i/>
          <w:iCs/>
          <w:color w:val="000000"/>
          <w:sz w:val="24"/>
          <w:szCs w:val="24"/>
        </w:rPr>
        <w:t xml:space="preserve"> IEM</w:t>
      </w:r>
      <w:r>
        <w:rPr>
          <w:rFonts w:ascii="Arial" w:eastAsia="Arial" w:hAnsi="Arial" w:cs="Arial"/>
          <w:color w:val="000000"/>
          <w:sz w:val="24"/>
          <w:szCs w:val="24"/>
        </w:rPr>
        <w:t xml:space="preserve"> que dicha coordinación realizó la inscripción del </w:t>
      </w:r>
      <w:r>
        <w:rPr>
          <w:rFonts w:ascii="Arial" w:eastAsia="Arial" w:hAnsi="Arial" w:cs="Arial"/>
          <w:i/>
          <w:iCs/>
          <w:color w:val="000000"/>
          <w:sz w:val="24"/>
          <w:szCs w:val="24"/>
        </w:rPr>
        <w:t>denunciado</w:t>
      </w:r>
      <w:r>
        <w:rPr>
          <w:rFonts w:ascii="Arial" w:eastAsia="Arial" w:hAnsi="Arial" w:cs="Arial"/>
          <w:color w:val="000000"/>
          <w:sz w:val="24"/>
          <w:szCs w:val="24"/>
        </w:rPr>
        <w:t xml:space="preserve"> en el </w:t>
      </w:r>
      <w:r>
        <w:rPr>
          <w:rFonts w:ascii="Arial" w:eastAsia="Arial" w:hAnsi="Arial" w:cs="Arial"/>
          <w:i/>
          <w:iCs/>
          <w:color w:val="000000"/>
          <w:sz w:val="24"/>
          <w:szCs w:val="24"/>
        </w:rPr>
        <w:t>Registro Estatal.</w:t>
      </w:r>
      <w:r>
        <w:rPr>
          <w:rFonts w:ascii="Arial" w:eastAsia="Arial" w:hAnsi="Arial" w:cs="Arial"/>
          <w:color w:val="000000"/>
          <w:sz w:val="24"/>
          <w:szCs w:val="24"/>
        </w:rPr>
        <w:t xml:space="preserve"> </w:t>
      </w:r>
    </w:p>
    <w:p w14:paraId="558CF24B" w14:textId="77777777" w:rsidR="009E02A1" w:rsidRDefault="009E02A1">
      <w:pPr>
        <w:pBdr>
          <w:top w:val="nil"/>
          <w:left w:val="nil"/>
          <w:bottom w:val="nil"/>
          <w:right w:val="nil"/>
          <w:between w:val="nil"/>
        </w:pBdr>
        <w:spacing w:after="0" w:line="360" w:lineRule="auto"/>
        <w:ind w:left="720"/>
        <w:jc w:val="both"/>
        <w:rPr>
          <w:rFonts w:ascii="Arial" w:eastAsia="Arial" w:hAnsi="Arial" w:cs="Arial"/>
          <w:i/>
          <w:iCs/>
          <w:color w:val="000000"/>
          <w:sz w:val="24"/>
          <w:szCs w:val="24"/>
        </w:rPr>
      </w:pPr>
    </w:p>
    <w:p w14:paraId="1B380ECD" w14:textId="77777777" w:rsidR="009E02A1" w:rsidRDefault="00000000">
      <w:pPr>
        <w:numPr>
          <w:ilvl w:val="0"/>
          <w:numId w:val="8"/>
        </w:numPr>
        <w:pBdr>
          <w:top w:val="nil"/>
          <w:left w:val="nil"/>
          <w:bottom w:val="nil"/>
          <w:right w:val="nil"/>
          <w:between w:val="nil"/>
        </w:pBdr>
        <w:spacing w:after="0" w:line="360" w:lineRule="auto"/>
        <w:ind w:left="426"/>
        <w:jc w:val="both"/>
        <w:rPr>
          <w:rFonts w:ascii="Arial" w:eastAsia="Arial" w:hAnsi="Arial" w:cs="Arial"/>
          <w:color w:val="000000"/>
          <w:sz w:val="24"/>
          <w:szCs w:val="24"/>
        </w:rPr>
      </w:pPr>
      <w:r>
        <w:rPr>
          <w:rFonts w:ascii="Arial" w:eastAsia="Arial" w:hAnsi="Arial" w:cs="Arial"/>
          <w:color w:val="000000"/>
          <w:sz w:val="24"/>
          <w:szCs w:val="24"/>
        </w:rPr>
        <w:t>Original del oficio IEM-DEAPyPP-232/2025 de dieciséis de junio,</w:t>
      </w:r>
      <w:r>
        <w:rPr>
          <w:color w:val="000000"/>
          <w:vertAlign w:val="superscript"/>
        </w:rPr>
        <w:footnoteReference w:id="33"/>
      </w:r>
      <w:r>
        <w:rPr>
          <w:rFonts w:ascii="Arial" w:eastAsia="Arial" w:hAnsi="Arial" w:cs="Arial"/>
          <w:color w:val="000000"/>
          <w:sz w:val="24"/>
          <w:szCs w:val="24"/>
        </w:rPr>
        <w:t xml:space="preserve"> signado por el Director Ejecutivo de Administración de Prerrogativas y Partidos Políticos del </w:t>
      </w:r>
      <w:r>
        <w:rPr>
          <w:rFonts w:ascii="Arial" w:eastAsia="Arial" w:hAnsi="Arial" w:cs="Arial"/>
          <w:i/>
          <w:iCs/>
          <w:color w:val="000000"/>
          <w:sz w:val="24"/>
          <w:szCs w:val="24"/>
        </w:rPr>
        <w:t>IEM</w:t>
      </w:r>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34"/>
      </w:r>
      <w:r>
        <w:rPr>
          <w:rFonts w:ascii="Arial" w:eastAsia="Arial" w:hAnsi="Arial" w:cs="Arial"/>
          <w:color w:val="000000"/>
          <w:sz w:val="24"/>
          <w:szCs w:val="24"/>
        </w:rPr>
        <w:t xml:space="preserve"> a través del cual, informó a este </w:t>
      </w:r>
      <w:r>
        <w:rPr>
          <w:rFonts w:ascii="Arial" w:eastAsia="Arial" w:hAnsi="Arial" w:cs="Arial"/>
          <w:i/>
          <w:iCs/>
          <w:color w:val="000000"/>
          <w:sz w:val="24"/>
          <w:szCs w:val="24"/>
        </w:rPr>
        <w:t>Órgano Jurisdiccional</w:t>
      </w:r>
      <w:r>
        <w:rPr>
          <w:rFonts w:ascii="Arial" w:eastAsia="Arial" w:hAnsi="Arial" w:cs="Arial"/>
          <w:color w:val="000000"/>
          <w:sz w:val="24"/>
          <w:szCs w:val="24"/>
        </w:rPr>
        <w:t xml:space="preserve">, que el </w:t>
      </w:r>
      <w:r>
        <w:rPr>
          <w:rFonts w:ascii="Arial" w:eastAsia="Arial" w:hAnsi="Arial" w:cs="Arial"/>
          <w:i/>
          <w:iCs/>
          <w:color w:val="000000"/>
          <w:sz w:val="24"/>
          <w:szCs w:val="24"/>
        </w:rPr>
        <w:t>denunciado</w:t>
      </w:r>
      <w:r>
        <w:rPr>
          <w:rFonts w:ascii="Arial" w:eastAsia="Arial" w:hAnsi="Arial" w:cs="Arial"/>
          <w:color w:val="000000"/>
          <w:sz w:val="24"/>
          <w:szCs w:val="24"/>
        </w:rPr>
        <w:t xml:space="preserve"> realizó el pago de la multa impuesta en la sentencia de trece de diciembre y anexos consistentes en:</w:t>
      </w:r>
    </w:p>
    <w:p w14:paraId="509C82FF" w14:textId="77777777" w:rsidR="009E02A1" w:rsidRDefault="009E02A1">
      <w:pPr>
        <w:spacing w:after="0" w:line="360" w:lineRule="auto"/>
        <w:jc w:val="both"/>
        <w:rPr>
          <w:rFonts w:ascii="Arial" w:eastAsia="Arial" w:hAnsi="Arial" w:cs="Arial"/>
          <w:sz w:val="24"/>
          <w:szCs w:val="24"/>
        </w:rPr>
      </w:pPr>
    </w:p>
    <w:p w14:paraId="1F5A5724" w14:textId="77777777" w:rsidR="009E02A1" w:rsidRDefault="00000000">
      <w:pPr>
        <w:numPr>
          <w:ilvl w:val="0"/>
          <w:numId w:val="5"/>
        </w:numPr>
        <w:spacing w:after="0" w:line="360" w:lineRule="auto"/>
        <w:jc w:val="both"/>
        <w:rPr>
          <w:rFonts w:ascii="Arial" w:eastAsia="Arial" w:hAnsi="Arial" w:cs="Arial"/>
          <w:sz w:val="24"/>
          <w:szCs w:val="24"/>
        </w:rPr>
      </w:pPr>
      <w:r>
        <w:rPr>
          <w:rFonts w:ascii="Arial" w:eastAsia="Arial" w:hAnsi="Arial" w:cs="Arial"/>
          <w:sz w:val="24"/>
          <w:szCs w:val="24"/>
        </w:rPr>
        <w:t xml:space="preserve">Copia certificada del escrito signado por el </w:t>
      </w:r>
      <w:r>
        <w:rPr>
          <w:rFonts w:ascii="Arial" w:eastAsia="Arial" w:hAnsi="Arial" w:cs="Arial"/>
          <w:i/>
          <w:iCs/>
          <w:sz w:val="24"/>
          <w:szCs w:val="24"/>
        </w:rPr>
        <w:t>denunciado</w:t>
      </w:r>
      <w:r>
        <w:rPr>
          <w:rFonts w:ascii="Arial" w:eastAsia="Arial" w:hAnsi="Arial" w:cs="Arial"/>
          <w:sz w:val="24"/>
          <w:szCs w:val="24"/>
        </w:rPr>
        <w:t xml:space="preserve"> y dirigido al </w:t>
      </w:r>
      <w:r>
        <w:rPr>
          <w:rFonts w:ascii="Arial" w:eastAsia="Arial" w:hAnsi="Arial" w:cs="Arial"/>
          <w:i/>
          <w:iCs/>
          <w:sz w:val="24"/>
          <w:szCs w:val="24"/>
        </w:rPr>
        <w:t>Director de Prerrogativas</w:t>
      </w:r>
      <w:r>
        <w:rPr>
          <w:rFonts w:ascii="Arial" w:eastAsia="Arial" w:hAnsi="Arial" w:cs="Arial"/>
          <w:sz w:val="24"/>
          <w:szCs w:val="24"/>
        </w:rPr>
        <w:t xml:space="preserve">, mediante el cual, le informa que realizó el pago de la multa impuesta por el </w:t>
      </w:r>
      <w:r>
        <w:rPr>
          <w:rFonts w:ascii="Arial" w:eastAsia="Arial" w:hAnsi="Arial" w:cs="Arial"/>
          <w:i/>
          <w:iCs/>
          <w:sz w:val="24"/>
          <w:szCs w:val="24"/>
        </w:rPr>
        <w:t>Tribunal Electoral</w:t>
      </w:r>
      <w:r>
        <w:rPr>
          <w:rFonts w:ascii="Arial" w:eastAsia="Arial" w:hAnsi="Arial" w:cs="Arial"/>
          <w:sz w:val="24"/>
          <w:szCs w:val="24"/>
        </w:rPr>
        <w:t>.</w:t>
      </w:r>
      <w:r>
        <w:rPr>
          <w:rFonts w:ascii="Arial" w:eastAsia="Arial" w:hAnsi="Arial" w:cs="Arial"/>
          <w:sz w:val="24"/>
          <w:szCs w:val="24"/>
          <w:vertAlign w:val="superscript"/>
        </w:rPr>
        <w:footnoteReference w:id="35"/>
      </w:r>
    </w:p>
    <w:p w14:paraId="67CDC622" w14:textId="77777777" w:rsidR="009E02A1" w:rsidRDefault="00000000">
      <w:pPr>
        <w:numPr>
          <w:ilvl w:val="0"/>
          <w:numId w:val="5"/>
        </w:numPr>
        <w:spacing w:after="0" w:line="360" w:lineRule="auto"/>
        <w:jc w:val="both"/>
        <w:rPr>
          <w:rFonts w:ascii="Arial" w:eastAsia="Arial" w:hAnsi="Arial" w:cs="Arial"/>
          <w:sz w:val="24"/>
          <w:szCs w:val="24"/>
        </w:rPr>
      </w:pPr>
      <w:r>
        <w:rPr>
          <w:rFonts w:ascii="Arial" w:eastAsia="Arial" w:hAnsi="Arial" w:cs="Arial"/>
          <w:sz w:val="24"/>
          <w:szCs w:val="24"/>
        </w:rPr>
        <w:lastRenderedPageBreak/>
        <w:t xml:space="preserve">Copia certificada del comprobante de pago de veintiocho de mayo, efectuado por el </w:t>
      </w:r>
      <w:r>
        <w:rPr>
          <w:rFonts w:ascii="Arial" w:eastAsia="Arial" w:hAnsi="Arial" w:cs="Arial"/>
          <w:i/>
          <w:iCs/>
          <w:sz w:val="24"/>
          <w:szCs w:val="24"/>
        </w:rPr>
        <w:t>denunciado</w:t>
      </w:r>
      <w:r>
        <w:rPr>
          <w:rFonts w:ascii="Arial" w:eastAsia="Arial" w:hAnsi="Arial" w:cs="Arial"/>
          <w:sz w:val="24"/>
          <w:szCs w:val="24"/>
        </w:rPr>
        <w:t xml:space="preserve"> en cumplimiento a lo ordenado en la sentencia dictada por este </w:t>
      </w:r>
      <w:r>
        <w:rPr>
          <w:rFonts w:ascii="Arial" w:eastAsia="Arial" w:hAnsi="Arial" w:cs="Arial"/>
          <w:i/>
          <w:iCs/>
          <w:sz w:val="24"/>
          <w:szCs w:val="24"/>
        </w:rPr>
        <w:t>Órgano jurisdiccional</w:t>
      </w:r>
      <w:r>
        <w:rPr>
          <w:rFonts w:ascii="Arial" w:eastAsia="Arial" w:hAnsi="Arial" w:cs="Arial"/>
          <w:sz w:val="24"/>
          <w:szCs w:val="24"/>
        </w:rPr>
        <w:t xml:space="preserve"> el trece diciembre.</w:t>
      </w:r>
      <w:r>
        <w:rPr>
          <w:rFonts w:ascii="Arial" w:eastAsia="Arial" w:hAnsi="Arial" w:cs="Arial"/>
          <w:sz w:val="24"/>
          <w:szCs w:val="24"/>
          <w:vertAlign w:val="superscript"/>
        </w:rPr>
        <w:footnoteReference w:id="36"/>
      </w:r>
    </w:p>
    <w:p w14:paraId="5C37002F" w14:textId="77777777" w:rsidR="009E02A1" w:rsidRDefault="00000000">
      <w:pPr>
        <w:numPr>
          <w:ilvl w:val="0"/>
          <w:numId w:val="5"/>
        </w:numPr>
        <w:spacing w:after="0" w:line="360" w:lineRule="auto"/>
        <w:jc w:val="both"/>
        <w:rPr>
          <w:rFonts w:ascii="Arial" w:eastAsia="Arial" w:hAnsi="Arial" w:cs="Arial"/>
          <w:sz w:val="24"/>
          <w:szCs w:val="24"/>
        </w:rPr>
      </w:pPr>
      <w:r>
        <w:rPr>
          <w:rFonts w:ascii="Arial" w:eastAsia="Arial" w:hAnsi="Arial" w:cs="Arial"/>
          <w:sz w:val="24"/>
          <w:szCs w:val="24"/>
        </w:rPr>
        <w:t>Estado de cuenta.</w:t>
      </w:r>
      <w:r>
        <w:rPr>
          <w:rFonts w:ascii="Arial" w:eastAsia="Arial" w:hAnsi="Arial" w:cs="Arial"/>
          <w:sz w:val="24"/>
          <w:szCs w:val="24"/>
          <w:vertAlign w:val="superscript"/>
        </w:rPr>
        <w:footnoteReference w:id="37"/>
      </w:r>
    </w:p>
    <w:p w14:paraId="450EF240" w14:textId="77777777" w:rsidR="009E02A1" w:rsidRDefault="009E02A1">
      <w:pPr>
        <w:spacing w:after="0" w:line="360" w:lineRule="auto"/>
        <w:ind w:left="720"/>
        <w:jc w:val="both"/>
        <w:rPr>
          <w:rFonts w:ascii="Arial" w:eastAsia="Arial" w:hAnsi="Arial" w:cs="Arial"/>
          <w:sz w:val="24"/>
          <w:szCs w:val="24"/>
        </w:rPr>
      </w:pPr>
    </w:p>
    <w:p w14:paraId="69705FA8" w14:textId="77777777" w:rsidR="009E02A1" w:rsidRDefault="00000000">
      <w:pPr>
        <w:numPr>
          <w:ilvl w:val="0"/>
          <w:numId w:val="10"/>
        </w:numPr>
        <w:pBdr>
          <w:top w:val="nil"/>
          <w:left w:val="nil"/>
          <w:bottom w:val="nil"/>
          <w:right w:val="nil"/>
          <w:between w:val="nil"/>
        </w:pBdr>
        <w:spacing w:after="0" w:line="360" w:lineRule="auto"/>
        <w:jc w:val="both"/>
        <w:rPr>
          <w:rFonts w:ascii="Arial" w:eastAsia="Arial" w:hAnsi="Arial" w:cs="Arial"/>
          <w:b/>
          <w:bCs/>
          <w:i/>
          <w:iCs/>
          <w:color w:val="000000"/>
          <w:sz w:val="24"/>
          <w:szCs w:val="24"/>
        </w:rPr>
      </w:pPr>
      <w:r>
        <w:rPr>
          <w:rFonts w:ascii="Arial" w:eastAsia="Arial" w:hAnsi="Arial" w:cs="Arial"/>
          <w:b/>
          <w:bCs/>
          <w:i/>
          <w:iCs/>
          <w:color w:val="000000"/>
          <w:sz w:val="24"/>
          <w:szCs w:val="24"/>
        </w:rPr>
        <w:t>Secretaria de Igualdad</w:t>
      </w:r>
    </w:p>
    <w:p w14:paraId="1712AB24" w14:textId="77777777" w:rsidR="009E02A1" w:rsidRDefault="009E02A1">
      <w:pPr>
        <w:spacing w:after="0" w:line="360" w:lineRule="auto"/>
        <w:jc w:val="both"/>
        <w:rPr>
          <w:rFonts w:ascii="Arial" w:eastAsia="Arial" w:hAnsi="Arial" w:cs="Arial"/>
          <w:sz w:val="24"/>
          <w:szCs w:val="24"/>
        </w:rPr>
      </w:pPr>
    </w:p>
    <w:p w14:paraId="423C4843" w14:textId="77777777" w:rsidR="009E02A1" w:rsidRDefault="00000000">
      <w:pPr>
        <w:numPr>
          <w:ilvl w:val="0"/>
          <w:numId w:val="9"/>
        </w:numPr>
        <w:pBdr>
          <w:top w:val="nil"/>
          <w:left w:val="nil"/>
          <w:bottom w:val="nil"/>
          <w:right w:val="nil"/>
          <w:between w:val="nil"/>
        </w:pBdr>
        <w:spacing w:after="0" w:line="360" w:lineRule="auto"/>
        <w:ind w:left="426"/>
        <w:jc w:val="both"/>
        <w:rPr>
          <w:rFonts w:ascii="Arial" w:eastAsia="Arial" w:hAnsi="Arial" w:cs="Arial"/>
          <w:color w:val="000000"/>
          <w:sz w:val="24"/>
          <w:szCs w:val="24"/>
        </w:rPr>
      </w:pPr>
      <w:bookmarkStart w:id="8" w:name="_heading=h.yg0iys9aifdc" w:colFirst="0" w:colLast="0"/>
      <w:bookmarkEnd w:id="8"/>
      <w:r>
        <w:rPr>
          <w:rFonts w:ascii="Arial" w:eastAsia="Arial" w:hAnsi="Arial" w:cs="Arial"/>
          <w:color w:val="000000"/>
          <w:sz w:val="24"/>
          <w:szCs w:val="24"/>
        </w:rPr>
        <w:t>Original del escrito</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signado por la Apoderada Jurídica de la </w:t>
      </w:r>
      <w:r>
        <w:rPr>
          <w:rFonts w:ascii="Arial" w:eastAsia="Arial" w:hAnsi="Arial" w:cs="Arial"/>
          <w:i/>
          <w:iCs/>
          <w:color w:val="000000"/>
          <w:sz w:val="24"/>
          <w:szCs w:val="24"/>
        </w:rPr>
        <w:t>Secretaría de Igualdad</w:t>
      </w:r>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38"/>
      </w:r>
      <w:r>
        <w:rPr>
          <w:rFonts w:ascii="Arial" w:eastAsia="Arial" w:hAnsi="Arial" w:cs="Arial"/>
          <w:color w:val="000000"/>
          <w:sz w:val="24"/>
          <w:szCs w:val="24"/>
        </w:rPr>
        <w:t xml:space="preserve"> presentado el dieciocho de febrero ante la Oficialía de Partes de este </w:t>
      </w:r>
      <w:r>
        <w:rPr>
          <w:rFonts w:ascii="Arial" w:eastAsia="Arial" w:hAnsi="Arial" w:cs="Arial"/>
          <w:i/>
          <w:iCs/>
          <w:color w:val="000000"/>
          <w:sz w:val="24"/>
          <w:szCs w:val="24"/>
        </w:rPr>
        <w:t>Tribunal Electoral</w:t>
      </w:r>
      <w:r>
        <w:rPr>
          <w:rFonts w:ascii="Arial" w:eastAsia="Arial" w:hAnsi="Arial" w:cs="Arial"/>
          <w:color w:val="000000"/>
          <w:sz w:val="24"/>
          <w:szCs w:val="24"/>
        </w:rPr>
        <w:t xml:space="preserve">, mediante el cual informa que el </w:t>
      </w:r>
      <w:r>
        <w:rPr>
          <w:rFonts w:ascii="Arial" w:eastAsia="Arial" w:hAnsi="Arial" w:cs="Arial"/>
          <w:i/>
          <w:iCs/>
          <w:color w:val="000000"/>
          <w:sz w:val="24"/>
          <w:szCs w:val="24"/>
        </w:rPr>
        <w:t>denunciado</w:t>
      </w:r>
      <w:r>
        <w:rPr>
          <w:rFonts w:ascii="Arial" w:eastAsia="Arial" w:hAnsi="Arial" w:cs="Arial"/>
          <w:color w:val="000000"/>
          <w:sz w:val="24"/>
          <w:szCs w:val="24"/>
        </w:rPr>
        <w:t xml:space="preserve"> no asistió al programa de capacitación que implementó en cumplimiento a lo ordenado en la sentencia emitida el trece de diciembre y anexo consistente en:</w:t>
      </w:r>
    </w:p>
    <w:p w14:paraId="1DAD176C" w14:textId="77777777" w:rsidR="009E02A1" w:rsidRDefault="009E02A1">
      <w:pPr>
        <w:spacing w:after="0" w:line="360" w:lineRule="auto"/>
        <w:jc w:val="both"/>
        <w:rPr>
          <w:rFonts w:ascii="Arial" w:eastAsia="Arial" w:hAnsi="Arial" w:cs="Arial"/>
          <w:sz w:val="24"/>
          <w:szCs w:val="24"/>
        </w:rPr>
      </w:pPr>
    </w:p>
    <w:p w14:paraId="14683EFD" w14:textId="77777777" w:rsidR="009E02A1" w:rsidRDefault="00000000">
      <w:pPr>
        <w:numPr>
          <w:ilvl w:val="0"/>
          <w:numId w:val="3"/>
        </w:numPr>
        <w:pBdr>
          <w:top w:val="nil"/>
          <w:left w:val="nil"/>
          <w:bottom w:val="nil"/>
          <w:right w:val="nil"/>
          <w:between w:val="nil"/>
        </w:pBdr>
        <w:spacing w:after="0" w:line="360" w:lineRule="auto"/>
        <w:jc w:val="both"/>
        <w:rPr>
          <w:rFonts w:ascii="Arial" w:eastAsia="Arial" w:hAnsi="Arial" w:cs="Arial"/>
          <w:color w:val="000000"/>
          <w:sz w:val="24"/>
          <w:szCs w:val="24"/>
        </w:rPr>
      </w:pPr>
      <w:bookmarkStart w:id="10" w:name="_heading=h.j43bjvyszy15" w:colFirst="0" w:colLast="0"/>
      <w:bookmarkEnd w:id="10"/>
      <w:r>
        <w:rPr>
          <w:rFonts w:ascii="Arial" w:eastAsia="Arial" w:hAnsi="Arial" w:cs="Arial"/>
          <w:color w:val="000000"/>
          <w:sz w:val="24"/>
          <w:szCs w:val="24"/>
        </w:rPr>
        <w:t>Copia simple del escrito</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signado por la Apoderada Jurídica de la </w:t>
      </w:r>
      <w:r>
        <w:rPr>
          <w:rFonts w:ascii="Arial" w:eastAsia="Arial" w:hAnsi="Arial" w:cs="Arial"/>
          <w:i/>
          <w:iCs/>
          <w:color w:val="000000"/>
          <w:sz w:val="24"/>
          <w:szCs w:val="24"/>
        </w:rPr>
        <w:t>Secretaría de Igualdad</w:t>
      </w:r>
      <w:r>
        <w:rPr>
          <w:rFonts w:ascii="Arial" w:eastAsia="Arial" w:hAnsi="Arial" w:cs="Arial"/>
          <w:color w:val="000000"/>
          <w:sz w:val="24"/>
          <w:szCs w:val="24"/>
        </w:rPr>
        <w:t xml:space="preserve">, mediante el cual informó a este </w:t>
      </w:r>
      <w:r>
        <w:rPr>
          <w:rFonts w:ascii="Arial" w:eastAsia="Arial" w:hAnsi="Arial" w:cs="Arial"/>
          <w:i/>
          <w:iCs/>
          <w:color w:val="000000"/>
          <w:sz w:val="24"/>
          <w:szCs w:val="24"/>
        </w:rPr>
        <w:t>Tribunal Electoral</w:t>
      </w:r>
      <w:r>
        <w:rPr>
          <w:rFonts w:ascii="Arial" w:eastAsia="Arial" w:hAnsi="Arial" w:cs="Arial"/>
          <w:color w:val="000000"/>
          <w:sz w:val="24"/>
          <w:szCs w:val="24"/>
        </w:rPr>
        <w:t xml:space="preserve"> las fechas del programa al que fue vinculada a realizar y le solicitó notificar las fechas y lugar del programa, al </w:t>
      </w:r>
      <w:r>
        <w:rPr>
          <w:rFonts w:ascii="Arial" w:eastAsia="Arial" w:hAnsi="Arial" w:cs="Arial"/>
          <w:i/>
          <w:iCs/>
          <w:color w:val="000000"/>
          <w:sz w:val="24"/>
          <w:szCs w:val="24"/>
        </w:rPr>
        <w:t>denunciado</w:t>
      </w:r>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39"/>
      </w:r>
      <w:r>
        <w:rPr>
          <w:rFonts w:ascii="Arial" w:eastAsia="Arial" w:hAnsi="Arial" w:cs="Arial"/>
          <w:color w:val="000000"/>
          <w:sz w:val="24"/>
          <w:szCs w:val="24"/>
        </w:rPr>
        <w:t xml:space="preserve"> </w:t>
      </w:r>
    </w:p>
    <w:p w14:paraId="7E451E96" w14:textId="77777777" w:rsidR="009E02A1" w:rsidRDefault="009E02A1">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3CB366EA" w14:textId="77777777" w:rsidR="009E02A1" w:rsidRDefault="00000000">
      <w:pPr>
        <w:numPr>
          <w:ilvl w:val="0"/>
          <w:numId w:val="9"/>
        </w:numPr>
        <w:pBdr>
          <w:top w:val="nil"/>
          <w:left w:val="nil"/>
          <w:bottom w:val="nil"/>
          <w:right w:val="nil"/>
          <w:between w:val="nil"/>
        </w:pBdr>
        <w:spacing w:after="0" w:line="360" w:lineRule="auto"/>
        <w:ind w:left="284"/>
        <w:jc w:val="both"/>
        <w:rPr>
          <w:rFonts w:ascii="Arial" w:eastAsia="Arial" w:hAnsi="Arial" w:cs="Arial"/>
          <w:color w:val="000000"/>
          <w:sz w:val="24"/>
          <w:szCs w:val="24"/>
        </w:rPr>
      </w:pPr>
      <w:r>
        <w:rPr>
          <w:rFonts w:ascii="Arial" w:eastAsia="Arial" w:hAnsi="Arial" w:cs="Arial"/>
          <w:color w:val="000000"/>
          <w:sz w:val="24"/>
          <w:szCs w:val="24"/>
        </w:rPr>
        <w:t>Original del escrito</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signado por la Apoderada Jurídica de la </w:t>
      </w:r>
      <w:r>
        <w:rPr>
          <w:rFonts w:ascii="Arial" w:eastAsia="Arial" w:hAnsi="Arial" w:cs="Arial"/>
          <w:i/>
          <w:iCs/>
          <w:color w:val="000000"/>
          <w:sz w:val="24"/>
          <w:szCs w:val="24"/>
        </w:rPr>
        <w:t>Secretaría de Igualdad</w:t>
      </w:r>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40"/>
      </w:r>
      <w:r>
        <w:rPr>
          <w:rFonts w:ascii="Arial" w:eastAsia="Arial" w:hAnsi="Arial" w:cs="Arial"/>
          <w:color w:val="000000"/>
          <w:sz w:val="24"/>
          <w:szCs w:val="24"/>
        </w:rPr>
        <w:t xml:space="preserve"> presentado el tres de julio ante la Oficialía de Partes de este </w:t>
      </w:r>
      <w:r>
        <w:rPr>
          <w:rFonts w:ascii="Arial" w:eastAsia="Arial" w:hAnsi="Arial" w:cs="Arial"/>
          <w:i/>
          <w:iCs/>
          <w:color w:val="000000"/>
          <w:sz w:val="24"/>
          <w:szCs w:val="24"/>
        </w:rPr>
        <w:t>Tribunal Electoral</w:t>
      </w:r>
      <w:r>
        <w:rPr>
          <w:rFonts w:ascii="Arial" w:eastAsia="Arial" w:hAnsi="Arial" w:cs="Arial"/>
          <w:color w:val="000000"/>
          <w:sz w:val="24"/>
          <w:szCs w:val="24"/>
        </w:rPr>
        <w:t xml:space="preserve">, mediante el cual informó que la Secretaría no tenía ninguna solicitud del </w:t>
      </w:r>
      <w:r>
        <w:rPr>
          <w:rFonts w:ascii="Arial" w:eastAsia="Arial" w:hAnsi="Arial" w:cs="Arial"/>
          <w:i/>
          <w:iCs/>
          <w:color w:val="000000"/>
          <w:sz w:val="24"/>
          <w:szCs w:val="24"/>
        </w:rPr>
        <w:t>denunciado</w:t>
      </w:r>
      <w:r>
        <w:rPr>
          <w:rFonts w:ascii="Arial" w:eastAsia="Arial" w:hAnsi="Arial" w:cs="Arial"/>
          <w:color w:val="000000"/>
          <w:sz w:val="24"/>
          <w:szCs w:val="24"/>
        </w:rPr>
        <w:t xml:space="preserve"> y especificando que la calendarización quedaría del dieciocho al veintidós de agosto.</w:t>
      </w:r>
    </w:p>
    <w:p w14:paraId="497FF3C0" w14:textId="77777777" w:rsidR="009E02A1" w:rsidRDefault="009E02A1">
      <w:pPr>
        <w:pBdr>
          <w:top w:val="nil"/>
          <w:left w:val="nil"/>
          <w:bottom w:val="nil"/>
          <w:right w:val="nil"/>
          <w:between w:val="nil"/>
        </w:pBdr>
        <w:spacing w:after="0" w:line="360" w:lineRule="auto"/>
        <w:ind w:left="284"/>
        <w:jc w:val="both"/>
        <w:rPr>
          <w:rFonts w:ascii="Arial" w:eastAsia="Arial" w:hAnsi="Arial" w:cs="Arial"/>
          <w:color w:val="000000"/>
          <w:sz w:val="24"/>
          <w:szCs w:val="24"/>
        </w:rPr>
      </w:pPr>
    </w:p>
    <w:p w14:paraId="4CB6F74C" w14:textId="77777777" w:rsidR="009E02A1" w:rsidRDefault="00000000">
      <w:pPr>
        <w:numPr>
          <w:ilvl w:val="0"/>
          <w:numId w:val="9"/>
        </w:numPr>
        <w:pBdr>
          <w:top w:val="nil"/>
          <w:left w:val="nil"/>
          <w:bottom w:val="nil"/>
          <w:right w:val="nil"/>
          <w:between w:val="nil"/>
        </w:pBdr>
        <w:spacing w:after="0" w:line="360" w:lineRule="auto"/>
        <w:ind w:left="284"/>
        <w:jc w:val="both"/>
        <w:rPr>
          <w:rFonts w:ascii="Arial" w:eastAsia="Arial" w:hAnsi="Arial" w:cs="Arial"/>
          <w:color w:val="000000"/>
          <w:sz w:val="24"/>
          <w:szCs w:val="24"/>
        </w:rPr>
      </w:pPr>
      <w:r>
        <w:rPr>
          <w:rFonts w:ascii="Arial" w:eastAsia="Arial" w:hAnsi="Arial" w:cs="Arial"/>
          <w:color w:val="000000"/>
          <w:sz w:val="24"/>
          <w:szCs w:val="24"/>
        </w:rPr>
        <w:t>Original del escrito</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signado por la Apoderada Jurídica de la </w:t>
      </w:r>
      <w:r>
        <w:rPr>
          <w:rFonts w:ascii="Arial" w:eastAsia="Arial" w:hAnsi="Arial" w:cs="Arial"/>
          <w:i/>
          <w:iCs/>
          <w:color w:val="000000"/>
          <w:sz w:val="24"/>
          <w:szCs w:val="24"/>
        </w:rPr>
        <w:t>Secretaría de Igualdad</w:t>
      </w:r>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41"/>
      </w:r>
      <w:r>
        <w:rPr>
          <w:rFonts w:ascii="Arial" w:eastAsia="Arial" w:hAnsi="Arial" w:cs="Arial"/>
          <w:color w:val="000000"/>
          <w:sz w:val="24"/>
          <w:szCs w:val="24"/>
        </w:rPr>
        <w:t xml:space="preserve"> presentado el cuatro de septiembre ante la Oficialía de Partes de este </w:t>
      </w:r>
      <w:r>
        <w:rPr>
          <w:rFonts w:ascii="Arial" w:eastAsia="Arial" w:hAnsi="Arial" w:cs="Arial"/>
          <w:i/>
          <w:iCs/>
          <w:color w:val="000000"/>
          <w:sz w:val="24"/>
          <w:szCs w:val="24"/>
        </w:rPr>
        <w:t>Tribunal Electoral</w:t>
      </w:r>
      <w:r>
        <w:rPr>
          <w:rFonts w:ascii="Arial" w:eastAsia="Arial" w:hAnsi="Arial" w:cs="Arial"/>
          <w:color w:val="000000"/>
          <w:sz w:val="24"/>
          <w:szCs w:val="24"/>
        </w:rPr>
        <w:t xml:space="preserve">, mediante el cual informó que el </w:t>
      </w:r>
      <w:r>
        <w:rPr>
          <w:rFonts w:ascii="Arial" w:eastAsia="Arial" w:hAnsi="Arial" w:cs="Arial"/>
          <w:i/>
          <w:iCs/>
          <w:color w:val="000000"/>
          <w:sz w:val="24"/>
          <w:szCs w:val="24"/>
        </w:rPr>
        <w:t>denunciado</w:t>
      </w:r>
      <w:r>
        <w:rPr>
          <w:rFonts w:ascii="Arial" w:eastAsia="Arial" w:hAnsi="Arial" w:cs="Arial"/>
          <w:color w:val="000000"/>
          <w:sz w:val="24"/>
          <w:szCs w:val="24"/>
        </w:rPr>
        <w:t xml:space="preserve"> no asistió al programa de capacitación que implementó en cumplimiento a lo ordenado en la sentencia emitida el trece de diciembre y anexo consistente en:</w:t>
      </w:r>
    </w:p>
    <w:p w14:paraId="223A03B1" w14:textId="77777777" w:rsidR="009E02A1" w:rsidRDefault="009E02A1">
      <w:pPr>
        <w:spacing w:after="0" w:line="360" w:lineRule="auto"/>
        <w:jc w:val="both"/>
        <w:rPr>
          <w:rFonts w:ascii="Arial" w:eastAsia="Arial" w:hAnsi="Arial" w:cs="Arial"/>
          <w:sz w:val="24"/>
          <w:szCs w:val="24"/>
        </w:rPr>
      </w:pPr>
    </w:p>
    <w:p w14:paraId="26AC520D" w14:textId="77777777" w:rsidR="009E02A1" w:rsidRDefault="00000000">
      <w:pPr>
        <w:numPr>
          <w:ilvl w:val="0"/>
          <w:numId w:val="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Informe de capacitaciones Instituto Electoral de Michoacán TEEM-PES-VPMG-199/2024.</w:t>
      </w:r>
      <w:r>
        <w:rPr>
          <w:rFonts w:ascii="Arial" w:eastAsia="Arial" w:hAnsi="Arial" w:cs="Arial"/>
          <w:color w:val="000000"/>
          <w:sz w:val="24"/>
          <w:szCs w:val="24"/>
          <w:vertAlign w:val="superscript"/>
        </w:rPr>
        <w:footnoteReference w:id="42"/>
      </w:r>
      <w:r>
        <w:rPr>
          <w:rFonts w:ascii="Arial" w:eastAsia="Arial" w:hAnsi="Arial" w:cs="Arial"/>
          <w:color w:val="000000"/>
          <w:sz w:val="24"/>
          <w:szCs w:val="24"/>
        </w:rPr>
        <w:t xml:space="preserve"> </w:t>
      </w:r>
    </w:p>
    <w:p w14:paraId="3BD491C4" w14:textId="77777777" w:rsidR="009E02A1" w:rsidRDefault="009E02A1">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64E8EC42" w14:textId="77777777" w:rsidR="009E02A1" w:rsidRDefault="00000000">
      <w:pPr>
        <w:numPr>
          <w:ilvl w:val="0"/>
          <w:numId w:val="9"/>
        </w:numPr>
        <w:pBdr>
          <w:top w:val="nil"/>
          <w:left w:val="nil"/>
          <w:bottom w:val="nil"/>
          <w:right w:val="nil"/>
          <w:between w:val="nil"/>
        </w:pBdr>
        <w:spacing w:after="0" w:line="360" w:lineRule="auto"/>
        <w:ind w:left="284"/>
        <w:jc w:val="both"/>
        <w:rPr>
          <w:rFonts w:ascii="Arial" w:eastAsia="Arial" w:hAnsi="Arial" w:cs="Arial"/>
          <w:color w:val="000000"/>
          <w:sz w:val="24"/>
          <w:szCs w:val="24"/>
        </w:rPr>
      </w:pPr>
      <w:bookmarkStart w:id="12" w:name="_heading=h.dpjotntkippo" w:colFirst="0" w:colLast="0"/>
      <w:bookmarkEnd w:id="12"/>
      <w:r>
        <w:rPr>
          <w:rFonts w:ascii="Arial" w:eastAsia="Arial" w:hAnsi="Arial" w:cs="Arial"/>
          <w:color w:val="000000"/>
          <w:sz w:val="24"/>
          <w:szCs w:val="24"/>
        </w:rPr>
        <w:t>Original del escrito</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signado por la Apoderada Jurídica de la </w:t>
      </w:r>
      <w:r>
        <w:rPr>
          <w:rFonts w:ascii="Arial" w:eastAsia="Arial" w:hAnsi="Arial" w:cs="Arial"/>
          <w:i/>
          <w:iCs/>
          <w:color w:val="000000"/>
          <w:sz w:val="24"/>
          <w:szCs w:val="24"/>
        </w:rPr>
        <w:t>Secretaría de Igualdad</w:t>
      </w:r>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43"/>
      </w:r>
      <w:r>
        <w:rPr>
          <w:rFonts w:ascii="Arial" w:eastAsia="Arial" w:hAnsi="Arial" w:cs="Arial"/>
          <w:color w:val="000000"/>
          <w:sz w:val="24"/>
          <w:szCs w:val="24"/>
        </w:rPr>
        <w:t xml:space="preserve"> presentado el diez de octubre ante la Oficialía de Partes de este </w:t>
      </w:r>
      <w:r>
        <w:rPr>
          <w:rFonts w:ascii="Arial" w:eastAsia="Arial" w:hAnsi="Arial" w:cs="Arial"/>
          <w:i/>
          <w:iCs/>
          <w:color w:val="000000"/>
          <w:sz w:val="24"/>
          <w:szCs w:val="24"/>
        </w:rPr>
        <w:t>Tribunal Electoral</w:t>
      </w:r>
      <w:r>
        <w:rPr>
          <w:rFonts w:ascii="Arial" w:eastAsia="Arial" w:hAnsi="Arial" w:cs="Arial"/>
          <w:color w:val="000000"/>
          <w:sz w:val="24"/>
          <w:szCs w:val="24"/>
        </w:rPr>
        <w:t>, mediante el cual informó la reprogramación de las capacitaciones para ser impartidas el veintinueve de octubre.</w:t>
      </w:r>
    </w:p>
    <w:p w14:paraId="56BC9AEF" w14:textId="77777777" w:rsidR="009E02A1" w:rsidRDefault="009E02A1">
      <w:pPr>
        <w:pBdr>
          <w:top w:val="nil"/>
          <w:left w:val="nil"/>
          <w:bottom w:val="nil"/>
          <w:right w:val="nil"/>
          <w:between w:val="nil"/>
        </w:pBdr>
        <w:spacing w:after="0" w:line="360" w:lineRule="auto"/>
        <w:ind w:left="284"/>
        <w:jc w:val="both"/>
        <w:rPr>
          <w:rFonts w:ascii="Arial" w:eastAsia="Arial" w:hAnsi="Arial" w:cs="Arial"/>
          <w:color w:val="000000"/>
          <w:sz w:val="24"/>
          <w:szCs w:val="24"/>
        </w:rPr>
      </w:pPr>
    </w:p>
    <w:p w14:paraId="1C909F70" w14:textId="77777777" w:rsidR="009E02A1" w:rsidRDefault="00000000">
      <w:pPr>
        <w:numPr>
          <w:ilvl w:val="0"/>
          <w:numId w:val="9"/>
        </w:numPr>
        <w:pBdr>
          <w:top w:val="nil"/>
          <w:left w:val="nil"/>
          <w:bottom w:val="nil"/>
          <w:right w:val="nil"/>
          <w:between w:val="nil"/>
        </w:pBdr>
        <w:spacing w:after="0" w:line="360" w:lineRule="auto"/>
        <w:ind w:left="284"/>
        <w:jc w:val="both"/>
        <w:rPr>
          <w:rFonts w:ascii="Arial" w:eastAsia="Arial" w:hAnsi="Arial" w:cs="Arial"/>
          <w:color w:val="000000"/>
          <w:sz w:val="24"/>
          <w:szCs w:val="24"/>
        </w:rPr>
      </w:pPr>
      <w:r>
        <w:rPr>
          <w:rFonts w:ascii="Arial" w:eastAsia="Arial" w:hAnsi="Arial" w:cs="Arial"/>
          <w:color w:val="000000"/>
          <w:sz w:val="24"/>
          <w:szCs w:val="24"/>
        </w:rPr>
        <w:t>Original del escrito</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signado por la Apoderada Jurídica de la </w:t>
      </w:r>
      <w:r>
        <w:rPr>
          <w:rFonts w:ascii="Arial" w:eastAsia="Arial" w:hAnsi="Arial" w:cs="Arial"/>
          <w:i/>
          <w:iCs/>
          <w:color w:val="000000"/>
          <w:sz w:val="24"/>
          <w:szCs w:val="24"/>
        </w:rPr>
        <w:t>Secretaría de Igualdad</w:t>
      </w:r>
      <w:r>
        <w:rPr>
          <w:rFonts w:ascii="Arial" w:eastAsia="Arial" w:hAnsi="Arial" w:cs="Arial"/>
          <w:color w:val="000000"/>
          <w:sz w:val="24"/>
          <w:szCs w:val="24"/>
        </w:rPr>
        <w:t xml:space="preserve">, presentado el dieciséis de octubre ante la Oficialía de Partes de este </w:t>
      </w:r>
      <w:r>
        <w:rPr>
          <w:rFonts w:ascii="Arial" w:eastAsia="Arial" w:hAnsi="Arial" w:cs="Arial"/>
          <w:i/>
          <w:iCs/>
          <w:color w:val="000000"/>
          <w:sz w:val="24"/>
          <w:szCs w:val="24"/>
        </w:rPr>
        <w:t>Tribunal Electoral</w:t>
      </w:r>
      <w:r>
        <w:rPr>
          <w:rFonts w:ascii="Arial" w:eastAsia="Arial" w:hAnsi="Arial" w:cs="Arial"/>
          <w:color w:val="000000"/>
          <w:sz w:val="24"/>
          <w:szCs w:val="24"/>
        </w:rPr>
        <w:t>, mediante el cual, precisó las capacitaciones serían impartidas del tres al siete de noviembre.</w:t>
      </w:r>
      <w:r>
        <w:rPr>
          <w:rFonts w:ascii="Arial" w:eastAsia="Arial" w:hAnsi="Arial" w:cs="Arial"/>
          <w:color w:val="000000"/>
          <w:sz w:val="24"/>
          <w:szCs w:val="24"/>
          <w:vertAlign w:val="superscript"/>
        </w:rPr>
        <w:footnoteReference w:id="44"/>
      </w:r>
      <w:r>
        <w:rPr>
          <w:rFonts w:ascii="Arial" w:eastAsia="Arial" w:hAnsi="Arial" w:cs="Arial"/>
          <w:color w:val="000000"/>
          <w:sz w:val="24"/>
          <w:szCs w:val="24"/>
        </w:rPr>
        <w:t xml:space="preserve"> </w:t>
      </w:r>
    </w:p>
    <w:p w14:paraId="734152A4" w14:textId="77777777" w:rsidR="009E02A1" w:rsidRDefault="009E02A1">
      <w:pPr>
        <w:pBdr>
          <w:top w:val="nil"/>
          <w:left w:val="nil"/>
          <w:bottom w:val="nil"/>
          <w:right w:val="nil"/>
          <w:between w:val="nil"/>
        </w:pBdr>
        <w:spacing w:after="0"/>
        <w:ind w:left="720"/>
        <w:rPr>
          <w:rFonts w:ascii="Arial" w:eastAsia="Arial" w:hAnsi="Arial" w:cs="Arial"/>
          <w:color w:val="000000"/>
          <w:sz w:val="24"/>
          <w:szCs w:val="24"/>
        </w:rPr>
      </w:pPr>
    </w:p>
    <w:p w14:paraId="2C0C5E4E" w14:textId="77777777" w:rsidR="009E02A1" w:rsidRDefault="00000000">
      <w:pPr>
        <w:numPr>
          <w:ilvl w:val="0"/>
          <w:numId w:val="9"/>
        </w:numPr>
        <w:pBdr>
          <w:top w:val="nil"/>
          <w:left w:val="nil"/>
          <w:bottom w:val="nil"/>
          <w:right w:val="nil"/>
          <w:between w:val="nil"/>
        </w:pBdr>
        <w:spacing w:after="0" w:line="360" w:lineRule="auto"/>
        <w:ind w:left="284"/>
        <w:jc w:val="both"/>
        <w:rPr>
          <w:rFonts w:ascii="Arial" w:eastAsia="Arial" w:hAnsi="Arial" w:cs="Arial"/>
          <w:color w:val="000000"/>
          <w:sz w:val="24"/>
          <w:szCs w:val="24"/>
        </w:rPr>
      </w:pPr>
      <w:r>
        <w:rPr>
          <w:rFonts w:ascii="Arial" w:eastAsia="Arial" w:hAnsi="Arial" w:cs="Arial"/>
          <w:color w:val="000000"/>
          <w:sz w:val="24"/>
          <w:szCs w:val="24"/>
        </w:rPr>
        <w:t>Original del escrito</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signado por la Apoderada Jurídica de la </w:t>
      </w:r>
      <w:r>
        <w:rPr>
          <w:rFonts w:ascii="Arial" w:eastAsia="Arial" w:hAnsi="Arial" w:cs="Arial"/>
          <w:i/>
          <w:iCs/>
          <w:color w:val="000000"/>
          <w:sz w:val="24"/>
          <w:szCs w:val="24"/>
        </w:rPr>
        <w:t>Secretaría de Igualdad</w:t>
      </w:r>
      <w:r>
        <w:rPr>
          <w:rFonts w:ascii="Arial" w:eastAsia="Arial" w:hAnsi="Arial" w:cs="Arial"/>
          <w:color w:val="000000"/>
          <w:sz w:val="24"/>
          <w:szCs w:val="24"/>
        </w:rPr>
        <w:t>,</w:t>
      </w:r>
      <w:r>
        <w:rPr>
          <w:color w:val="000000"/>
          <w:vertAlign w:val="superscript"/>
        </w:rPr>
        <w:footnoteReference w:id="45"/>
      </w:r>
      <w:r>
        <w:rPr>
          <w:rFonts w:ascii="Arial" w:eastAsia="Arial" w:hAnsi="Arial" w:cs="Arial"/>
          <w:color w:val="000000"/>
          <w:sz w:val="24"/>
          <w:szCs w:val="24"/>
        </w:rPr>
        <w:t xml:space="preserve"> presentado el trece de noviembre ante la Oficialía de Partes de este </w:t>
      </w:r>
      <w:r>
        <w:rPr>
          <w:rFonts w:ascii="Arial" w:eastAsia="Arial" w:hAnsi="Arial" w:cs="Arial"/>
          <w:i/>
          <w:iCs/>
          <w:color w:val="000000"/>
          <w:sz w:val="24"/>
          <w:szCs w:val="24"/>
        </w:rPr>
        <w:t>Tribunal Electoral</w:t>
      </w:r>
      <w:r>
        <w:rPr>
          <w:rFonts w:ascii="Arial" w:eastAsia="Arial" w:hAnsi="Arial" w:cs="Arial"/>
          <w:color w:val="000000"/>
          <w:sz w:val="24"/>
          <w:szCs w:val="24"/>
        </w:rPr>
        <w:t xml:space="preserve">, mediante el cual informó que el </w:t>
      </w:r>
      <w:r>
        <w:rPr>
          <w:rFonts w:ascii="Arial" w:eastAsia="Arial" w:hAnsi="Arial" w:cs="Arial"/>
          <w:i/>
          <w:iCs/>
          <w:color w:val="000000"/>
          <w:sz w:val="24"/>
          <w:szCs w:val="24"/>
        </w:rPr>
        <w:t>denunciado</w:t>
      </w:r>
      <w:r>
        <w:rPr>
          <w:rFonts w:ascii="Arial" w:eastAsia="Arial" w:hAnsi="Arial" w:cs="Arial"/>
          <w:color w:val="000000"/>
          <w:sz w:val="24"/>
          <w:szCs w:val="24"/>
        </w:rPr>
        <w:t xml:space="preserve"> sí asistió a las capacitaciones reprogramadas y anexo consistente en: </w:t>
      </w:r>
    </w:p>
    <w:p w14:paraId="718AB292" w14:textId="77777777" w:rsidR="009E02A1" w:rsidRDefault="009E02A1">
      <w:pPr>
        <w:spacing w:after="0" w:line="360" w:lineRule="auto"/>
        <w:jc w:val="both"/>
        <w:rPr>
          <w:rFonts w:ascii="Arial" w:eastAsia="Arial" w:hAnsi="Arial" w:cs="Arial"/>
          <w:sz w:val="24"/>
          <w:szCs w:val="24"/>
        </w:rPr>
      </w:pPr>
    </w:p>
    <w:p w14:paraId="70F17BE1" w14:textId="77777777" w:rsidR="009E02A1" w:rsidRDefault="00000000">
      <w:pPr>
        <w:numPr>
          <w:ilvl w:val="0"/>
          <w:numId w:val="3"/>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Informe de capacitaciones Instituto Electoral de Michoacán TEEM-PES-VPMG-199/2024.</w:t>
      </w:r>
      <w:r>
        <w:rPr>
          <w:rFonts w:ascii="Arial" w:eastAsia="Arial" w:hAnsi="Arial" w:cs="Arial"/>
          <w:color w:val="000000"/>
          <w:sz w:val="24"/>
          <w:szCs w:val="24"/>
          <w:vertAlign w:val="superscript"/>
        </w:rPr>
        <w:footnoteReference w:id="46"/>
      </w:r>
      <w:r>
        <w:rPr>
          <w:rFonts w:ascii="Arial" w:eastAsia="Arial" w:hAnsi="Arial" w:cs="Arial"/>
          <w:color w:val="000000"/>
          <w:sz w:val="24"/>
          <w:szCs w:val="24"/>
        </w:rPr>
        <w:t xml:space="preserve"> </w:t>
      </w:r>
    </w:p>
    <w:p w14:paraId="7B2A55DB" w14:textId="77777777" w:rsidR="009E02A1" w:rsidRDefault="009E02A1">
      <w:pPr>
        <w:spacing w:after="0" w:line="360" w:lineRule="auto"/>
        <w:jc w:val="both"/>
        <w:rPr>
          <w:rFonts w:ascii="Arial" w:eastAsia="Arial" w:hAnsi="Arial" w:cs="Arial"/>
          <w:sz w:val="24"/>
          <w:szCs w:val="24"/>
        </w:rPr>
      </w:pPr>
    </w:p>
    <w:p w14:paraId="222C9AC9" w14:textId="77777777" w:rsidR="009E02A1" w:rsidRDefault="00000000">
      <w:pPr>
        <w:numPr>
          <w:ilvl w:val="0"/>
          <w:numId w:val="10"/>
        </w:numPr>
        <w:pBdr>
          <w:top w:val="nil"/>
          <w:left w:val="nil"/>
          <w:bottom w:val="nil"/>
          <w:right w:val="nil"/>
          <w:between w:val="nil"/>
        </w:pBdr>
        <w:spacing w:after="0" w:line="360" w:lineRule="auto"/>
        <w:jc w:val="both"/>
        <w:rPr>
          <w:rFonts w:ascii="Arial" w:eastAsia="Arial" w:hAnsi="Arial" w:cs="Arial"/>
          <w:b/>
          <w:bCs/>
          <w:i/>
          <w:iCs/>
          <w:color w:val="000000"/>
          <w:sz w:val="24"/>
          <w:szCs w:val="24"/>
        </w:rPr>
      </w:pPr>
      <w:r>
        <w:rPr>
          <w:rFonts w:ascii="Arial" w:eastAsia="Arial" w:hAnsi="Arial" w:cs="Arial"/>
          <w:b/>
          <w:bCs/>
          <w:i/>
          <w:iCs/>
          <w:color w:val="000000"/>
          <w:sz w:val="24"/>
          <w:szCs w:val="24"/>
        </w:rPr>
        <w:t>SMRT</w:t>
      </w:r>
    </w:p>
    <w:p w14:paraId="243ADDF9"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i/>
          <w:iCs/>
          <w:color w:val="000000"/>
          <w:sz w:val="24"/>
          <w:szCs w:val="24"/>
        </w:rPr>
      </w:pPr>
    </w:p>
    <w:p w14:paraId="016261D8"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Original del oficio DG-016/2025 de veinte de febrero, signado por el Director General del </w:t>
      </w:r>
      <w:r>
        <w:rPr>
          <w:rFonts w:ascii="Arial" w:eastAsia="Arial" w:hAnsi="Arial" w:cs="Arial"/>
          <w:i/>
          <w:iCs/>
          <w:sz w:val="24"/>
          <w:szCs w:val="24"/>
        </w:rPr>
        <w:t xml:space="preserve">SMRT </w:t>
      </w:r>
      <w:r>
        <w:rPr>
          <w:rFonts w:ascii="Arial" w:eastAsia="Arial" w:hAnsi="Arial" w:cs="Arial"/>
          <w:sz w:val="24"/>
          <w:szCs w:val="24"/>
        </w:rPr>
        <w:t xml:space="preserve">y dirigido a este </w:t>
      </w:r>
      <w:r>
        <w:rPr>
          <w:rFonts w:ascii="Arial" w:eastAsia="Arial" w:hAnsi="Arial" w:cs="Arial"/>
          <w:i/>
          <w:iCs/>
          <w:sz w:val="24"/>
          <w:szCs w:val="24"/>
        </w:rPr>
        <w:t>Tribunal Electoral</w:t>
      </w:r>
      <w:r>
        <w:rPr>
          <w:rFonts w:ascii="Arial" w:eastAsia="Arial" w:hAnsi="Arial" w:cs="Arial"/>
          <w:sz w:val="24"/>
          <w:szCs w:val="24"/>
        </w:rPr>
        <w:t>, mediante el cual hace del conocimiento de éste que difundió el resumen oficial ordenado, mediante audio en español, por lo cual proporciona un Código QR, mediante el cual se pueden descargar las cintas testigos.</w:t>
      </w:r>
      <w:r>
        <w:rPr>
          <w:rFonts w:ascii="Arial" w:eastAsia="Arial" w:hAnsi="Arial" w:cs="Arial"/>
          <w:sz w:val="24"/>
          <w:szCs w:val="24"/>
          <w:vertAlign w:val="superscript"/>
        </w:rPr>
        <w:footnoteReference w:id="47"/>
      </w:r>
      <w:r>
        <w:rPr>
          <w:rFonts w:ascii="Arial" w:eastAsia="Arial" w:hAnsi="Arial" w:cs="Arial"/>
          <w:sz w:val="24"/>
          <w:szCs w:val="24"/>
        </w:rPr>
        <w:t xml:space="preserve">  </w:t>
      </w:r>
    </w:p>
    <w:p w14:paraId="36503A6A" w14:textId="77777777" w:rsidR="009E02A1" w:rsidRDefault="009E02A1">
      <w:pPr>
        <w:spacing w:after="0" w:line="360" w:lineRule="auto"/>
        <w:jc w:val="both"/>
        <w:rPr>
          <w:rFonts w:ascii="Arial" w:eastAsia="Arial" w:hAnsi="Arial" w:cs="Arial"/>
          <w:b/>
          <w:bCs/>
          <w:sz w:val="24"/>
          <w:szCs w:val="24"/>
        </w:rPr>
      </w:pPr>
    </w:p>
    <w:p w14:paraId="3EDDCF06" w14:textId="77777777" w:rsidR="009E02A1" w:rsidRDefault="00000000">
      <w:pPr>
        <w:numPr>
          <w:ilvl w:val="0"/>
          <w:numId w:val="10"/>
        </w:numPr>
        <w:pBdr>
          <w:top w:val="nil"/>
          <w:left w:val="nil"/>
          <w:bottom w:val="nil"/>
          <w:right w:val="nil"/>
          <w:between w:val="nil"/>
        </w:pBdr>
        <w:spacing w:after="0" w:line="360" w:lineRule="auto"/>
        <w:jc w:val="both"/>
        <w:rPr>
          <w:rFonts w:ascii="Arial" w:eastAsia="Arial" w:hAnsi="Arial" w:cs="Arial"/>
          <w:b/>
          <w:bCs/>
          <w:i/>
          <w:iCs/>
          <w:color w:val="000000"/>
          <w:sz w:val="24"/>
          <w:szCs w:val="24"/>
        </w:rPr>
      </w:pPr>
      <w:r>
        <w:rPr>
          <w:rFonts w:ascii="Arial" w:eastAsia="Arial" w:hAnsi="Arial" w:cs="Arial"/>
          <w:b/>
          <w:bCs/>
          <w:i/>
          <w:iCs/>
          <w:color w:val="000000"/>
          <w:sz w:val="24"/>
          <w:szCs w:val="24"/>
        </w:rPr>
        <w:t>Denunciado</w:t>
      </w:r>
    </w:p>
    <w:p w14:paraId="5E5BE84D"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i/>
          <w:iCs/>
          <w:color w:val="000000"/>
          <w:sz w:val="24"/>
          <w:szCs w:val="24"/>
        </w:rPr>
      </w:pPr>
    </w:p>
    <w:p w14:paraId="06EBCAFC"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Original del escrito signado por el </w:t>
      </w:r>
      <w:r>
        <w:rPr>
          <w:rFonts w:ascii="Arial" w:eastAsia="Arial" w:hAnsi="Arial" w:cs="Arial"/>
          <w:i/>
          <w:iCs/>
          <w:sz w:val="24"/>
          <w:szCs w:val="24"/>
        </w:rPr>
        <w:t>denunciado</w:t>
      </w:r>
      <w:r>
        <w:rPr>
          <w:rFonts w:ascii="Arial" w:eastAsia="Arial" w:hAnsi="Arial" w:cs="Arial"/>
          <w:sz w:val="24"/>
          <w:szCs w:val="24"/>
        </w:rPr>
        <w:t xml:space="preserve">, presentado ante la Oficialía de Partes de este </w:t>
      </w:r>
      <w:r>
        <w:rPr>
          <w:rFonts w:ascii="Arial" w:eastAsia="Arial" w:hAnsi="Arial" w:cs="Arial"/>
          <w:i/>
          <w:iCs/>
          <w:sz w:val="24"/>
          <w:szCs w:val="24"/>
        </w:rPr>
        <w:t>Tribunal Electoral</w:t>
      </w:r>
      <w:r>
        <w:rPr>
          <w:rFonts w:ascii="Arial" w:eastAsia="Arial" w:hAnsi="Arial" w:cs="Arial"/>
          <w:sz w:val="24"/>
          <w:szCs w:val="24"/>
        </w:rPr>
        <w:t xml:space="preserve"> el trece de junio, mediante el cual refirió haber realizado la publicación del resumen y disculpa pública y proporcionando dos enlaces electrónicos.</w:t>
      </w:r>
      <w:r>
        <w:rPr>
          <w:rFonts w:ascii="Arial" w:eastAsia="Arial" w:hAnsi="Arial" w:cs="Arial"/>
          <w:sz w:val="24"/>
          <w:szCs w:val="24"/>
          <w:vertAlign w:val="superscript"/>
        </w:rPr>
        <w:footnoteReference w:id="48"/>
      </w:r>
    </w:p>
    <w:p w14:paraId="1ED6E670" w14:textId="77777777" w:rsidR="009E02A1" w:rsidRDefault="009E02A1">
      <w:pPr>
        <w:spacing w:after="0" w:line="360" w:lineRule="auto"/>
        <w:jc w:val="both"/>
        <w:rPr>
          <w:rFonts w:ascii="Arial" w:eastAsia="Arial" w:hAnsi="Arial" w:cs="Arial"/>
          <w:sz w:val="24"/>
          <w:szCs w:val="24"/>
        </w:rPr>
      </w:pPr>
    </w:p>
    <w:p w14:paraId="355315B4" w14:textId="77777777" w:rsidR="009E02A1" w:rsidRDefault="00000000">
      <w:pPr>
        <w:numPr>
          <w:ilvl w:val="0"/>
          <w:numId w:val="1"/>
        </w:numPr>
        <w:pBdr>
          <w:top w:val="nil"/>
          <w:left w:val="nil"/>
          <w:bottom w:val="nil"/>
          <w:right w:val="nil"/>
          <w:between w:val="nil"/>
        </w:pBdr>
        <w:spacing w:after="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Valoración probatoria</w:t>
      </w:r>
    </w:p>
    <w:p w14:paraId="4F746B03" w14:textId="77777777" w:rsidR="009E02A1" w:rsidRDefault="009E02A1">
      <w:pPr>
        <w:pBdr>
          <w:top w:val="nil"/>
          <w:left w:val="nil"/>
          <w:bottom w:val="nil"/>
          <w:right w:val="nil"/>
          <w:between w:val="nil"/>
        </w:pBdr>
        <w:spacing w:after="0" w:line="360" w:lineRule="auto"/>
        <w:jc w:val="both"/>
        <w:rPr>
          <w:rFonts w:ascii="Arial" w:eastAsia="Arial" w:hAnsi="Arial" w:cs="Arial"/>
          <w:b/>
          <w:bCs/>
          <w:color w:val="000000"/>
          <w:sz w:val="24"/>
          <w:szCs w:val="24"/>
        </w:rPr>
      </w:pPr>
    </w:p>
    <w:p w14:paraId="403A3D03" w14:textId="77777777" w:rsidR="009E02A1" w:rsidRDefault="00000000">
      <w:pPr>
        <w:pBdr>
          <w:top w:val="nil"/>
          <w:left w:val="nil"/>
          <w:bottom w:val="nil"/>
          <w:right w:val="nil"/>
          <w:between w:val="nil"/>
        </w:pBdr>
        <w:spacing w:after="0" w:line="360" w:lineRule="auto"/>
        <w:jc w:val="both"/>
        <w:rPr>
          <w:rFonts w:ascii="Arial" w:eastAsia="Arial" w:hAnsi="Arial" w:cs="Arial"/>
          <w:b/>
          <w:bCs/>
          <w:color w:val="000000"/>
          <w:sz w:val="24"/>
          <w:szCs w:val="24"/>
        </w:rPr>
      </w:pPr>
      <w:r>
        <w:rPr>
          <w:rFonts w:ascii="Arial" w:eastAsia="Arial" w:hAnsi="Arial" w:cs="Arial"/>
          <w:color w:val="000000"/>
          <w:sz w:val="24"/>
          <w:szCs w:val="24"/>
        </w:rPr>
        <w:t xml:space="preserve">Las documentales remitidas por el </w:t>
      </w:r>
      <w:r>
        <w:rPr>
          <w:rFonts w:ascii="Arial" w:eastAsia="Arial" w:hAnsi="Arial" w:cs="Arial"/>
          <w:i/>
          <w:iCs/>
          <w:color w:val="000000"/>
          <w:sz w:val="24"/>
          <w:szCs w:val="24"/>
        </w:rPr>
        <w:t>INE</w:t>
      </w:r>
      <w:r>
        <w:rPr>
          <w:rFonts w:ascii="Arial" w:eastAsia="Arial" w:hAnsi="Arial" w:cs="Arial"/>
          <w:color w:val="000000"/>
          <w:sz w:val="24"/>
          <w:szCs w:val="24"/>
        </w:rPr>
        <w:t>,</w:t>
      </w:r>
      <w:r>
        <w:rPr>
          <w:rFonts w:ascii="Arial" w:eastAsia="Arial" w:hAnsi="Arial" w:cs="Arial"/>
          <w:i/>
          <w:iCs/>
          <w:color w:val="000000"/>
          <w:sz w:val="24"/>
          <w:szCs w:val="24"/>
        </w:rPr>
        <w:t xml:space="preserve"> IEM, </w:t>
      </w:r>
      <w:r>
        <w:rPr>
          <w:rFonts w:ascii="Arial" w:eastAsia="Arial" w:hAnsi="Arial" w:cs="Arial"/>
          <w:color w:val="000000"/>
          <w:sz w:val="24"/>
          <w:szCs w:val="24"/>
        </w:rPr>
        <w:t>la</w:t>
      </w:r>
      <w:r>
        <w:rPr>
          <w:rFonts w:ascii="Arial" w:eastAsia="Arial" w:hAnsi="Arial" w:cs="Arial"/>
          <w:i/>
          <w:iCs/>
          <w:color w:val="000000"/>
          <w:sz w:val="24"/>
          <w:szCs w:val="24"/>
        </w:rPr>
        <w:t xml:space="preserve"> Secretaria de Igualdad</w:t>
      </w:r>
      <w:r>
        <w:rPr>
          <w:rFonts w:ascii="Arial" w:eastAsia="Arial" w:hAnsi="Arial" w:cs="Arial"/>
          <w:color w:val="000000"/>
          <w:sz w:val="24"/>
          <w:szCs w:val="24"/>
        </w:rPr>
        <w:t xml:space="preserve"> y el </w:t>
      </w:r>
      <w:r>
        <w:rPr>
          <w:rFonts w:ascii="Arial" w:eastAsia="Arial" w:hAnsi="Arial" w:cs="Arial"/>
          <w:i/>
          <w:iCs/>
          <w:color w:val="000000"/>
          <w:sz w:val="24"/>
          <w:szCs w:val="24"/>
        </w:rPr>
        <w:t xml:space="preserve">SMRT </w:t>
      </w:r>
      <w:r>
        <w:rPr>
          <w:rFonts w:ascii="Arial" w:eastAsia="Arial" w:hAnsi="Arial" w:cs="Arial"/>
          <w:color w:val="000000"/>
          <w:sz w:val="24"/>
          <w:szCs w:val="24"/>
        </w:rPr>
        <w:t>al tratarse de oficios originales y copias certificadas</w:t>
      </w:r>
      <w:r>
        <w:rPr>
          <w:rFonts w:ascii="Arial" w:eastAsia="Arial" w:hAnsi="Arial" w:cs="Arial"/>
          <w:i/>
          <w:iCs/>
          <w:color w:val="000000"/>
          <w:sz w:val="24"/>
          <w:szCs w:val="24"/>
        </w:rPr>
        <w:t xml:space="preserve">, </w:t>
      </w:r>
      <w:r>
        <w:rPr>
          <w:rFonts w:ascii="Arial" w:eastAsia="Arial" w:hAnsi="Arial" w:cs="Arial"/>
          <w:color w:val="000000"/>
          <w:sz w:val="24"/>
          <w:szCs w:val="24"/>
        </w:rPr>
        <w:t>se consideran de naturaleza pública,</w:t>
      </w:r>
      <w:r>
        <w:rPr>
          <w:rFonts w:ascii="Arial" w:eastAsia="Arial" w:hAnsi="Arial" w:cs="Arial"/>
          <w:color w:val="000000"/>
          <w:sz w:val="24"/>
          <w:szCs w:val="24"/>
          <w:vertAlign w:val="superscript"/>
        </w:rPr>
        <w:footnoteReference w:id="49"/>
      </w:r>
      <w:r>
        <w:rPr>
          <w:rFonts w:ascii="Arial" w:eastAsia="Arial" w:hAnsi="Arial" w:cs="Arial"/>
          <w:color w:val="000000"/>
          <w:sz w:val="24"/>
          <w:szCs w:val="24"/>
        </w:rPr>
        <w:t xml:space="preserve"> por lo que cuentan con valor probatorio pleno y genera convicción sobre la existencia y la veracidad de los hechos que ahí se contienen.</w:t>
      </w:r>
    </w:p>
    <w:p w14:paraId="15437DA6" w14:textId="77777777" w:rsidR="009E02A1" w:rsidRDefault="009E02A1">
      <w:pPr>
        <w:spacing w:after="0" w:line="360" w:lineRule="auto"/>
        <w:jc w:val="both"/>
        <w:rPr>
          <w:rFonts w:ascii="Arial" w:eastAsia="Arial" w:hAnsi="Arial" w:cs="Arial"/>
          <w:b/>
          <w:bCs/>
          <w:sz w:val="24"/>
          <w:szCs w:val="24"/>
        </w:rPr>
      </w:pPr>
    </w:p>
    <w:p w14:paraId="59380FD0" w14:textId="77777777" w:rsidR="009E02A1" w:rsidRDefault="00000000">
      <w:p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Respecto a las documentales remitidas por el </w:t>
      </w:r>
      <w:r>
        <w:rPr>
          <w:rFonts w:ascii="Arial" w:eastAsia="Arial" w:hAnsi="Arial" w:cs="Arial"/>
          <w:i/>
          <w:iCs/>
          <w:color w:val="000000"/>
          <w:sz w:val="24"/>
          <w:szCs w:val="24"/>
        </w:rPr>
        <w:t xml:space="preserve">denunciado </w:t>
      </w:r>
      <w:r>
        <w:rPr>
          <w:rFonts w:ascii="Arial" w:eastAsia="Arial" w:hAnsi="Arial" w:cs="Arial"/>
          <w:color w:val="000000"/>
          <w:sz w:val="24"/>
          <w:szCs w:val="24"/>
        </w:rPr>
        <w:t>consistente en un escrito, se consideran de naturaleza privada,</w:t>
      </w:r>
      <w:r>
        <w:rPr>
          <w:rFonts w:ascii="Arial" w:eastAsia="Arial" w:hAnsi="Arial" w:cs="Arial"/>
          <w:color w:val="000000"/>
          <w:sz w:val="24"/>
          <w:szCs w:val="24"/>
          <w:vertAlign w:val="superscript"/>
        </w:rPr>
        <w:footnoteReference w:id="50"/>
      </w:r>
      <w:r>
        <w:rPr>
          <w:rFonts w:ascii="Arial" w:eastAsia="Arial" w:hAnsi="Arial" w:cs="Arial"/>
          <w:color w:val="000000"/>
          <w:sz w:val="24"/>
          <w:szCs w:val="24"/>
        </w:rPr>
        <w:t xml:space="preserve"> por lo que tiene el carácter de indiciaria; sin embargo, adminiculado con los enlaces electrónicos que aportó y toda vez que fueron verificados por la Ponencia instructora, generan la convicción sobre su existencia y sobre la veracidad de su contenido, al tratarse de las acciones ejecutadas de manera particular, con el objeto de cumplimentar lo ordenado en la sentencia.</w:t>
      </w:r>
    </w:p>
    <w:p w14:paraId="56C3757A" w14:textId="77777777" w:rsidR="009E02A1" w:rsidRDefault="009E02A1">
      <w:pPr>
        <w:pBdr>
          <w:top w:val="nil"/>
          <w:left w:val="nil"/>
          <w:bottom w:val="nil"/>
          <w:right w:val="nil"/>
          <w:between w:val="nil"/>
        </w:pBdr>
        <w:spacing w:after="0" w:line="360" w:lineRule="auto"/>
        <w:jc w:val="both"/>
        <w:rPr>
          <w:rFonts w:ascii="Arial" w:eastAsia="Arial" w:hAnsi="Arial" w:cs="Arial"/>
          <w:color w:val="000000"/>
          <w:sz w:val="24"/>
          <w:szCs w:val="24"/>
        </w:rPr>
      </w:pPr>
    </w:p>
    <w:p w14:paraId="237EBE23" w14:textId="77777777" w:rsidR="009E02A1" w:rsidRDefault="00000000">
      <w:p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Finalmente, el Código QR aportado por el </w:t>
      </w:r>
      <w:r>
        <w:rPr>
          <w:rFonts w:ascii="Arial" w:eastAsia="Arial" w:hAnsi="Arial" w:cs="Arial"/>
          <w:i/>
          <w:iCs/>
          <w:color w:val="000000"/>
          <w:sz w:val="24"/>
          <w:szCs w:val="24"/>
        </w:rPr>
        <w:t xml:space="preserve">SMRT </w:t>
      </w:r>
      <w:r>
        <w:rPr>
          <w:rFonts w:ascii="Arial" w:eastAsia="Arial" w:hAnsi="Arial" w:cs="Arial"/>
          <w:color w:val="000000"/>
          <w:sz w:val="24"/>
          <w:szCs w:val="24"/>
        </w:rPr>
        <w:t>se considera de naturaleza técnica</w:t>
      </w:r>
      <w:r>
        <w:rPr>
          <w:rFonts w:ascii="Arial" w:eastAsia="Arial" w:hAnsi="Arial" w:cs="Arial"/>
          <w:color w:val="000000"/>
          <w:sz w:val="24"/>
          <w:szCs w:val="24"/>
          <w:vertAlign w:val="superscript"/>
        </w:rPr>
        <w:footnoteReference w:id="51"/>
      </w:r>
      <w:r>
        <w:rPr>
          <w:rFonts w:ascii="Arial" w:eastAsia="Arial" w:hAnsi="Arial" w:cs="Arial"/>
          <w:color w:val="000000"/>
          <w:sz w:val="24"/>
          <w:szCs w:val="24"/>
        </w:rPr>
        <w:t xml:space="preserve"> y toda vez que fue verificado por la Ponencia instructora, genera la convicción sobre su existencia y sobre la veracidad de su contenido, al tratarse de las acciones ejecutadas de manera particular, con el objeto de cumplimentar lo ordenado en la sentencia.</w:t>
      </w:r>
    </w:p>
    <w:p w14:paraId="5050FF02" w14:textId="77777777" w:rsidR="009E02A1" w:rsidRDefault="009E02A1">
      <w:pPr>
        <w:pBdr>
          <w:top w:val="nil"/>
          <w:left w:val="nil"/>
          <w:bottom w:val="nil"/>
          <w:right w:val="nil"/>
          <w:between w:val="nil"/>
        </w:pBdr>
        <w:spacing w:after="0" w:line="360" w:lineRule="auto"/>
        <w:jc w:val="both"/>
        <w:rPr>
          <w:rFonts w:ascii="Arial" w:eastAsia="Arial" w:hAnsi="Arial" w:cs="Arial"/>
          <w:color w:val="000000"/>
          <w:sz w:val="24"/>
          <w:szCs w:val="24"/>
        </w:rPr>
      </w:pPr>
    </w:p>
    <w:p w14:paraId="4E53D5B4" w14:textId="77777777" w:rsidR="009E02A1" w:rsidRDefault="00000000">
      <w:pPr>
        <w:numPr>
          <w:ilvl w:val="0"/>
          <w:numId w:val="1"/>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bCs/>
          <w:color w:val="000000"/>
          <w:sz w:val="24"/>
          <w:szCs w:val="24"/>
        </w:rPr>
        <w:t>Determinación sobre el cumplimiento</w:t>
      </w:r>
    </w:p>
    <w:p w14:paraId="013A3C67" w14:textId="77777777" w:rsidR="009E02A1" w:rsidRDefault="009E02A1">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322BDF03"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Con base en los medios de prueba que se han valorado, este </w:t>
      </w:r>
      <w:r>
        <w:rPr>
          <w:rFonts w:ascii="Arial" w:eastAsia="Arial" w:hAnsi="Arial" w:cs="Arial"/>
          <w:i/>
          <w:iCs/>
          <w:sz w:val="24"/>
          <w:szCs w:val="24"/>
        </w:rPr>
        <w:t xml:space="preserve">Órgano jurisdiccional </w:t>
      </w:r>
      <w:r>
        <w:rPr>
          <w:rFonts w:ascii="Arial" w:eastAsia="Arial" w:hAnsi="Arial" w:cs="Arial"/>
          <w:sz w:val="24"/>
          <w:szCs w:val="24"/>
        </w:rPr>
        <w:t xml:space="preserve">puede arribar a la convicción de que las autoridades vinculadas han acatado lo ordenado en la sentencia de trece de diciembre. </w:t>
      </w:r>
    </w:p>
    <w:p w14:paraId="58173448" w14:textId="77777777" w:rsidR="009E02A1" w:rsidRDefault="009E02A1">
      <w:pPr>
        <w:spacing w:after="0" w:line="360" w:lineRule="auto"/>
        <w:jc w:val="both"/>
        <w:rPr>
          <w:rFonts w:ascii="Arial" w:eastAsia="Arial" w:hAnsi="Arial" w:cs="Arial"/>
          <w:sz w:val="24"/>
          <w:szCs w:val="24"/>
        </w:rPr>
      </w:pPr>
    </w:p>
    <w:p w14:paraId="0D3D8A5C"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De igual forma, el </w:t>
      </w:r>
      <w:r>
        <w:rPr>
          <w:rFonts w:ascii="Arial" w:eastAsia="Arial" w:hAnsi="Arial" w:cs="Arial"/>
          <w:i/>
          <w:iCs/>
          <w:sz w:val="24"/>
          <w:szCs w:val="24"/>
        </w:rPr>
        <w:t xml:space="preserve">denunciado </w:t>
      </w:r>
      <w:r>
        <w:rPr>
          <w:rFonts w:ascii="Arial" w:eastAsia="Arial" w:hAnsi="Arial" w:cs="Arial"/>
          <w:sz w:val="24"/>
          <w:szCs w:val="24"/>
        </w:rPr>
        <w:t>cumplió con lo ordenado en la sentencia materia de análisis, toda vez que llevó a cabo las acciones ordenadas como parte de las medidas de no repetición y de satisfacción.</w:t>
      </w:r>
    </w:p>
    <w:p w14:paraId="0CF19F47" w14:textId="77777777" w:rsidR="009E02A1" w:rsidRDefault="009E02A1">
      <w:pPr>
        <w:spacing w:after="0" w:line="360" w:lineRule="auto"/>
        <w:jc w:val="both"/>
        <w:rPr>
          <w:rFonts w:ascii="Arial" w:eastAsia="Arial" w:hAnsi="Arial" w:cs="Arial"/>
          <w:sz w:val="24"/>
          <w:szCs w:val="24"/>
        </w:rPr>
      </w:pPr>
    </w:p>
    <w:p w14:paraId="2C780E95"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Lo anterior, debido a que, con base en el caudal probatorio se acredita que:</w:t>
      </w:r>
    </w:p>
    <w:p w14:paraId="14D42EEB" w14:textId="77777777" w:rsidR="009E02A1" w:rsidRDefault="009E02A1">
      <w:pPr>
        <w:spacing w:after="0" w:line="360" w:lineRule="auto"/>
        <w:jc w:val="both"/>
        <w:rPr>
          <w:rFonts w:ascii="Arial" w:eastAsia="Arial" w:hAnsi="Arial" w:cs="Arial"/>
          <w:sz w:val="24"/>
          <w:szCs w:val="24"/>
        </w:rPr>
      </w:pPr>
    </w:p>
    <w:p w14:paraId="2B18971C" w14:textId="77777777" w:rsidR="009E02A1" w:rsidRDefault="00000000">
      <w:pPr>
        <w:numPr>
          <w:ilvl w:val="0"/>
          <w:numId w:val="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w:t>
      </w:r>
      <w:r>
        <w:rPr>
          <w:rFonts w:ascii="Arial" w:eastAsia="Arial" w:hAnsi="Arial" w:cs="Arial"/>
          <w:i/>
          <w:iCs/>
          <w:color w:val="000000"/>
          <w:sz w:val="24"/>
          <w:szCs w:val="24"/>
        </w:rPr>
        <w:t>Secretaría de Igualdad</w:t>
      </w:r>
      <w:r>
        <w:rPr>
          <w:rFonts w:ascii="Arial" w:eastAsia="Arial" w:hAnsi="Arial" w:cs="Arial"/>
          <w:color w:val="000000"/>
          <w:sz w:val="24"/>
          <w:szCs w:val="24"/>
        </w:rPr>
        <w:t xml:space="preserve"> implementó un programa de capacitación en materia de género y violencia política para ser impartido al </w:t>
      </w:r>
      <w:r>
        <w:rPr>
          <w:rFonts w:ascii="Arial" w:eastAsia="Arial" w:hAnsi="Arial" w:cs="Arial"/>
          <w:i/>
          <w:iCs/>
          <w:color w:val="000000"/>
          <w:sz w:val="24"/>
          <w:szCs w:val="24"/>
        </w:rPr>
        <w:t>denunciado</w:t>
      </w:r>
      <w:r>
        <w:rPr>
          <w:rFonts w:ascii="Arial" w:eastAsia="Arial" w:hAnsi="Arial" w:cs="Arial"/>
          <w:color w:val="000000"/>
          <w:sz w:val="24"/>
          <w:szCs w:val="24"/>
        </w:rPr>
        <w:t xml:space="preserve"> del tres al siete de noviembre. </w:t>
      </w:r>
    </w:p>
    <w:p w14:paraId="6969C750" w14:textId="77777777" w:rsidR="009E02A1" w:rsidRDefault="00000000">
      <w:pPr>
        <w:numPr>
          <w:ilvl w:val="0"/>
          <w:numId w:val="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w:t>
      </w:r>
      <w:r>
        <w:rPr>
          <w:rFonts w:ascii="Arial" w:eastAsia="Arial" w:hAnsi="Arial" w:cs="Arial"/>
          <w:i/>
          <w:iCs/>
          <w:color w:val="000000"/>
          <w:sz w:val="24"/>
          <w:szCs w:val="24"/>
        </w:rPr>
        <w:t xml:space="preserve">denunciado </w:t>
      </w:r>
      <w:r>
        <w:rPr>
          <w:rFonts w:ascii="Arial" w:eastAsia="Arial" w:hAnsi="Arial" w:cs="Arial"/>
          <w:color w:val="000000"/>
          <w:sz w:val="24"/>
          <w:szCs w:val="24"/>
        </w:rPr>
        <w:t xml:space="preserve">asistió al programa, difundió en su perfil de Facebook el resumen de la sentencia y ofreció y difundió en su red social, la disculpa pública ordenada. </w:t>
      </w:r>
    </w:p>
    <w:p w14:paraId="1A104678" w14:textId="77777777" w:rsidR="009E02A1" w:rsidRDefault="00000000">
      <w:pPr>
        <w:numPr>
          <w:ilvl w:val="0"/>
          <w:numId w:val="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w:t>
      </w:r>
      <w:r>
        <w:rPr>
          <w:rFonts w:ascii="Arial" w:eastAsia="Arial" w:hAnsi="Arial" w:cs="Arial"/>
          <w:i/>
          <w:iCs/>
          <w:color w:val="000000"/>
          <w:sz w:val="24"/>
          <w:szCs w:val="24"/>
        </w:rPr>
        <w:t>SMRT</w:t>
      </w:r>
      <w:r>
        <w:rPr>
          <w:rFonts w:ascii="Arial" w:eastAsia="Arial" w:hAnsi="Arial" w:cs="Arial"/>
          <w:color w:val="000000"/>
          <w:sz w:val="24"/>
          <w:szCs w:val="24"/>
        </w:rPr>
        <w:t xml:space="preserve">, difundió el resumen oficial de la sentencia en el Municipio de Charapan por tres días naturales. </w:t>
      </w:r>
    </w:p>
    <w:p w14:paraId="7D6C2D7A" w14:textId="77777777" w:rsidR="009E02A1" w:rsidRDefault="00000000">
      <w:pPr>
        <w:numPr>
          <w:ilvl w:val="0"/>
          <w:numId w:val="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w:t>
      </w:r>
      <w:r>
        <w:rPr>
          <w:rFonts w:ascii="Arial" w:eastAsia="Arial" w:hAnsi="Arial" w:cs="Arial"/>
          <w:i/>
          <w:iCs/>
          <w:color w:val="000000"/>
          <w:sz w:val="24"/>
          <w:szCs w:val="24"/>
        </w:rPr>
        <w:t>denunciado</w:t>
      </w:r>
      <w:r>
        <w:rPr>
          <w:rFonts w:ascii="Arial" w:eastAsia="Arial" w:hAnsi="Arial" w:cs="Arial"/>
          <w:color w:val="000000"/>
          <w:sz w:val="24"/>
          <w:szCs w:val="24"/>
        </w:rPr>
        <w:t xml:space="preserve"> realizó el pago de la multa impuesta.</w:t>
      </w:r>
    </w:p>
    <w:p w14:paraId="3A1990E4" w14:textId="77777777" w:rsidR="009E02A1" w:rsidRDefault="00000000">
      <w:pPr>
        <w:numPr>
          <w:ilvl w:val="0"/>
          <w:numId w:val="4"/>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w:t>
      </w:r>
      <w:r>
        <w:rPr>
          <w:rFonts w:ascii="Arial" w:eastAsia="Arial" w:hAnsi="Arial" w:cs="Arial"/>
          <w:i/>
          <w:iCs/>
          <w:color w:val="000000"/>
          <w:sz w:val="24"/>
          <w:szCs w:val="24"/>
        </w:rPr>
        <w:t xml:space="preserve">INE </w:t>
      </w:r>
      <w:r>
        <w:rPr>
          <w:rFonts w:ascii="Arial" w:eastAsia="Arial" w:hAnsi="Arial" w:cs="Arial"/>
          <w:color w:val="000000"/>
          <w:sz w:val="24"/>
          <w:szCs w:val="24"/>
        </w:rPr>
        <w:t xml:space="preserve">y el </w:t>
      </w:r>
      <w:r>
        <w:rPr>
          <w:rFonts w:ascii="Arial" w:eastAsia="Arial" w:hAnsi="Arial" w:cs="Arial"/>
          <w:i/>
          <w:iCs/>
          <w:color w:val="000000"/>
          <w:sz w:val="24"/>
          <w:szCs w:val="24"/>
        </w:rPr>
        <w:t>IEM</w:t>
      </w:r>
      <w:r>
        <w:rPr>
          <w:rFonts w:ascii="Arial" w:eastAsia="Arial" w:hAnsi="Arial" w:cs="Arial"/>
          <w:color w:val="000000"/>
          <w:sz w:val="24"/>
          <w:szCs w:val="24"/>
        </w:rPr>
        <w:t xml:space="preserve">, inscribieron al </w:t>
      </w:r>
      <w:r>
        <w:rPr>
          <w:rFonts w:ascii="Arial" w:eastAsia="Arial" w:hAnsi="Arial" w:cs="Arial"/>
          <w:i/>
          <w:iCs/>
          <w:color w:val="000000"/>
          <w:sz w:val="24"/>
          <w:szCs w:val="24"/>
        </w:rPr>
        <w:t xml:space="preserve">denunciado </w:t>
      </w:r>
      <w:r>
        <w:rPr>
          <w:rFonts w:ascii="Arial" w:eastAsia="Arial" w:hAnsi="Arial" w:cs="Arial"/>
          <w:color w:val="000000"/>
          <w:sz w:val="24"/>
          <w:szCs w:val="24"/>
        </w:rPr>
        <w:t xml:space="preserve">en el </w:t>
      </w:r>
      <w:r>
        <w:rPr>
          <w:rFonts w:ascii="Arial" w:eastAsia="Arial" w:hAnsi="Arial" w:cs="Arial"/>
          <w:i/>
          <w:iCs/>
          <w:color w:val="000000"/>
          <w:sz w:val="24"/>
          <w:szCs w:val="24"/>
        </w:rPr>
        <w:t>Registro Nacional</w:t>
      </w:r>
      <w:r>
        <w:rPr>
          <w:rFonts w:ascii="Arial" w:eastAsia="Arial" w:hAnsi="Arial" w:cs="Arial"/>
          <w:color w:val="000000"/>
          <w:sz w:val="24"/>
          <w:szCs w:val="24"/>
        </w:rPr>
        <w:t xml:space="preserve"> y en el </w:t>
      </w:r>
      <w:r>
        <w:rPr>
          <w:rFonts w:ascii="Arial" w:eastAsia="Arial" w:hAnsi="Arial" w:cs="Arial"/>
          <w:i/>
          <w:iCs/>
          <w:color w:val="000000"/>
          <w:sz w:val="24"/>
          <w:szCs w:val="24"/>
        </w:rPr>
        <w:t>Registro Estatal</w:t>
      </w:r>
      <w:r>
        <w:rPr>
          <w:rFonts w:ascii="Arial" w:eastAsia="Arial" w:hAnsi="Arial" w:cs="Arial"/>
          <w:color w:val="000000"/>
          <w:sz w:val="24"/>
          <w:szCs w:val="24"/>
        </w:rPr>
        <w:t xml:space="preserve">, respectivamente. </w:t>
      </w:r>
    </w:p>
    <w:p w14:paraId="01D84024" w14:textId="77777777" w:rsidR="009E02A1" w:rsidRDefault="009E02A1">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6021593A"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Debido a lo anterior, se desprende que el </w:t>
      </w:r>
      <w:r>
        <w:rPr>
          <w:rFonts w:ascii="Arial" w:eastAsia="Arial" w:hAnsi="Arial" w:cs="Arial"/>
          <w:i/>
          <w:iCs/>
          <w:sz w:val="24"/>
          <w:szCs w:val="24"/>
        </w:rPr>
        <w:t>denunciado</w:t>
      </w:r>
      <w:r>
        <w:rPr>
          <w:rFonts w:ascii="Arial" w:eastAsia="Arial" w:hAnsi="Arial" w:cs="Arial"/>
          <w:sz w:val="24"/>
          <w:szCs w:val="24"/>
        </w:rPr>
        <w:t xml:space="preserve"> y las autoridades vinculadas cumplieron con lo ordenado en la sentencia, tal y como se aprecia en la siguiente tabla:</w:t>
      </w:r>
    </w:p>
    <w:tbl>
      <w:tblPr>
        <w:tblStyle w:val="a"/>
        <w:tblpPr w:leftFromText="141" w:rightFromText="141" w:vertAnchor="text" w:tblpX="-10" w:tblpY="259"/>
        <w:tblW w:w="8839" w:type="dxa"/>
        <w:tblInd w:w="0" w:type="dxa"/>
        <w:tblBorders>
          <w:top w:val="single" w:sz="4" w:space="0" w:color="BDD7EE"/>
          <w:left w:val="single" w:sz="4" w:space="0" w:color="BDD7EE"/>
          <w:bottom w:val="single" w:sz="4" w:space="0" w:color="BDD7EE"/>
          <w:right w:val="single" w:sz="4" w:space="0" w:color="BDD7EE"/>
          <w:insideH w:val="single" w:sz="4" w:space="0" w:color="BDD7EE"/>
          <w:insideV w:val="single" w:sz="4" w:space="0" w:color="BDD7EE"/>
        </w:tblBorders>
        <w:tblLayout w:type="fixed"/>
        <w:tblLook w:val="04A0" w:firstRow="1" w:lastRow="0" w:firstColumn="1" w:lastColumn="0" w:noHBand="0" w:noVBand="1"/>
      </w:tblPr>
      <w:tblGrid>
        <w:gridCol w:w="472"/>
        <w:gridCol w:w="3497"/>
        <w:gridCol w:w="3403"/>
        <w:gridCol w:w="1467"/>
      </w:tblGrid>
      <w:tr w:rsidR="009E02A1" w14:paraId="062A2AC4" w14:textId="77777777" w:rsidTr="009E02A1">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472" w:type="dxa"/>
            <w:shd w:val="clear" w:color="auto" w:fill="2F5496"/>
          </w:tcPr>
          <w:p w14:paraId="7A68F018" w14:textId="77777777" w:rsidR="009E02A1" w:rsidRDefault="00000000">
            <w:pPr>
              <w:pBdr>
                <w:top w:val="nil"/>
                <w:left w:val="nil"/>
                <w:bottom w:val="nil"/>
                <w:right w:val="nil"/>
                <w:between w:val="nil"/>
              </w:pBdr>
              <w:ind w:hanging="125"/>
              <w:jc w:val="center"/>
              <w:rPr>
                <w:rFonts w:ascii="Arial Narrow" w:eastAsia="Arial Narrow" w:hAnsi="Arial Narrow" w:cs="Arial Narrow"/>
                <w:color w:val="FFFFFF"/>
              </w:rPr>
            </w:pPr>
            <w:r>
              <w:rPr>
                <w:rFonts w:ascii="Arial Narrow" w:eastAsia="Arial Narrow" w:hAnsi="Arial Narrow" w:cs="Arial Narrow"/>
                <w:b w:val="0"/>
                <w:bCs w:val="0"/>
                <w:color w:val="FFFFFF"/>
              </w:rPr>
              <w:t>No.</w:t>
            </w:r>
          </w:p>
        </w:tc>
        <w:tc>
          <w:tcPr>
            <w:tcW w:w="3497" w:type="dxa"/>
            <w:shd w:val="clear" w:color="auto" w:fill="2F5496"/>
          </w:tcPr>
          <w:p w14:paraId="26CFBA63" w14:textId="77777777" w:rsidR="009E02A1" w:rsidRDefault="00000000">
            <w:pPr>
              <w:pBdr>
                <w:top w:val="nil"/>
                <w:left w:val="nil"/>
                <w:bottom w:val="nil"/>
                <w:right w:val="nil"/>
                <w:between w:val="nil"/>
              </w:pBd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FFFFFF"/>
              </w:rPr>
            </w:pPr>
            <w:r>
              <w:rPr>
                <w:rFonts w:ascii="Arial Narrow" w:eastAsia="Arial Narrow" w:hAnsi="Arial Narrow" w:cs="Arial Narrow"/>
                <w:b w:val="0"/>
                <w:bCs w:val="0"/>
                <w:color w:val="FFFFFF"/>
              </w:rPr>
              <w:t>¿Qué se ordenó?</w:t>
            </w:r>
          </w:p>
        </w:tc>
        <w:tc>
          <w:tcPr>
            <w:tcW w:w="3403" w:type="dxa"/>
            <w:shd w:val="clear" w:color="auto" w:fill="2F5496"/>
          </w:tcPr>
          <w:p w14:paraId="0A2E3093" w14:textId="77777777" w:rsidR="009E02A1" w:rsidRDefault="00000000">
            <w:pPr>
              <w:pBdr>
                <w:top w:val="nil"/>
                <w:left w:val="nil"/>
                <w:bottom w:val="nil"/>
                <w:right w:val="nil"/>
                <w:between w:val="nil"/>
              </w:pBd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FFFFFF"/>
              </w:rPr>
            </w:pPr>
            <w:r>
              <w:rPr>
                <w:rFonts w:ascii="Arial Narrow" w:eastAsia="Arial Narrow" w:hAnsi="Arial Narrow" w:cs="Arial Narrow"/>
                <w:b w:val="0"/>
                <w:bCs w:val="0"/>
                <w:color w:val="FFFFFF"/>
              </w:rPr>
              <w:t>¿A quién se le vinculó u ordenó?</w:t>
            </w:r>
          </w:p>
        </w:tc>
        <w:tc>
          <w:tcPr>
            <w:tcW w:w="1467" w:type="dxa"/>
            <w:shd w:val="clear" w:color="auto" w:fill="2F5496"/>
          </w:tcPr>
          <w:p w14:paraId="290A2B41" w14:textId="77777777" w:rsidR="009E02A1" w:rsidRDefault="00000000">
            <w:pPr>
              <w:pBdr>
                <w:top w:val="nil"/>
                <w:left w:val="nil"/>
                <w:bottom w:val="nil"/>
                <w:right w:val="nil"/>
                <w:between w:val="nil"/>
              </w:pBdr>
              <w:jc w:val="center"/>
              <w:cnfStyle w:val="100000000000" w:firstRow="1" w:lastRow="0" w:firstColumn="0" w:lastColumn="0" w:oddVBand="0" w:evenVBand="0" w:oddHBand="0" w:evenHBand="0" w:firstRowFirstColumn="0" w:firstRowLastColumn="0" w:lastRowFirstColumn="0" w:lastRowLastColumn="0"/>
              <w:rPr>
                <w:rFonts w:ascii="Arial Narrow" w:eastAsia="Arial Narrow" w:hAnsi="Arial Narrow" w:cs="Arial Narrow"/>
                <w:color w:val="FFFFFF"/>
              </w:rPr>
            </w:pPr>
            <w:r>
              <w:rPr>
                <w:rFonts w:ascii="Arial Narrow" w:eastAsia="Arial Narrow" w:hAnsi="Arial Narrow" w:cs="Arial Narrow"/>
                <w:b w:val="0"/>
                <w:bCs w:val="0"/>
                <w:color w:val="FFFFFF"/>
              </w:rPr>
              <w:t>¿Cumplieron?</w:t>
            </w:r>
          </w:p>
        </w:tc>
      </w:tr>
      <w:tr w:rsidR="009E02A1" w14:paraId="6AF4C8FD" w14:textId="77777777" w:rsidTr="009E02A1">
        <w:trPr>
          <w:trHeight w:val="312"/>
        </w:trPr>
        <w:tc>
          <w:tcPr>
            <w:cnfStyle w:val="001000000000" w:firstRow="0" w:lastRow="0" w:firstColumn="1" w:lastColumn="0" w:oddVBand="0" w:evenVBand="0" w:oddHBand="0" w:evenHBand="0" w:firstRowFirstColumn="0" w:firstRowLastColumn="0" w:lastRowFirstColumn="0" w:lastRowLastColumn="0"/>
            <w:tcW w:w="472" w:type="dxa"/>
          </w:tcPr>
          <w:p w14:paraId="1AB765FD" w14:textId="77777777" w:rsidR="009E02A1" w:rsidRDefault="00000000">
            <w:pPr>
              <w:pBdr>
                <w:top w:val="nil"/>
                <w:left w:val="nil"/>
                <w:bottom w:val="nil"/>
                <w:right w:val="nil"/>
                <w:between w:val="nil"/>
              </w:pBdr>
              <w:jc w:val="both"/>
              <w:rPr>
                <w:rFonts w:ascii="Arial Narrow" w:eastAsia="Arial Narrow" w:hAnsi="Arial Narrow" w:cs="Arial Narrow"/>
                <w:color w:val="000000"/>
              </w:rPr>
            </w:pPr>
            <w:r>
              <w:rPr>
                <w:rFonts w:ascii="Arial Narrow" w:eastAsia="Arial Narrow" w:hAnsi="Arial Narrow" w:cs="Arial Narrow"/>
                <w:b w:val="0"/>
                <w:bCs w:val="0"/>
                <w:color w:val="000000"/>
              </w:rPr>
              <w:t>1</w:t>
            </w:r>
          </w:p>
        </w:tc>
        <w:tc>
          <w:tcPr>
            <w:tcW w:w="3497" w:type="dxa"/>
          </w:tcPr>
          <w:p w14:paraId="08D06B03" w14:textId="77777777" w:rsidR="009E02A1" w:rsidRDefault="00000000">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color w:val="000000"/>
              </w:rPr>
              <w:t>Implementar programa y asistir al mismo</w:t>
            </w:r>
          </w:p>
        </w:tc>
        <w:tc>
          <w:tcPr>
            <w:tcW w:w="3403" w:type="dxa"/>
          </w:tcPr>
          <w:p w14:paraId="3EA60C3C" w14:textId="77777777" w:rsidR="009E02A1" w:rsidRDefault="00000000">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i/>
                <w:iCs/>
                <w:color w:val="000000"/>
              </w:rPr>
            </w:pPr>
            <w:r>
              <w:rPr>
                <w:rFonts w:ascii="Arial Narrow" w:eastAsia="Arial Narrow" w:hAnsi="Arial Narrow" w:cs="Arial Narrow"/>
                <w:i/>
                <w:iCs/>
                <w:color w:val="000000"/>
              </w:rPr>
              <w:t>Secretaria de Igualdad y denunciado</w:t>
            </w:r>
          </w:p>
        </w:tc>
        <w:tc>
          <w:tcPr>
            <w:tcW w:w="1467" w:type="dxa"/>
          </w:tcPr>
          <w:p w14:paraId="033031D7" w14:textId="77777777" w:rsidR="009E02A1"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color w:val="000000"/>
              </w:rPr>
              <w:t>Sí</w:t>
            </w:r>
          </w:p>
        </w:tc>
      </w:tr>
      <w:tr w:rsidR="009E02A1" w14:paraId="47C36D72" w14:textId="77777777" w:rsidTr="009E02A1">
        <w:trPr>
          <w:trHeight w:val="226"/>
        </w:trPr>
        <w:tc>
          <w:tcPr>
            <w:cnfStyle w:val="001000000000" w:firstRow="0" w:lastRow="0" w:firstColumn="1" w:lastColumn="0" w:oddVBand="0" w:evenVBand="0" w:oddHBand="0" w:evenHBand="0" w:firstRowFirstColumn="0" w:firstRowLastColumn="0" w:lastRowFirstColumn="0" w:lastRowLastColumn="0"/>
            <w:tcW w:w="472" w:type="dxa"/>
          </w:tcPr>
          <w:p w14:paraId="4BCF817B" w14:textId="77777777" w:rsidR="009E02A1" w:rsidRDefault="00000000">
            <w:pPr>
              <w:pBdr>
                <w:top w:val="nil"/>
                <w:left w:val="nil"/>
                <w:bottom w:val="nil"/>
                <w:right w:val="nil"/>
                <w:between w:val="nil"/>
              </w:pBdr>
              <w:jc w:val="both"/>
              <w:rPr>
                <w:rFonts w:ascii="Arial Narrow" w:eastAsia="Arial Narrow" w:hAnsi="Arial Narrow" w:cs="Arial Narrow"/>
                <w:color w:val="000000"/>
              </w:rPr>
            </w:pPr>
            <w:r>
              <w:rPr>
                <w:rFonts w:ascii="Arial Narrow" w:eastAsia="Arial Narrow" w:hAnsi="Arial Narrow" w:cs="Arial Narrow"/>
                <w:b w:val="0"/>
                <w:bCs w:val="0"/>
                <w:color w:val="000000"/>
              </w:rPr>
              <w:t>2</w:t>
            </w:r>
          </w:p>
        </w:tc>
        <w:tc>
          <w:tcPr>
            <w:tcW w:w="3497" w:type="dxa"/>
          </w:tcPr>
          <w:p w14:paraId="72A727EB" w14:textId="77777777" w:rsidR="009E02A1" w:rsidRDefault="00000000">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color w:val="000000"/>
              </w:rPr>
              <w:t xml:space="preserve">Publicación y difusión del resumen </w:t>
            </w:r>
          </w:p>
        </w:tc>
        <w:tc>
          <w:tcPr>
            <w:tcW w:w="3403" w:type="dxa"/>
          </w:tcPr>
          <w:p w14:paraId="11B35337" w14:textId="77777777" w:rsidR="009E02A1" w:rsidRDefault="00000000">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i/>
                <w:iCs/>
                <w:color w:val="000000"/>
              </w:rPr>
            </w:pPr>
            <w:r>
              <w:rPr>
                <w:rFonts w:ascii="Arial Narrow" w:eastAsia="Arial Narrow" w:hAnsi="Arial Narrow" w:cs="Arial Narrow"/>
                <w:i/>
                <w:iCs/>
                <w:color w:val="000000"/>
              </w:rPr>
              <w:t xml:space="preserve">Denunciado </w:t>
            </w:r>
            <w:r>
              <w:rPr>
                <w:rFonts w:ascii="Arial Narrow" w:eastAsia="Arial Narrow" w:hAnsi="Arial Narrow" w:cs="Arial Narrow"/>
                <w:color w:val="000000"/>
              </w:rPr>
              <w:t xml:space="preserve">y </w:t>
            </w:r>
            <w:r>
              <w:rPr>
                <w:rFonts w:ascii="Arial Narrow" w:eastAsia="Arial Narrow" w:hAnsi="Arial Narrow" w:cs="Arial Narrow"/>
                <w:i/>
                <w:iCs/>
                <w:color w:val="000000"/>
              </w:rPr>
              <w:t>SMRT</w:t>
            </w:r>
          </w:p>
        </w:tc>
        <w:tc>
          <w:tcPr>
            <w:tcW w:w="1467" w:type="dxa"/>
          </w:tcPr>
          <w:p w14:paraId="278C2DBD" w14:textId="77777777" w:rsidR="009E02A1"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color w:val="000000"/>
              </w:rPr>
              <w:t>Sí</w:t>
            </w:r>
          </w:p>
        </w:tc>
      </w:tr>
      <w:tr w:rsidR="009E02A1" w14:paraId="582EA789" w14:textId="77777777" w:rsidTr="009E02A1">
        <w:trPr>
          <w:trHeight w:val="243"/>
        </w:trPr>
        <w:tc>
          <w:tcPr>
            <w:cnfStyle w:val="001000000000" w:firstRow="0" w:lastRow="0" w:firstColumn="1" w:lastColumn="0" w:oddVBand="0" w:evenVBand="0" w:oddHBand="0" w:evenHBand="0" w:firstRowFirstColumn="0" w:firstRowLastColumn="0" w:lastRowFirstColumn="0" w:lastRowLastColumn="0"/>
            <w:tcW w:w="472" w:type="dxa"/>
          </w:tcPr>
          <w:p w14:paraId="2F4A9AB0" w14:textId="77777777" w:rsidR="009E02A1" w:rsidRDefault="00000000">
            <w:pPr>
              <w:pBdr>
                <w:top w:val="nil"/>
                <w:left w:val="nil"/>
                <w:bottom w:val="nil"/>
                <w:right w:val="nil"/>
                <w:between w:val="nil"/>
              </w:pBdr>
              <w:jc w:val="both"/>
              <w:rPr>
                <w:rFonts w:ascii="Arial Narrow" w:eastAsia="Arial Narrow" w:hAnsi="Arial Narrow" w:cs="Arial Narrow"/>
                <w:color w:val="000000"/>
              </w:rPr>
            </w:pPr>
            <w:r>
              <w:rPr>
                <w:rFonts w:ascii="Arial Narrow" w:eastAsia="Arial Narrow" w:hAnsi="Arial Narrow" w:cs="Arial Narrow"/>
                <w:b w:val="0"/>
                <w:bCs w:val="0"/>
                <w:color w:val="000000"/>
              </w:rPr>
              <w:t>3</w:t>
            </w:r>
          </w:p>
        </w:tc>
        <w:tc>
          <w:tcPr>
            <w:tcW w:w="3497" w:type="dxa"/>
          </w:tcPr>
          <w:p w14:paraId="5C1D1778" w14:textId="77777777" w:rsidR="009E02A1" w:rsidRDefault="00000000">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color w:val="000000"/>
              </w:rPr>
              <w:t>Ofrecer y difundir disculpa pública</w:t>
            </w:r>
          </w:p>
        </w:tc>
        <w:tc>
          <w:tcPr>
            <w:tcW w:w="3403" w:type="dxa"/>
          </w:tcPr>
          <w:p w14:paraId="631A4603" w14:textId="77777777" w:rsidR="009E02A1" w:rsidRDefault="00000000">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i/>
                <w:iCs/>
                <w:color w:val="000000"/>
              </w:rPr>
            </w:pPr>
            <w:r>
              <w:rPr>
                <w:rFonts w:ascii="Arial Narrow" w:eastAsia="Arial Narrow" w:hAnsi="Arial Narrow" w:cs="Arial Narrow"/>
                <w:i/>
                <w:iCs/>
                <w:color w:val="000000"/>
              </w:rPr>
              <w:t>Denunciado</w:t>
            </w:r>
          </w:p>
        </w:tc>
        <w:tc>
          <w:tcPr>
            <w:tcW w:w="1467" w:type="dxa"/>
          </w:tcPr>
          <w:p w14:paraId="01FCBEC1" w14:textId="77777777" w:rsidR="009E02A1"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color w:val="000000"/>
              </w:rPr>
              <w:t>Sí</w:t>
            </w:r>
          </w:p>
        </w:tc>
      </w:tr>
      <w:tr w:rsidR="009E02A1" w14:paraId="74AF1F9D" w14:textId="77777777" w:rsidTr="009E02A1">
        <w:trPr>
          <w:trHeight w:val="410"/>
        </w:trPr>
        <w:tc>
          <w:tcPr>
            <w:cnfStyle w:val="001000000000" w:firstRow="0" w:lastRow="0" w:firstColumn="1" w:lastColumn="0" w:oddVBand="0" w:evenVBand="0" w:oddHBand="0" w:evenHBand="0" w:firstRowFirstColumn="0" w:firstRowLastColumn="0" w:lastRowFirstColumn="0" w:lastRowLastColumn="0"/>
            <w:tcW w:w="472" w:type="dxa"/>
          </w:tcPr>
          <w:p w14:paraId="10DE202C" w14:textId="77777777" w:rsidR="009E02A1" w:rsidRDefault="00000000">
            <w:pPr>
              <w:pBdr>
                <w:top w:val="nil"/>
                <w:left w:val="nil"/>
                <w:bottom w:val="nil"/>
                <w:right w:val="nil"/>
                <w:between w:val="nil"/>
              </w:pBdr>
              <w:jc w:val="both"/>
              <w:rPr>
                <w:rFonts w:ascii="Arial Narrow" w:eastAsia="Arial Narrow" w:hAnsi="Arial Narrow" w:cs="Arial Narrow"/>
                <w:color w:val="000000"/>
              </w:rPr>
            </w:pPr>
            <w:r>
              <w:rPr>
                <w:rFonts w:ascii="Arial Narrow" w:eastAsia="Arial Narrow" w:hAnsi="Arial Narrow" w:cs="Arial Narrow"/>
                <w:b w:val="0"/>
                <w:bCs w:val="0"/>
                <w:color w:val="000000"/>
              </w:rPr>
              <w:t>4</w:t>
            </w:r>
          </w:p>
        </w:tc>
        <w:tc>
          <w:tcPr>
            <w:tcW w:w="3497" w:type="dxa"/>
          </w:tcPr>
          <w:p w14:paraId="3484E398" w14:textId="77777777" w:rsidR="009E02A1" w:rsidRDefault="00000000">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color w:val="000000"/>
              </w:rPr>
              <w:t xml:space="preserve">Inscripción en el </w:t>
            </w:r>
            <w:r>
              <w:rPr>
                <w:rFonts w:ascii="Arial Narrow" w:eastAsia="Arial Narrow" w:hAnsi="Arial Narrow" w:cs="Arial Narrow"/>
                <w:i/>
                <w:iCs/>
                <w:color w:val="000000"/>
              </w:rPr>
              <w:t>Registro Nacional</w:t>
            </w:r>
            <w:r>
              <w:rPr>
                <w:rFonts w:ascii="Arial Narrow" w:eastAsia="Arial Narrow" w:hAnsi="Arial Narrow" w:cs="Arial Narrow"/>
                <w:color w:val="000000"/>
              </w:rPr>
              <w:t xml:space="preserve"> y en el </w:t>
            </w:r>
            <w:r>
              <w:rPr>
                <w:rFonts w:ascii="Arial Narrow" w:eastAsia="Arial Narrow" w:hAnsi="Arial Narrow" w:cs="Arial Narrow"/>
                <w:i/>
                <w:iCs/>
                <w:color w:val="000000"/>
              </w:rPr>
              <w:t>Registro Estatal</w:t>
            </w:r>
          </w:p>
        </w:tc>
        <w:tc>
          <w:tcPr>
            <w:tcW w:w="3403" w:type="dxa"/>
          </w:tcPr>
          <w:p w14:paraId="691C0D1E" w14:textId="77777777" w:rsidR="009E02A1" w:rsidRDefault="00000000">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i/>
                <w:iCs/>
                <w:color w:val="000000"/>
              </w:rPr>
              <w:t>INE</w:t>
            </w:r>
            <w:r>
              <w:rPr>
                <w:rFonts w:ascii="Arial Narrow" w:eastAsia="Arial Narrow" w:hAnsi="Arial Narrow" w:cs="Arial Narrow"/>
                <w:color w:val="000000"/>
              </w:rPr>
              <w:t xml:space="preserve"> e </w:t>
            </w:r>
            <w:r>
              <w:rPr>
                <w:rFonts w:ascii="Arial Narrow" w:eastAsia="Arial Narrow" w:hAnsi="Arial Narrow" w:cs="Arial Narrow"/>
                <w:i/>
                <w:iCs/>
                <w:color w:val="000000"/>
              </w:rPr>
              <w:t>IEM</w:t>
            </w:r>
          </w:p>
        </w:tc>
        <w:tc>
          <w:tcPr>
            <w:tcW w:w="1467" w:type="dxa"/>
          </w:tcPr>
          <w:p w14:paraId="74301C00" w14:textId="77777777" w:rsidR="009E02A1"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color w:val="000000"/>
              </w:rPr>
              <w:t>Sí</w:t>
            </w:r>
          </w:p>
        </w:tc>
      </w:tr>
      <w:tr w:rsidR="009E02A1" w14:paraId="3C6DBA54" w14:textId="77777777" w:rsidTr="009E02A1">
        <w:trPr>
          <w:trHeight w:val="312"/>
        </w:trPr>
        <w:tc>
          <w:tcPr>
            <w:cnfStyle w:val="001000000000" w:firstRow="0" w:lastRow="0" w:firstColumn="1" w:lastColumn="0" w:oddVBand="0" w:evenVBand="0" w:oddHBand="0" w:evenHBand="0" w:firstRowFirstColumn="0" w:firstRowLastColumn="0" w:lastRowFirstColumn="0" w:lastRowLastColumn="0"/>
            <w:tcW w:w="472" w:type="dxa"/>
          </w:tcPr>
          <w:p w14:paraId="7D5CAE5C" w14:textId="77777777" w:rsidR="009E02A1" w:rsidRDefault="00000000">
            <w:pPr>
              <w:pBdr>
                <w:top w:val="nil"/>
                <w:left w:val="nil"/>
                <w:bottom w:val="nil"/>
                <w:right w:val="nil"/>
                <w:between w:val="nil"/>
              </w:pBdr>
              <w:jc w:val="both"/>
              <w:rPr>
                <w:rFonts w:ascii="Arial Narrow" w:eastAsia="Arial Narrow" w:hAnsi="Arial Narrow" w:cs="Arial Narrow"/>
                <w:color w:val="000000"/>
              </w:rPr>
            </w:pPr>
            <w:r>
              <w:rPr>
                <w:rFonts w:ascii="Arial Narrow" w:eastAsia="Arial Narrow" w:hAnsi="Arial Narrow" w:cs="Arial Narrow"/>
                <w:b w:val="0"/>
                <w:bCs w:val="0"/>
                <w:color w:val="000000"/>
              </w:rPr>
              <w:t>5</w:t>
            </w:r>
          </w:p>
        </w:tc>
        <w:tc>
          <w:tcPr>
            <w:tcW w:w="3497" w:type="dxa"/>
          </w:tcPr>
          <w:p w14:paraId="679A0804" w14:textId="77777777" w:rsidR="009E02A1" w:rsidRDefault="00000000">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color w:val="000000"/>
              </w:rPr>
              <w:t>Informar las acciones de cumplimiento</w:t>
            </w:r>
          </w:p>
        </w:tc>
        <w:tc>
          <w:tcPr>
            <w:tcW w:w="3403" w:type="dxa"/>
          </w:tcPr>
          <w:p w14:paraId="1B326064" w14:textId="77777777" w:rsidR="009E02A1" w:rsidRDefault="00000000">
            <w:pPr>
              <w:pBdr>
                <w:top w:val="nil"/>
                <w:left w:val="nil"/>
                <w:bottom w:val="nil"/>
                <w:right w:val="nil"/>
                <w:between w:val="nil"/>
              </w:pBd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color w:val="000000"/>
              </w:rPr>
              <w:t xml:space="preserve">Autoridades vinculadas y </w:t>
            </w:r>
            <w:r>
              <w:rPr>
                <w:rFonts w:ascii="Arial Narrow" w:eastAsia="Arial Narrow" w:hAnsi="Arial Narrow" w:cs="Arial Narrow"/>
                <w:i/>
                <w:iCs/>
                <w:color w:val="000000"/>
              </w:rPr>
              <w:t>denunciado</w:t>
            </w:r>
          </w:p>
        </w:tc>
        <w:tc>
          <w:tcPr>
            <w:tcW w:w="1467" w:type="dxa"/>
          </w:tcPr>
          <w:p w14:paraId="76A8951F" w14:textId="77777777" w:rsidR="009E02A1" w:rsidRDefault="00000000">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rPr>
            </w:pPr>
            <w:r>
              <w:rPr>
                <w:rFonts w:ascii="Arial Narrow" w:eastAsia="Arial Narrow" w:hAnsi="Arial Narrow" w:cs="Arial Narrow"/>
                <w:color w:val="000000"/>
              </w:rPr>
              <w:t>Sí</w:t>
            </w:r>
          </w:p>
        </w:tc>
      </w:tr>
    </w:tbl>
    <w:p w14:paraId="5891E9ED" w14:textId="77777777" w:rsidR="009E02A1" w:rsidRDefault="009E02A1">
      <w:pPr>
        <w:spacing w:after="0" w:line="360" w:lineRule="auto"/>
        <w:jc w:val="both"/>
        <w:rPr>
          <w:rFonts w:ascii="Arial" w:eastAsia="Arial" w:hAnsi="Arial" w:cs="Arial"/>
          <w:sz w:val="24"/>
          <w:szCs w:val="24"/>
        </w:rPr>
      </w:pPr>
    </w:p>
    <w:p w14:paraId="70C818E3"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Bajo lo antes precisado, el análisis del cumplimiento de la sentencia emitida por este </w:t>
      </w:r>
      <w:r>
        <w:rPr>
          <w:rFonts w:ascii="Arial" w:eastAsia="Arial" w:hAnsi="Arial" w:cs="Arial"/>
          <w:i/>
          <w:iCs/>
          <w:sz w:val="24"/>
          <w:szCs w:val="24"/>
        </w:rPr>
        <w:t>Tribunal Electoral</w:t>
      </w:r>
      <w:r>
        <w:rPr>
          <w:rFonts w:ascii="Arial" w:eastAsia="Arial" w:hAnsi="Arial" w:cs="Arial"/>
          <w:sz w:val="24"/>
          <w:szCs w:val="24"/>
        </w:rPr>
        <w:t xml:space="preserve"> el trece de diciembre, se efectuará de la siguiente manera: </w:t>
      </w:r>
    </w:p>
    <w:p w14:paraId="476FBCF7" w14:textId="77777777" w:rsidR="009E02A1" w:rsidRDefault="009E02A1">
      <w:pPr>
        <w:spacing w:after="0" w:line="360" w:lineRule="auto"/>
        <w:jc w:val="both"/>
        <w:rPr>
          <w:rFonts w:ascii="Arial" w:eastAsia="Arial" w:hAnsi="Arial" w:cs="Arial"/>
          <w:sz w:val="24"/>
          <w:szCs w:val="24"/>
        </w:rPr>
      </w:pPr>
    </w:p>
    <w:p w14:paraId="24B13D5A" w14:textId="77777777" w:rsidR="009E02A1" w:rsidRDefault="00000000">
      <w:pPr>
        <w:numPr>
          <w:ilvl w:val="0"/>
          <w:numId w:val="6"/>
        </w:numPr>
        <w:pBdr>
          <w:top w:val="nil"/>
          <w:left w:val="nil"/>
          <w:bottom w:val="nil"/>
          <w:right w:val="nil"/>
          <w:between w:val="nil"/>
        </w:pBdr>
        <w:spacing w:after="0" w:line="360" w:lineRule="auto"/>
        <w:jc w:val="both"/>
        <w:rPr>
          <w:rFonts w:ascii="Arial" w:eastAsia="Arial" w:hAnsi="Arial" w:cs="Arial"/>
          <w:b/>
          <w:bCs/>
          <w:i/>
          <w:iCs/>
          <w:color w:val="000000"/>
          <w:sz w:val="24"/>
          <w:szCs w:val="24"/>
        </w:rPr>
      </w:pPr>
      <w:r>
        <w:rPr>
          <w:rFonts w:ascii="Arial" w:eastAsia="Arial" w:hAnsi="Arial" w:cs="Arial"/>
          <w:b/>
          <w:bCs/>
          <w:color w:val="000000"/>
          <w:sz w:val="24"/>
          <w:szCs w:val="24"/>
        </w:rPr>
        <w:t>Implementación del programa de capacitación y asistencia.</w:t>
      </w:r>
    </w:p>
    <w:p w14:paraId="3E8B7592" w14:textId="77777777" w:rsidR="009E02A1" w:rsidRDefault="009E02A1">
      <w:pPr>
        <w:spacing w:after="0" w:line="360" w:lineRule="auto"/>
        <w:jc w:val="both"/>
        <w:rPr>
          <w:rFonts w:ascii="Arial" w:eastAsia="Arial" w:hAnsi="Arial" w:cs="Arial"/>
          <w:b/>
          <w:bCs/>
          <w:sz w:val="24"/>
          <w:szCs w:val="24"/>
        </w:rPr>
      </w:pPr>
    </w:p>
    <w:p w14:paraId="072A2DA5"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Como se desprende de lo anteriormente señalado, este </w:t>
      </w:r>
      <w:r>
        <w:rPr>
          <w:rFonts w:ascii="Arial" w:eastAsia="Arial" w:hAnsi="Arial" w:cs="Arial"/>
          <w:i/>
          <w:iCs/>
          <w:sz w:val="24"/>
          <w:szCs w:val="24"/>
        </w:rPr>
        <w:t>Tribunal Electoral</w:t>
      </w:r>
      <w:r>
        <w:rPr>
          <w:rFonts w:ascii="Arial" w:eastAsia="Arial" w:hAnsi="Arial" w:cs="Arial"/>
          <w:sz w:val="24"/>
          <w:szCs w:val="24"/>
        </w:rPr>
        <w:t xml:space="preserve"> como parte de las medidas de reparación integral, vinculó a la </w:t>
      </w:r>
      <w:r>
        <w:rPr>
          <w:rFonts w:ascii="Arial" w:eastAsia="Arial" w:hAnsi="Arial" w:cs="Arial"/>
          <w:i/>
          <w:iCs/>
          <w:sz w:val="24"/>
          <w:szCs w:val="24"/>
        </w:rPr>
        <w:t>Secretaría</w:t>
      </w:r>
      <w:r>
        <w:rPr>
          <w:rFonts w:ascii="Arial" w:eastAsia="Arial" w:hAnsi="Arial" w:cs="Arial"/>
          <w:sz w:val="24"/>
          <w:szCs w:val="24"/>
        </w:rPr>
        <w:t xml:space="preserve"> </w:t>
      </w:r>
      <w:r>
        <w:rPr>
          <w:rFonts w:ascii="Arial" w:eastAsia="Arial" w:hAnsi="Arial" w:cs="Arial"/>
          <w:i/>
          <w:iCs/>
          <w:sz w:val="24"/>
          <w:szCs w:val="24"/>
        </w:rPr>
        <w:t>de</w:t>
      </w:r>
      <w:r>
        <w:rPr>
          <w:rFonts w:ascii="Arial" w:eastAsia="Arial" w:hAnsi="Arial" w:cs="Arial"/>
          <w:sz w:val="24"/>
          <w:szCs w:val="24"/>
        </w:rPr>
        <w:t xml:space="preserve"> </w:t>
      </w:r>
      <w:r>
        <w:rPr>
          <w:rFonts w:ascii="Arial" w:eastAsia="Arial" w:hAnsi="Arial" w:cs="Arial"/>
          <w:i/>
          <w:iCs/>
          <w:sz w:val="24"/>
          <w:szCs w:val="24"/>
        </w:rPr>
        <w:t>Igualdad</w:t>
      </w:r>
      <w:r>
        <w:rPr>
          <w:rFonts w:ascii="Arial" w:eastAsia="Arial" w:hAnsi="Arial" w:cs="Arial"/>
          <w:sz w:val="24"/>
          <w:szCs w:val="24"/>
        </w:rPr>
        <w:t xml:space="preserve">, para que implementara un programa de capacitación sobre género y violencia política y se ordenó al </w:t>
      </w:r>
      <w:r>
        <w:rPr>
          <w:rFonts w:ascii="Arial" w:eastAsia="Arial" w:hAnsi="Arial" w:cs="Arial"/>
          <w:i/>
          <w:iCs/>
          <w:sz w:val="24"/>
          <w:szCs w:val="24"/>
        </w:rPr>
        <w:t>denunciado</w:t>
      </w:r>
      <w:r>
        <w:rPr>
          <w:rFonts w:ascii="Arial" w:eastAsia="Arial" w:hAnsi="Arial" w:cs="Arial"/>
          <w:sz w:val="24"/>
          <w:szCs w:val="24"/>
        </w:rPr>
        <w:t xml:space="preserve"> asistir al mismo. </w:t>
      </w:r>
    </w:p>
    <w:p w14:paraId="7825D0FB" w14:textId="77777777" w:rsidR="009E02A1" w:rsidRDefault="009E02A1">
      <w:pPr>
        <w:spacing w:after="0" w:line="360" w:lineRule="auto"/>
        <w:jc w:val="both"/>
        <w:rPr>
          <w:rFonts w:ascii="Arial" w:eastAsia="Arial" w:hAnsi="Arial" w:cs="Arial"/>
          <w:sz w:val="24"/>
          <w:szCs w:val="24"/>
        </w:rPr>
      </w:pPr>
    </w:p>
    <w:p w14:paraId="5DCF164E" w14:textId="77777777" w:rsidR="009E02A1" w:rsidRDefault="00000000">
      <w:pPr>
        <w:spacing w:after="0" w:line="360" w:lineRule="auto"/>
        <w:jc w:val="both"/>
        <w:rPr>
          <w:rFonts w:ascii="Arial" w:eastAsia="Arial" w:hAnsi="Arial" w:cs="Arial"/>
          <w:i/>
          <w:iCs/>
          <w:sz w:val="24"/>
          <w:szCs w:val="24"/>
        </w:rPr>
      </w:pPr>
      <w:r>
        <w:rPr>
          <w:rFonts w:ascii="Arial" w:eastAsia="Arial" w:hAnsi="Arial" w:cs="Arial"/>
          <w:sz w:val="24"/>
          <w:szCs w:val="24"/>
        </w:rPr>
        <w:t xml:space="preserve">En ese sentido, en un principio, el veinte de diciembre de dos mil veinticuatro la apoderada jurídica de la </w:t>
      </w:r>
      <w:r>
        <w:rPr>
          <w:rFonts w:ascii="Arial" w:eastAsia="Arial" w:hAnsi="Arial" w:cs="Arial"/>
          <w:i/>
          <w:iCs/>
          <w:sz w:val="24"/>
          <w:szCs w:val="24"/>
        </w:rPr>
        <w:t>Secretaria de Igualdad</w:t>
      </w:r>
      <w:r>
        <w:rPr>
          <w:rFonts w:ascii="Arial" w:eastAsia="Arial" w:hAnsi="Arial" w:cs="Arial"/>
          <w:sz w:val="24"/>
          <w:szCs w:val="24"/>
        </w:rPr>
        <w:t xml:space="preserve"> presentó escrito ante la Oficialía de Partes de este </w:t>
      </w:r>
      <w:r>
        <w:rPr>
          <w:rFonts w:ascii="Arial" w:eastAsia="Arial" w:hAnsi="Arial" w:cs="Arial"/>
          <w:i/>
          <w:iCs/>
          <w:sz w:val="24"/>
          <w:szCs w:val="24"/>
        </w:rPr>
        <w:t>Tribunal Electoral</w:t>
      </w:r>
      <w:r>
        <w:rPr>
          <w:rFonts w:ascii="Arial" w:eastAsia="Arial" w:hAnsi="Arial" w:cs="Arial"/>
          <w:sz w:val="24"/>
          <w:szCs w:val="24"/>
        </w:rPr>
        <w:t xml:space="preserve">, mediante el cual informó las fechas, forma y temáticas de las capacitaciones del programa que implementó en cumplimiento a lo ordenado en la sentencia, para impartirlas al </w:t>
      </w:r>
      <w:r>
        <w:rPr>
          <w:rFonts w:ascii="Arial" w:eastAsia="Arial" w:hAnsi="Arial" w:cs="Arial"/>
          <w:i/>
          <w:iCs/>
          <w:sz w:val="24"/>
          <w:szCs w:val="24"/>
        </w:rPr>
        <w:t>denunciado</w:t>
      </w:r>
      <w:r>
        <w:rPr>
          <w:rFonts w:ascii="Arial" w:eastAsia="Arial" w:hAnsi="Arial" w:cs="Arial"/>
          <w:sz w:val="24"/>
          <w:szCs w:val="24"/>
        </w:rPr>
        <w:t xml:space="preserve">, con lo cual se acredita </w:t>
      </w:r>
      <w:r>
        <w:rPr>
          <w:rFonts w:ascii="Arial" w:eastAsia="Arial" w:hAnsi="Arial" w:cs="Arial"/>
          <w:sz w:val="24"/>
          <w:szCs w:val="24"/>
        </w:rPr>
        <w:lastRenderedPageBreak/>
        <w:t xml:space="preserve">que efectivamente dicha Secretaría, cumplió con la acción a la que fue vinculada en la sentencia materia de análisis de cumplimiento. </w:t>
      </w:r>
    </w:p>
    <w:p w14:paraId="6C97A88B" w14:textId="77777777" w:rsidR="009E02A1" w:rsidRDefault="009E02A1">
      <w:pPr>
        <w:spacing w:after="0" w:line="360" w:lineRule="auto"/>
        <w:jc w:val="both"/>
        <w:rPr>
          <w:rFonts w:ascii="Arial" w:eastAsia="Arial" w:hAnsi="Arial" w:cs="Arial"/>
          <w:sz w:val="24"/>
          <w:szCs w:val="24"/>
        </w:rPr>
      </w:pPr>
    </w:p>
    <w:p w14:paraId="1129C027"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No obstante, posteriormente, el dieciocho de febrero, la</w:t>
      </w:r>
      <w:r>
        <w:rPr>
          <w:rFonts w:ascii="Arial" w:eastAsia="Arial" w:hAnsi="Arial" w:cs="Arial"/>
          <w:i/>
          <w:iCs/>
          <w:sz w:val="24"/>
          <w:szCs w:val="24"/>
        </w:rPr>
        <w:t xml:space="preserve"> </w:t>
      </w:r>
      <w:r>
        <w:rPr>
          <w:rFonts w:ascii="Arial" w:eastAsia="Arial" w:hAnsi="Arial" w:cs="Arial"/>
          <w:sz w:val="24"/>
          <w:szCs w:val="24"/>
        </w:rPr>
        <w:t xml:space="preserve">apoderada informó a este </w:t>
      </w:r>
      <w:r>
        <w:rPr>
          <w:rFonts w:ascii="Arial" w:eastAsia="Arial" w:hAnsi="Arial" w:cs="Arial"/>
          <w:i/>
          <w:iCs/>
          <w:sz w:val="24"/>
          <w:szCs w:val="24"/>
        </w:rPr>
        <w:t>Tribunal Electoral</w:t>
      </w:r>
      <w:r>
        <w:rPr>
          <w:rFonts w:ascii="Arial" w:eastAsia="Arial" w:hAnsi="Arial" w:cs="Arial"/>
          <w:sz w:val="24"/>
          <w:szCs w:val="24"/>
        </w:rPr>
        <w:t xml:space="preserve">, que el </w:t>
      </w:r>
      <w:r>
        <w:rPr>
          <w:rFonts w:ascii="Arial" w:eastAsia="Arial" w:hAnsi="Arial" w:cs="Arial"/>
          <w:i/>
          <w:iCs/>
          <w:sz w:val="24"/>
          <w:szCs w:val="24"/>
        </w:rPr>
        <w:t xml:space="preserve">denunciado </w:t>
      </w:r>
      <w:r>
        <w:rPr>
          <w:rFonts w:ascii="Arial" w:eastAsia="Arial" w:hAnsi="Arial" w:cs="Arial"/>
          <w:sz w:val="24"/>
          <w:szCs w:val="24"/>
        </w:rPr>
        <w:t xml:space="preserve">no asistió al programa de capacitación implementado para serle impartido. </w:t>
      </w:r>
    </w:p>
    <w:p w14:paraId="09BD6220" w14:textId="77777777" w:rsidR="009E02A1" w:rsidRDefault="009E02A1">
      <w:pPr>
        <w:spacing w:after="0" w:line="360" w:lineRule="auto"/>
        <w:jc w:val="both"/>
        <w:rPr>
          <w:rFonts w:ascii="Arial" w:eastAsia="Arial" w:hAnsi="Arial" w:cs="Arial"/>
          <w:sz w:val="24"/>
          <w:szCs w:val="24"/>
        </w:rPr>
      </w:pPr>
    </w:p>
    <w:p w14:paraId="416A23D1"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En ese sentido, para verificar el cumplimiento de las demás acciones ordenadas por este </w:t>
      </w:r>
      <w:r>
        <w:rPr>
          <w:rFonts w:ascii="Arial" w:eastAsia="Arial" w:hAnsi="Arial" w:cs="Arial"/>
          <w:i/>
          <w:iCs/>
          <w:sz w:val="24"/>
          <w:szCs w:val="24"/>
        </w:rPr>
        <w:t>Tribunal Electoral</w:t>
      </w:r>
      <w:r>
        <w:rPr>
          <w:rFonts w:ascii="Arial" w:eastAsia="Arial" w:hAnsi="Arial" w:cs="Arial"/>
          <w:sz w:val="24"/>
          <w:szCs w:val="24"/>
        </w:rPr>
        <w:t xml:space="preserve"> y toda vez que el </w:t>
      </w:r>
      <w:r>
        <w:rPr>
          <w:rFonts w:ascii="Arial" w:eastAsia="Arial" w:hAnsi="Arial" w:cs="Arial"/>
          <w:i/>
          <w:iCs/>
          <w:sz w:val="24"/>
          <w:szCs w:val="24"/>
        </w:rPr>
        <w:t>denunciado</w:t>
      </w:r>
      <w:r>
        <w:rPr>
          <w:rFonts w:ascii="Arial" w:eastAsia="Arial" w:hAnsi="Arial" w:cs="Arial"/>
          <w:sz w:val="24"/>
          <w:szCs w:val="24"/>
        </w:rPr>
        <w:t xml:space="preserve"> no remitió dentro de los plazos otorgados constancia alguna que acreditara el referido cumplimiento, la Ponencia instructora, mediante acuerdo de once de abril le requirió a efecto de que remitiera las constancias con las cuales acreditara el acatamiento de dichas acciones, sin embargo, no dio cumplimiento a dicho requerimiento.</w:t>
      </w:r>
    </w:p>
    <w:p w14:paraId="1FECD9A0" w14:textId="77777777" w:rsidR="009E02A1" w:rsidRDefault="009E02A1">
      <w:pPr>
        <w:spacing w:after="0" w:line="360" w:lineRule="auto"/>
        <w:jc w:val="both"/>
        <w:rPr>
          <w:rFonts w:ascii="Arial" w:eastAsia="Arial" w:hAnsi="Arial" w:cs="Arial"/>
          <w:sz w:val="24"/>
          <w:szCs w:val="24"/>
        </w:rPr>
      </w:pPr>
    </w:p>
    <w:p w14:paraId="5C659AA7"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Así, toda vez que la información requerida era necesaria para verificar el cumplimiento materia de análisis, la Ponencia instructora, le volvió a requerir mediante acuerdos de veintiocho de abril y de seis, trece y veintitrés de mayo, sin embargo, fue omiso en dar cumplimiento a estos. </w:t>
      </w:r>
    </w:p>
    <w:p w14:paraId="40EAD61B" w14:textId="77777777" w:rsidR="009E02A1" w:rsidRDefault="009E02A1">
      <w:pPr>
        <w:spacing w:after="0" w:line="360" w:lineRule="auto"/>
        <w:jc w:val="both"/>
        <w:rPr>
          <w:rFonts w:ascii="Arial" w:eastAsia="Arial" w:hAnsi="Arial" w:cs="Arial"/>
          <w:sz w:val="24"/>
          <w:szCs w:val="24"/>
        </w:rPr>
      </w:pPr>
    </w:p>
    <w:p w14:paraId="0C2490B2"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Finalmente, no fue hasta el trece de junio que el </w:t>
      </w:r>
      <w:r>
        <w:rPr>
          <w:rFonts w:ascii="Arial" w:eastAsia="Arial" w:hAnsi="Arial" w:cs="Arial"/>
          <w:i/>
          <w:iCs/>
          <w:sz w:val="24"/>
          <w:szCs w:val="24"/>
        </w:rPr>
        <w:t xml:space="preserve">denunciado </w:t>
      </w:r>
      <w:r>
        <w:rPr>
          <w:rFonts w:ascii="Arial" w:eastAsia="Arial" w:hAnsi="Arial" w:cs="Arial"/>
          <w:sz w:val="24"/>
          <w:szCs w:val="24"/>
        </w:rPr>
        <w:t xml:space="preserve">presentó escrito ante la Oficialía de Partes de este </w:t>
      </w:r>
      <w:r>
        <w:rPr>
          <w:rFonts w:ascii="Arial" w:eastAsia="Arial" w:hAnsi="Arial" w:cs="Arial"/>
          <w:i/>
          <w:iCs/>
          <w:sz w:val="24"/>
          <w:szCs w:val="24"/>
        </w:rPr>
        <w:t>Tribunal Electoral</w:t>
      </w:r>
      <w:r>
        <w:rPr>
          <w:rFonts w:ascii="Arial" w:eastAsia="Arial" w:hAnsi="Arial" w:cs="Arial"/>
          <w:sz w:val="24"/>
          <w:szCs w:val="24"/>
        </w:rPr>
        <w:t xml:space="preserve">, mediante el cual, refirió dar cumplimiento a lo ordenado en la sentencia, no obstante, del análisis de dicho escrito se advirtió que el cumplimiento no era respecto a asistir a un programa de capacitación en materia de género y violencia política, sino a las demás acciones ordenadas en la sentencia. </w:t>
      </w:r>
    </w:p>
    <w:p w14:paraId="71CFA9B1" w14:textId="77777777" w:rsidR="009E02A1" w:rsidRDefault="009E02A1">
      <w:pPr>
        <w:spacing w:after="0" w:line="360" w:lineRule="auto"/>
        <w:jc w:val="both"/>
        <w:rPr>
          <w:rFonts w:ascii="Arial" w:eastAsia="Arial" w:hAnsi="Arial" w:cs="Arial"/>
          <w:sz w:val="24"/>
          <w:szCs w:val="24"/>
        </w:rPr>
      </w:pPr>
    </w:p>
    <w:p w14:paraId="46ADF1DF"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En ese sentido, mediante acuerdo de diecisiete de junio, la Ponencia instructora le volvió a requerir para el efecto de que solicitara a la </w:t>
      </w:r>
      <w:r>
        <w:rPr>
          <w:rFonts w:ascii="Arial" w:eastAsia="Arial" w:hAnsi="Arial" w:cs="Arial"/>
          <w:i/>
          <w:iCs/>
          <w:sz w:val="24"/>
          <w:szCs w:val="24"/>
        </w:rPr>
        <w:t>Secretaria de Igualdad</w:t>
      </w:r>
      <w:r>
        <w:rPr>
          <w:rFonts w:ascii="Arial" w:eastAsia="Arial" w:hAnsi="Arial" w:cs="Arial"/>
          <w:sz w:val="24"/>
          <w:szCs w:val="24"/>
        </w:rPr>
        <w:t xml:space="preserve"> le señalara nuevas fechas para la impartición del programa de capacitación, no obstante, una vez más fue omiso en dar cumplimiento a dicho requerimiento.</w:t>
      </w:r>
    </w:p>
    <w:p w14:paraId="1A24DA8C" w14:textId="77777777" w:rsidR="009E02A1" w:rsidRDefault="009E02A1">
      <w:pPr>
        <w:spacing w:after="0" w:line="360" w:lineRule="auto"/>
        <w:jc w:val="both"/>
        <w:rPr>
          <w:rFonts w:ascii="Arial" w:eastAsia="Arial" w:hAnsi="Arial" w:cs="Arial"/>
          <w:sz w:val="24"/>
          <w:szCs w:val="24"/>
        </w:rPr>
      </w:pPr>
    </w:p>
    <w:p w14:paraId="12E0DADE" w14:textId="77777777" w:rsidR="009E02A1" w:rsidRDefault="00000000">
      <w:pPr>
        <w:spacing w:after="0" w:line="360" w:lineRule="auto"/>
        <w:jc w:val="both"/>
        <w:rPr>
          <w:rFonts w:ascii="Arial" w:eastAsia="Arial" w:hAnsi="Arial" w:cs="Arial"/>
          <w:b/>
          <w:bCs/>
          <w:sz w:val="24"/>
          <w:szCs w:val="24"/>
        </w:rPr>
      </w:pPr>
      <w:r>
        <w:rPr>
          <w:rFonts w:ascii="Arial" w:eastAsia="Arial" w:hAnsi="Arial" w:cs="Arial"/>
          <w:sz w:val="24"/>
          <w:szCs w:val="24"/>
        </w:rPr>
        <w:t xml:space="preserve">Derivado de lo anterior, la Ponencia instructora consideró necesario requerir a la </w:t>
      </w:r>
      <w:r>
        <w:rPr>
          <w:rFonts w:ascii="Arial" w:eastAsia="Arial" w:hAnsi="Arial" w:cs="Arial"/>
          <w:i/>
          <w:iCs/>
          <w:sz w:val="24"/>
          <w:szCs w:val="24"/>
        </w:rPr>
        <w:t>Secretaría de Igualdad</w:t>
      </w:r>
      <w:r>
        <w:rPr>
          <w:rFonts w:ascii="Arial" w:eastAsia="Arial" w:hAnsi="Arial" w:cs="Arial"/>
          <w:sz w:val="24"/>
          <w:szCs w:val="24"/>
        </w:rPr>
        <w:t xml:space="preserve"> a efecto de que informara si el </w:t>
      </w:r>
      <w:r>
        <w:rPr>
          <w:rFonts w:ascii="Arial" w:eastAsia="Arial" w:hAnsi="Arial" w:cs="Arial"/>
          <w:i/>
          <w:iCs/>
          <w:sz w:val="24"/>
          <w:szCs w:val="24"/>
        </w:rPr>
        <w:t xml:space="preserve">denunciado </w:t>
      </w:r>
      <w:r>
        <w:rPr>
          <w:rFonts w:ascii="Arial" w:eastAsia="Arial" w:hAnsi="Arial" w:cs="Arial"/>
          <w:sz w:val="24"/>
          <w:szCs w:val="24"/>
        </w:rPr>
        <w:t xml:space="preserve">le había solicitado le señalara nuevas fechas para la impartición del programa y en caso de ser negativa su respuesta, reprogramara las capacitaciones sobre género y violencia política. </w:t>
      </w:r>
    </w:p>
    <w:p w14:paraId="57393E5B" w14:textId="77777777" w:rsidR="009E02A1" w:rsidRDefault="009E02A1">
      <w:pPr>
        <w:spacing w:after="0" w:line="360" w:lineRule="auto"/>
        <w:jc w:val="both"/>
        <w:rPr>
          <w:rFonts w:ascii="Arial" w:eastAsia="Arial" w:hAnsi="Arial" w:cs="Arial"/>
          <w:sz w:val="24"/>
          <w:szCs w:val="24"/>
        </w:rPr>
      </w:pPr>
    </w:p>
    <w:p w14:paraId="4A19FC61"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lastRenderedPageBreak/>
        <w:t>Debido a ello,</w:t>
      </w:r>
      <w:r>
        <w:rPr>
          <w:rFonts w:ascii="Arial" w:eastAsia="Arial" w:hAnsi="Arial" w:cs="Arial"/>
          <w:b/>
          <w:bCs/>
          <w:sz w:val="24"/>
          <w:szCs w:val="24"/>
        </w:rPr>
        <w:t xml:space="preserve"> </w:t>
      </w:r>
      <w:r>
        <w:rPr>
          <w:rFonts w:ascii="Arial" w:eastAsia="Arial" w:hAnsi="Arial" w:cs="Arial"/>
          <w:sz w:val="24"/>
          <w:szCs w:val="24"/>
        </w:rPr>
        <w:t xml:space="preserve">mediante escrito de tres de julio, la Apoderada Jurídica de la </w:t>
      </w:r>
      <w:r>
        <w:rPr>
          <w:rFonts w:ascii="Arial" w:eastAsia="Arial" w:hAnsi="Arial" w:cs="Arial"/>
          <w:i/>
          <w:iCs/>
          <w:sz w:val="24"/>
          <w:szCs w:val="24"/>
        </w:rPr>
        <w:t>Secretaría de Igualdad</w:t>
      </w:r>
      <w:r>
        <w:rPr>
          <w:rFonts w:ascii="Arial" w:eastAsia="Arial" w:hAnsi="Arial" w:cs="Arial"/>
          <w:b/>
          <w:bCs/>
          <w:sz w:val="24"/>
          <w:szCs w:val="24"/>
        </w:rPr>
        <w:t xml:space="preserve"> </w:t>
      </w:r>
      <w:r>
        <w:rPr>
          <w:rFonts w:ascii="Arial" w:eastAsia="Arial" w:hAnsi="Arial" w:cs="Arial"/>
          <w:sz w:val="24"/>
          <w:szCs w:val="24"/>
        </w:rPr>
        <w:t xml:space="preserve">informó que el </w:t>
      </w:r>
      <w:r>
        <w:rPr>
          <w:rFonts w:ascii="Arial" w:eastAsia="Arial" w:hAnsi="Arial" w:cs="Arial"/>
          <w:i/>
          <w:iCs/>
          <w:sz w:val="24"/>
          <w:szCs w:val="24"/>
        </w:rPr>
        <w:t>denunciado</w:t>
      </w:r>
      <w:r>
        <w:rPr>
          <w:rFonts w:ascii="Arial" w:eastAsia="Arial" w:hAnsi="Arial" w:cs="Arial"/>
          <w:sz w:val="24"/>
          <w:szCs w:val="24"/>
        </w:rPr>
        <w:t xml:space="preserve"> no le había efectuado solicitud alguna y, en consecuencia, reprogramó las capacitaciones para ser impartidas del dieciocho al veintidós de agosto, solicitando a este </w:t>
      </w:r>
      <w:r>
        <w:rPr>
          <w:rFonts w:ascii="Arial" w:eastAsia="Arial" w:hAnsi="Arial" w:cs="Arial"/>
          <w:i/>
          <w:iCs/>
          <w:sz w:val="24"/>
          <w:szCs w:val="24"/>
        </w:rPr>
        <w:t>Tribunal Electoral</w:t>
      </w:r>
      <w:r>
        <w:rPr>
          <w:rFonts w:ascii="Arial" w:eastAsia="Arial" w:hAnsi="Arial" w:cs="Arial"/>
          <w:sz w:val="24"/>
          <w:szCs w:val="24"/>
        </w:rPr>
        <w:t xml:space="preserve"> le notificara dichas fechas al </w:t>
      </w:r>
      <w:r>
        <w:rPr>
          <w:rFonts w:ascii="Arial" w:eastAsia="Arial" w:hAnsi="Arial" w:cs="Arial"/>
          <w:i/>
          <w:iCs/>
          <w:sz w:val="24"/>
          <w:szCs w:val="24"/>
        </w:rPr>
        <w:t>denunciado.</w:t>
      </w:r>
      <w:r>
        <w:rPr>
          <w:rFonts w:ascii="Arial" w:eastAsia="Arial" w:hAnsi="Arial" w:cs="Arial"/>
          <w:sz w:val="24"/>
          <w:szCs w:val="24"/>
        </w:rPr>
        <w:t xml:space="preserve"> </w:t>
      </w:r>
    </w:p>
    <w:p w14:paraId="61F3EE7A" w14:textId="77777777" w:rsidR="009E02A1" w:rsidRDefault="009E02A1">
      <w:pPr>
        <w:spacing w:after="0" w:line="360" w:lineRule="auto"/>
        <w:jc w:val="both"/>
        <w:rPr>
          <w:rFonts w:ascii="Arial" w:eastAsia="Arial" w:hAnsi="Arial" w:cs="Arial"/>
          <w:sz w:val="24"/>
          <w:szCs w:val="24"/>
        </w:rPr>
      </w:pPr>
    </w:p>
    <w:p w14:paraId="6610A4F8"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Es así como, en atención a dicha solicitud, mediante acuerdo de cuatro de julio, la Ponencia instructora ordenó practicar la notificación al </w:t>
      </w:r>
      <w:r>
        <w:rPr>
          <w:rFonts w:ascii="Arial" w:eastAsia="Arial" w:hAnsi="Arial" w:cs="Arial"/>
          <w:i/>
          <w:iCs/>
          <w:sz w:val="24"/>
          <w:szCs w:val="24"/>
        </w:rPr>
        <w:t xml:space="preserve">denunciado </w:t>
      </w:r>
      <w:r>
        <w:rPr>
          <w:rFonts w:ascii="Arial" w:eastAsia="Arial" w:hAnsi="Arial" w:cs="Arial"/>
          <w:sz w:val="24"/>
          <w:szCs w:val="24"/>
        </w:rPr>
        <w:t xml:space="preserve">para el efecto de que estuviera en aptitud de conocer las nuevas fechas del programa de capacitaciones y asistiera al mismo con la finalidad de dar cumplimiento a la sentencia. </w:t>
      </w:r>
    </w:p>
    <w:p w14:paraId="2795B874" w14:textId="77777777" w:rsidR="009E02A1" w:rsidRDefault="009E02A1">
      <w:pPr>
        <w:spacing w:after="0" w:line="360" w:lineRule="auto"/>
        <w:jc w:val="both"/>
        <w:rPr>
          <w:rFonts w:ascii="Arial" w:eastAsia="Arial" w:hAnsi="Arial" w:cs="Arial"/>
          <w:sz w:val="24"/>
          <w:szCs w:val="24"/>
        </w:rPr>
      </w:pPr>
    </w:p>
    <w:p w14:paraId="35D2055F"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Así, el veintinueve de agosto se requirió a la </w:t>
      </w:r>
      <w:r>
        <w:rPr>
          <w:rFonts w:ascii="Arial" w:eastAsia="Arial" w:hAnsi="Arial" w:cs="Arial"/>
          <w:i/>
          <w:iCs/>
          <w:sz w:val="24"/>
          <w:szCs w:val="24"/>
        </w:rPr>
        <w:t>Secretaría de Igualdad</w:t>
      </w:r>
      <w:r>
        <w:rPr>
          <w:rFonts w:ascii="Arial" w:eastAsia="Arial" w:hAnsi="Arial" w:cs="Arial"/>
          <w:sz w:val="24"/>
          <w:szCs w:val="24"/>
        </w:rPr>
        <w:t xml:space="preserve"> para que informara si el </w:t>
      </w:r>
      <w:r>
        <w:rPr>
          <w:rFonts w:ascii="Arial" w:eastAsia="Arial" w:hAnsi="Arial" w:cs="Arial"/>
          <w:i/>
          <w:iCs/>
          <w:sz w:val="24"/>
          <w:szCs w:val="24"/>
        </w:rPr>
        <w:t>denunciado</w:t>
      </w:r>
      <w:r>
        <w:rPr>
          <w:rFonts w:ascii="Arial" w:eastAsia="Arial" w:hAnsi="Arial" w:cs="Arial"/>
          <w:sz w:val="24"/>
          <w:szCs w:val="24"/>
        </w:rPr>
        <w:t xml:space="preserve"> asistió o no a la reprogramación de las capacitaciones, y en cumplimiento el cuatro de septiembre, informó que de nueva cuenta el </w:t>
      </w:r>
      <w:r>
        <w:rPr>
          <w:rFonts w:ascii="Arial" w:eastAsia="Arial" w:hAnsi="Arial" w:cs="Arial"/>
          <w:i/>
          <w:iCs/>
          <w:sz w:val="24"/>
          <w:szCs w:val="24"/>
        </w:rPr>
        <w:t>denunciado</w:t>
      </w:r>
      <w:r>
        <w:rPr>
          <w:rFonts w:ascii="Arial" w:eastAsia="Arial" w:hAnsi="Arial" w:cs="Arial"/>
          <w:sz w:val="24"/>
          <w:szCs w:val="24"/>
        </w:rPr>
        <w:t xml:space="preserve"> no había asistido al programa de capacitaciones.</w:t>
      </w:r>
    </w:p>
    <w:p w14:paraId="5524CF13" w14:textId="77777777" w:rsidR="009E02A1" w:rsidRDefault="009E02A1">
      <w:pPr>
        <w:spacing w:after="0" w:line="360" w:lineRule="auto"/>
        <w:jc w:val="both"/>
        <w:rPr>
          <w:rFonts w:ascii="Arial" w:eastAsia="Arial" w:hAnsi="Arial" w:cs="Arial"/>
          <w:sz w:val="24"/>
          <w:szCs w:val="24"/>
        </w:rPr>
      </w:pPr>
    </w:p>
    <w:p w14:paraId="0028E346"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En consecuencia, mediante acuerdo de ocho de septiembre, la Ponencia instructora volvió a solicitarle a la </w:t>
      </w:r>
      <w:r>
        <w:rPr>
          <w:rFonts w:ascii="Arial" w:eastAsia="Arial" w:hAnsi="Arial" w:cs="Arial"/>
          <w:i/>
          <w:iCs/>
          <w:sz w:val="24"/>
          <w:szCs w:val="24"/>
        </w:rPr>
        <w:t>Secretaría de Igualdad</w:t>
      </w:r>
      <w:r>
        <w:rPr>
          <w:rFonts w:ascii="Arial" w:eastAsia="Arial" w:hAnsi="Arial" w:cs="Arial"/>
          <w:sz w:val="24"/>
          <w:szCs w:val="24"/>
        </w:rPr>
        <w:t xml:space="preserve"> que reagendara el programa de capacitaciones para ser impartido al </w:t>
      </w:r>
      <w:r>
        <w:rPr>
          <w:rFonts w:ascii="Arial" w:eastAsia="Arial" w:hAnsi="Arial" w:cs="Arial"/>
          <w:i/>
          <w:iCs/>
          <w:sz w:val="24"/>
          <w:szCs w:val="24"/>
        </w:rPr>
        <w:t>denunciado</w:t>
      </w:r>
      <w:r>
        <w:rPr>
          <w:rFonts w:ascii="Arial" w:eastAsia="Arial" w:hAnsi="Arial" w:cs="Arial"/>
          <w:sz w:val="24"/>
          <w:szCs w:val="24"/>
        </w:rPr>
        <w:t xml:space="preserve">, la cual, mediante escrito presentado el diez de octubre ante la Oficialía de Partes de este </w:t>
      </w:r>
      <w:r>
        <w:rPr>
          <w:rFonts w:ascii="Arial" w:eastAsia="Arial" w:hAnsi="Arial" w:cs="Arial"/>
          <w:i/>
          <w:iCs/>
          <w:sz w:val="24"/>
          <w:szCs w:val="24"/>
        </w:rPr>
        <w:t>Tribunal Electoral</w:t>
      </w:r>
      <w:r>
        <w:rPr>
          <w:rFonts w:ascii="Arial" w:eastAsia="Arial" w:hAnsi="Arial" w:cs="Arial"/>
          <w:sz w:val="24"/>
          <w:szCs w:val="24"/>
        </w:rPr>
        <w:t xml:space="preserve"> informó que el programa se impartiría el veintinueve de octubre.</w:t>
      </w:r>
    </w:p>
    <w:p w14:paraId="3BA39FF7" w14:textId="77777777" w:rsidR="009E02A1" w:rsidRDefault="009E02A1">
      <w:pPr>
        <w:spacing w:after="0" w:line="360" w:lineRule="auto"/>
        <w:jc w:val="both"/>
        <w:rPr>
          <w:rFonts w:ascii="Arial" w:eastAsia="Arial" w:hAnsi="Arial" w:cs="Arial"/>
          <w:sz w:val="24"/>
          <w:szCs w:val="24"/>
        </w:rPr>
      </w:pPr>
    </w:p>
    <w:p w14:paraId="0F3C8EAB"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No obstante, dicho programa no coincidía con el propuesto de inicio, por lo que mediante acuerdo de catorce de octubre se le requirió para que precisara de manera completa cada una de las capacitaciones a impartir, el cual fue cumplido el dieciséis siguiente y en solicitud de la </w:t>
      </w:r>
      <w:r>
        <w:rPr>
          <w:rFonts w:ascii="Arial" w:eastAsia="Arial" w:hAnsi="Arial" w:cs="Arial"/>
          <w:i/>
          <w:iCs/>
          <w:sz w:val="24"/>
          <w:szCs w:val="24"/>
        </w:rPr>
        <w:t>Secretaría de Igualdad</w:t>
      </w:r>
      <w:r>
        <w:rPr>
          <w:rFonts w:ascii="Arial" w:eastAsia="Arial" w:hAnsi="Arial" w:cs="Arial"/>
          <w:sz w:val="24"/>
          <w:szCs w:val="24"/>
        </w:rPr>
        <w:t xml:space="preserve"> se notificó al </w:t>
      </w:r>
      <w:r>
        <w:rPr>
          <w:rFonts w:ascii="Arial" w:eastAsia="Arial" w:hAnsi="Arial" w:cs="Arial"/>
          <w:i/>
          <w:iCs/>
          <w:sz w:val="24"/>
          <w:szCs w:val="24"/>
        </w:rPr>
        <w:t xml:space="preserve">denunciado </w:t>
      </w:r>
      <w:r>
        <w:rPr>
          <w:rFonts w:ascii="Arial" w:eastAsia="Arial" w:hAnsi="Arial" w:cs="Arial"/>
          <w:sz w:val="24"/>
          <w:szCs w:val="24"/>
        </w:rPr>
        <w:t xml:space="preserve">que las capacitaciones reprogramadas serian impartidas del tres al siete de noviembre. </w:t>
      </w:r>
    </w:p>
    <w:p w14:paraId="2139E002" w14:textId="77777777" w:rsidR="009E02A1" w:rsidRDefault="009E02A1">
      <w:pPr>
        <w:spacing w:after="0" w:line="360" w:lineRule="auto"/>
        <w:jc w:val="both"/>
        <w:rPr>
          <w:rFonts w:ascii="Arial" w:eastAsia="Arial" w:hAnsi="Arial" w:cs="Arial"/>
          <w:sz w:val="24"/>
          <w:szCs w:val="24"/>
        </w:rPr>
      </w:pPr>
    </w:p>
    <w:p w14:paraId="445374CF"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Es así como, finalmente, el trece de noviembre, la </w:t>
      </w:r>
      <w:r>
        <w:rPr>
          <w:rFonts w:ascii="Arial" w:eastAsia="Arial" w:hAnsi="Arial" w:cs="Arial"/>
          <w:i/>
          <w:iCs/>
          <w:sz w:val="24"/>
          <w:szCs w:val="24"/>
        </w:rPr>
        <w:t>Secretaría de Igualdad</w:t>
      </w:r>
      <w:r>
        <w:rPr>
          <w:rFonts w:ascii="Arial" w:eastAsia="Arial" w:hAnsi="Arial" w:cs="Arial"/>
          <w:sz w:val="24"/>
          <w:szCs w:val="24"/>
        </w:rPr>
        <w:t xml:space="preserve"> informó que el </w:t>
      </w:r>
      <w:r>
        <w:rPr>
          <w:rFonts w:ascii="Arial" w:eastAsia="Arial" w:hAnsi="Arial" w:cs="Arial"/>
          <w:i/>
          <w:iCs/>
          <w:sz w:val="24"/>
          <w:szCs w:val="24"/>
        </w:rPr>
        <w:t>denunciado</w:t>
      </w:r>
      <w:r>
        <w:rPr>
          <w:rFonts w:ascii="Arial" w:eastAsia="Arial" w:hAnsi="Arial" w:cs="Arial"/>
          <w:sz w:val="24"/>
          <w:szCs w:val="24"/>
        </w:rPr>
        <w:t xml:space="preserve"> si había asistido a las capacitaciones reprogramadas, y para acreditar su dicho anexó el reporte presentado por la Jefa de Departamento de Prevención y Erradicación a la Violencia, identificado como </w:t>
      </w:r>
      <w:r>
        <w:rPr>
          <w:rFonts w:ascii="Arial" w:eastAsia="Arial" w:hAnsi="Arial" w:cs="Arial"/>
          <w:i/>
          <w:iCs/>
          <w:sz w:val="24"/>
          <w:szCs w:val="24"/>
        </w:rPr>
        <w:t>“INFORME DE CAPACITACIONES INSTITUTO ELECTORAL DE MICHOACÁN TEEM-PES-VPMG/2024.”</w:t>
      </w:r>
    </w:p>
    <w:p w14:paraId="50B4F8FF" w14:textId="77777777" w:rsidR="009E02A1" w:rsidRDefault="009E02A1">
      <w:pPr>
        <w:spacing w:after="0" w:line="360" w:lineRule="auto"/>
        <w:jc w:val="both"/>
        <w:rPr>
          <w:rFonts w:ascii="Arial" w:eastAsia="Arial" w:hAnsi="Arial" w:cs="Arial"/>
          <w:sz w:val="24"/>
          <w:szCs w:val="24"/>
        </w:rPr>
      </w:pPr>
    </w:p>
    <w:p w14:paraId="49C139A2"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lastRenderedPageBreak/>
        <w:t xml:space="preserve">En dicho reporte, se hizo constar que las capacitaciones impartidas fueron Derechos humanos de las mujeres, A, B, C de género, Tipos y Modalidades de Violencia, Acoso y Hostigamiento Sexual y Masculinidades No Violentas. </w:t>
      </w:r>
    </w:p>
    <w:p w14:paraId="14CCE461" w14:textId="77777777" w:rsidR="009E02A1" w:rsidRDefault="009E02A1">
      <w:pPr>
        <w:spacing w:after="0" w:line="360" w:lineRule="auto"/>
        <w:jc w:val="both"/>
        <w:rPr>
          <w:rFonts w:ascii="Arial" w:eastAsia="Arial" w:hAnsi="Arial" w:cs="Arial"/>
          <w:sz w:val="24"/>
          <w:szCs w:val="24"/>
        </w:rPr>
      </w:pPr>
    </w:p>
    <w:p w14:paraId="13621FA1"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También se precisó que se contó con la participación del </w:t>
      </w:r>
      <w:r>
        <w:rPr>
          <w:rFonts w:ascii="Arial" w:eastAsia="Arial" w:hAnsi="Arial" w:cs="Arial"/>
          <w:i/>
          <w:iCs/>
          <w:sz w:val="24"/>
          <w:szCs w:val="24"/>
        </w:rPr>
        <w:t xml:space="preserve">denunciado </w:t>
      </w:r>
      <w:r>
        <w:rPr>
          <w:rFonts w:ascii="Arial" w:eastAsia="Arial" w:hAnsi="Arial" w:cs="Arial"/>
          <w:sz w:val="24"/>
          <w:szCs w:val="24"/>
        </w:rPr>
        <w:t>a las cinco sesiones programadas durante la semana y que demostró puntualidad y una actitud atenta y receptiva al diálogo durante las capacitaciones, insertándose las siguientes imágenes:</w:t>
      </w:r>
    </w:p>
    <w:p w14:paraId="3664146B" w14:textId="77777777" w:rsidR="009E02A1" w:rsidRDefault="009E02A1">
      <w:pPr>
        <w:spacing w:after="0" w:line="360" w:lineRule="auto"/>
        <w:jc w:val="both"/>
        <w:rPr>
          <w:rFonts w:ascii="Arial" w:eastAsia="Arial" w:hAnsi="Arial" w:cs="Arial"/>
          <w:sz w:val="24"/>
          <w:szCs w:val="24"/>
        </w:rPr>
      </w:pPr>
    </w:p>
    <w:tbl>
      <w:tblPr>
        <w:tblStyle w:val="a0"/>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4"/>
        <w:gridCol w:w="4414"/>
      </w:tblGrid>
      <w:tr w:rsidR="009E02A1" w14:paraId="2984FF88" w14:textId="77777777">
        <w:trPr>
          <w:trHeight w:val="2583"/>
        </w:trPr>
        <w:tc>
          <w:tcPr>
            <w:tcW w:w="4414" w:type="dxa"/>
          </w:tcPr>
          <w:p w14:paraId="387017CD" w14:textId="77777777" w:rsidR="009E02A1" w:rsidRDefault="00000000">
            <w:pPr>
              <w:pBdr>
                <w:top w:val="nil"/>
                <w:left w:val="nil"/>
                <w:bottom w:val="nil"/>
                <w:right w:val="nil"/>
                <w:between w:val="nil"/>
              </w:pBdr>
              <w:spacing w:after="200" w:line="240" w:lineRule="auto"/>
              <w:rPr>
                <w:rFonts w:ascii="Times New Roman" w:eastAsia="Times New Roman" w:hAnsi="Times New Roman" w:cs="Times New Roman"/>
                <w:color w:val="000000"/>
              </w:rPr>
            </w:pPr>
            <w:r>
              <w:rPr>
                <w:noProof/>
              </w:rPr>
              <w:drawing>
                <wp:anchor distT="0" distB="0" distL="114300" distR="114300" simplePos="0" relativeHeight="251658240" behindDoc="0" locked="0" layoutInCell="1" hidden="0" allowOverlap="1" wp14:anchorId="48F04BC1" wp14:editId="4597046E">
                  <wp:simplePos x="0" y="0"/>
                  <wp:positionH relativeFrom="column">
                    <wp:posOffset>30481</wp:posOffset>
                  </wp:positionH>
                  <wp:positionV relativeFrom="paragraph">
                    <wp:posOffset>107314</wp:posOffset>
                  </wp:positionV>
                  <wp:extent cx="2623820" cy="1463040"/>
                  <wp:effectExtent l="0" t="0" r="0" b="0"/>
                  <wp:wrapSquare wrapText="bothSides" distT="0" distB="0" distL="114300" distR="114300"/>
                  <wp:docPr id="1904357517"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a:stretch>
                            <a:fillRect/>
                          </a:stretch>
                        </pic:blipFill>
                        <pic:spPr>
                          <a:xfrm>
                            <a:off x="0" y="0"/>
                            <a:ext cx="2623820" cy="1463040"/>
                          </a:xfrm>
                          <a:prstGeom prst="rect">
                            <a:avLst/>
                          </a:prstGeom>
                          <a:ln/>
                        </pic:spPr>
                      </pic:pic>
                    </a:graphicData>
                  </a:graphic>
                </wp:anchor>
              </w:drawing>
            </w:r>
          </w:p>
        </w:tc>
        <w:tc>
          <w:tcPr>
            <w:tcW w:w="4414" w:type="dxa"/>
          </w:tcPr>
          <w:p w14:paraId="3F4DDF86" w14:textId="77777777" w:rsidR="009E02A1" w:rsidRDefault="00000000">
            <w:pPr>
              <w:spacing w:after="0"/>
              <w:jc w:val="both"/>
              <w:rPr>
                <w:rFonts w:ascii="Arial" w:eastAsia="Arial" w:hAnsi="Arial" w:cs="Arial"/>
              </w:rPr>
            </w:pPr>
            <w:r>
              <w:rPr>
                <w:noProof/>
              </w:rPr>
              <w:drawing>
                <wp:anchor distT="0" distB="0" distL="114300" distR="114300" simplePos="0" relativeHeight="251659264" behindDoc="0" locked="0" layoutInCell="1" hidden="0" allowOverlap="1" wp14:anchorId="4D91B738" wp14:editId="6A2EAF37">
                  <wp:simplePos x="0" y="0"/>
                  <wp:positionH relativeFrom="column">
                    <wp:posOffset>-5713</wp:posOffset>
                  </wp:positionH>
                  <wp:positionV relativeFrom="paragraph">
                    <wp:posOffset>106900</wp:posOffset>
                  </wp:positionV>
                  <wp:extent cx="2650490" cy="1494790"/>
                  <wp:effectExtent l="0" t="0" r="0" b="0"/>
                  <wp:wrapSquare wrapText="bothSides" distT="0" distB="0" distL="114300" distR="114300"/>
                  <wp:docPr id="1904357515"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9"/>
                          <a:srcRect/>
                          <a:stretch>
                            <a:fillRect/>
                          </a:stretch>
                        </pic:blipFill>
                        <pic:spPr>
                          <a:xfrm>
                            <a:off x="0" y="0"/>
                            <a:ext cx="2650490" cy="1494790"/>
                          </a:xfrm>
                          <a:prstGeom prst="rect">
                            <a:avLst/>
                          </a:prstGeom>
                          <a:ln/>
                        </pic:spPr>
                      </pic:pic>
                    </a:graphicData>
                  </a:graphic>
                </wp:anchor>
              </w:drawing>
            </w:r>
          </w:p>
        </w:tc>
      </w:tr>
      <w:tr w:rsidR="009E02A1" w14:paraId="1B2894A2" w14:textId="77777777">
        <w:trPr>
          <w:trHeight w:val="3028"/>
        </w:trPr>
        <w:tc>
          <w:tcPr>
            <w:tcW w:w="8828" w:type="dxa"/>
            <w:gridSpan w:val="2"/>
          </w:tcPr>
          <w:p w14:paraId="6E4BD4CD" w14:textId="77777777" w:rsidR="009E02A1" w:rsidRDefault="00000000">
            <w:pPr>
              <w:pBdr>
                <w:top w:val="nil"/>
                <w:left w:val="nil"/>
                <w:bottom w:val="nil"/>
                <w:right w:val="nil"/>
                <w:between w:val="nil"/>
              </w:pBdr>
              <w:spacing w:after="200" w:line="240" w:lineRule="auto"/>
              <w:rPr>
                <w:rFonts w:ascii="Times New Roman" w:eastAsia="Times New Roman" w:hAnsi="Times New Roman" w:cs="Times New Roman"/>
                <w:color w:val="000000"/>
              </w:rPr>
            </w:pPr>
            <w:r>
              <w:rPr>
                <w:noProof/>
              </w:rPr>
              <w:drawing>
                <wp:anchor distT="0" distB="0" distL="114300" distR="114300" simplePos="0" relativeHeight="251660288" behindDoc="0" locked="0" layoutInCell="1" hidden="0" allowOverlap="1" wp14:anchorId="1C04C2F3" wp14:editId="7DB7A251">
                  <wp:simplePos x="0" y="0"/>
                  <wp:positionH relativeFrom="column">
                    <wp:posOffset>1167130</wp:posOffset>
                  </wp:positionH>
                  <wp:positionV relativeFrom="paragraph">
                    <wp:posOffset>88182</wp:posOffset>
                  </wp:positionV>
                  <wp:extent cx="3123565" cy="1741170"/>
                  <wp:effectExtent l="0" t="0" r="0" b="0"/>
                  <wp:wrapSquare wrapText="bothSides" distT="0" distB="0" distL="114300" distR="114300"/>
                  <wp:docPr id="190435752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0"/>
                          <a:srcRect/>
                          <a:stretch>
                            <a:fillRect/>
                          </a:stretch>
                        </pic:blipFill>
                        <pic:spPr>
                          <a:xfrm>
                            <a:off x="0" y="0"/>
                            <a:ext cx="3123565" cy="1741170"/>
                          </a:xfrm>
                          <a:prstGeom prst="rect">
                            <a:avLst/>
                          </a:prstGeom>
                          <a:ln/>
                        </pic:spPr>
                      </pic:pic>
                    </a:graphicData>
                  </a:graphic>
                </wp:anchor>
              </w:drawing>
            </w:r>
          </w:p>
          <w:p w14:paraId="6E2FB8DA" w14:textId="77777777" w:rsidR="009E02A1" w:rsidRDefault="009E02A1">
            <w:pPr>
              <w:spacing w:after="0"/>
              <w:jc w:val="both"/>
              <w:rPr>
                <w:rFonts w:ascii="Arial" w:eastAsia="Arial" w:hAnsi="Arial" w:cs="Arial"/>
              </w:rPr>
            </w:pPr>
          </w:p>
          <w:p w14:paraId="37D3711E" w14:textId="77777777" w:rsidR="009E02A1" w:rsidRDefault="009E02A1">
            <w:pPr>
              <w:spacing w:after="0"/>
              <w:jc w:val="both"/>
              <w:rPr>
                <w:rFonts w:ascii="Arial" w:eastAsia="Arial" w:hAnsi="Arial" w:cs="Arial"/>
              </w:rPr>
            </w:pPr>
          </w:p>
          <w:p w14:paraId="45A7515B" w14:textId="77777777" w:rsidR="009E02A1" w:rsidRDefault="009E02A1">
            <w:pPr>
              <w:spacing w:after="0"/>
              <w:jc w:val="both"/>
              <w:rPr>
                <w:rFonts w:ascii="Arial" w:eastAsia="Arial" w:hAnsi="Arial" w:cs="Arial"/>
              </w:rPr>
            </w:pPr>
          </w:p>
          <w:p w14:paraId="3EE8F882" w14:textId="77777777" w:rsidR="009E02A1" w:rsidRDefault="009E02A1">
            <w:pPr>
              <w:spacing w:after="0"/>
              <w:jc w:val="both"/>
              <w:rPr>
                <w:rFonts w:ascii="Arial" w:eastAsia="Arial" w:hAnsi="Arial" w:cs="Arial"/>
              </w:rPr>
            </w:pPr>
          </w:p>
          <w:p w14:paraId="0A927503" w14:textId="77777777" w:rsidR="009E02A1" w:rsidRDefault="009E02A1">
            <w:pPr>
              <w:spacing w:after="0"/>
              <w:jc w:val="both"/>
              <w:rPr>
                <w:rFonts w:ascii="Arial" w:eastAsia="Arial" w:hAnsi="Arial" w:cs="Arial"/>
              </w:rPr>
            </w:pPr>
          </w:p>
          <w:p w14:paraId="2F9FA924" w14:textId="77777777" w:rsidR="009E02A1" w:rsidRDefault="009E02A1">
            <w:pPr>
              <w:spacing w:after="0"/>
              <w:jc w:val="both"/>
              <w:rPr>
                <w:rFonts w:ascii="Arial" w:eastAsia="Arial" w:hAnsi="Arial" w:cs="Arial"/>
              </w:rPr>
            </w:pPr>
          </w:p>
        </w:tc>
      </w:tr>
    </w:tbl>
    <w:p w14:paraId="7EDADA6C" w14:textId="77777777" w:rsidR="009E02A1" w:rsidRDefault="009E02A1">
      <w:pPr>
        <w:spacing w:after="0" w:line="360" w:lineRule="auto"/>
        <w:jc w:val="both"/>
        <w:rPr>
          <w:rFonts w:ascii="Arial" w:eastAsia="Arial" w:hAnsi="Arial" w:cs="Arial"/>
          <w:sz w:val="24"/>
          <w:szCs w:val="24"/>
        </w:rPr>
      </w:pPr>
    </w:p>
    <w:p w14:paraId="2CFA5DB1"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Debido a ello, resulta evidente que el </w:t>
      </w:r>
      <w:r>
        <w:rPr>
          <w:rFonts w:ascii="Arial" w:eastAsia="Arial" w:hAnsi="Arial" w:cs="Arial"/>
          <w:i/>
          <w:iCs/>
          <w:sz w:val="24"/>
          <w:szCs w:val="24"/>
        </w:rPr>
        <w:t>denunciado</w:t>
      </w:r>
      <w:r>
        <w:rPr>
          <w:rFonts w:ascii="Arial" w:eastAsia="Arial" w:hAnsi="Arial" w:cs="Arial"/>
          <w:sz w:val="24"/>
          <w:szCs w:val="24"/>
        </w:rPr>
        <w:t xml:space="preserve"> cumplió con lo ordenado en la sentencia, respecto a asistir al programa de capacitación.</w:t>
      </w:r>
      <w:r>
        <w:rPr>
          <w:rFonts w:ascii="Arial" w:eastAsia="Arial" w:hAnsi="Arial" w:cs="Arial"/>
          <w:sz w:val="24"/>
          <w:szCs w:val="24"/>
          <w:vertAlign w:val="superscript"/>
        </w:rPr>
        <w:footnoteReference w:id="52"/>
      </w:r>
      <w:r>
        <w:rPr>
          <w:rFonts w:ascii="Arial" w:eastAsia="Arial" w:hAnsi="Arial" w:cs="Arial"/>
          <w:sz w:val="24"/>
          <w:szCs w:val="24"/>
        </w:rPr>
        <w:t xml:space="preserve"> </w:t>
      </w:r>
    </w:p>
    <w:p w14:paraId="1BE91DE7" w14:textId="77777777" w:rsidR="009E02A1" w:rsidRDefault="009E02A1">
      <w:pPr>
        <w:spacing w:after="0" w:line="360" w:lineRule="auto"/>
        <w:jc w:val="both"/>
        <w:rPr>
          <w:rFonts w:ascii="Arial" w:eastAsia="Arial" w:hAnsi="Arial" w:cs="Arial"/>
          <w:sz w:val="24"/>
          <w:szCs w:val="24"/>
        </w:rPr>
      </w:pPr>
    </w:p>
    <w:p w14:paraId="592CEF26" w14:textId="77777777" w:rsidR="009E02A1" w:rsidRDefault="00000000">
      <w:pPr>
        <w:numPr>
          <w:ilvl w:val="0"/>
          <w:numId w:val="6"/>
        </w:numPr>
        <w:pBdr>
          <w:top w:val="nil"/>
          <w:left w:val="nil"/>
          <w:bottom w:val="nil"/>
          <w:right w:val="nil"/>
          <w:between w:val="nil"/>
        </w:pBdr>
        <w:spacing w:after="0" w:line="360" w:lineRule="auto"/>
        <w:jc w:val="both"/>
        <w:rPr>
          <w:rFonts w:ascii="Arial" w:eastAsia="Arial" w:hAnsi="Arial" w:cs="Arial"/>
          <w:b/>
          <w:bCs/>
          <w:color w:val="000000"/>
          <w:sz w:val="24"/>
          <w:szCs w:val="24"/>
        </w:rPr>
      </w:pPr>
      <w:r>
        <w:rPr>
          <w:rFonts w:ascii="Arial" w:eastAsia="Arial" w:hAnsi="Arial" w:cs="Arial"/>
          <w:b/>
          <w:bCs/>
          <w:color w:val="000000"/>
          <w:sz w:val="24"/>
          <w:szCs w:val="24"/>
        </w:rPr>
        <w:t xml:space="preserve">Publicación del resumen de sentencia, ofrecimiento y difusión de disculpa pública </w:t>
      </w:r>
    </w:p>
    <w:p w14:paraId="2BDF628B" w14:textId="77777777" w:rsidR="009E02A1" w:rsidRDefault="009E02A1">
      <w:pPr>
        <w:pBdr>
          <w:top w:val="nil"/>
          <w:left w:val="nil"/>
          <w:bottom w:val="nil"/>
          <w:right w:val="nil"/>
          <w:between w:val="nil"/>
        </w:pBdr>
        <w:spacing w:after="0" w:line="360" w:lineRule="auto"/>
        <w:ind w:left="720"/>
        <w:jc w:val="both"/>
        <w:rPr>
          <w:rFonts w:ascii="Arial" w:eastAsia="Arial" w:hAnsi="Arial" w:cs="Arial"/>
          <w:b/>
          <w:bCs/>
          <w:color w:val="000000"/>
          <w:sz w:val="24"/>
          <w:szCs w:val="24"/>
        </w:rPr>
      </w:pPr>
    </w:p>
    <w:p w14:paraId="33D42AE4"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Como ya se precisó anteriormente, como parte de las medidas de satisfacción, este </w:t>
      </w:r>
      <w:r>
        <w:rPr>
          <w:rFonts w:ascii="Arial" w:eastAsia="Arial" w:hAnsi="Arial" w:cs="Arial"/>
          <w:i/>
          <w:iCs/>
          <w:sz w:val="24"/>
          <w:szCs w:val="24"/>
        </w:rPr>
        <w:t>Tribunal Electoral</w:t>
      </w:r>
      <w:r>
        <w:rPr>
          <w:rFonts w:ascii="Arial" w:eastAsia="Arial" w:hAnsi="Arial" w:cs="Arial"/>
          <w:sz w:val="24"/>
          <w:szCs w:val="24"/>
        </w:rPr>
        <w:t xml:space="preserve"> ordenó al </w:t>
      </w:r>
      <w:r>
        <w:rPr>
          <w:rFonts w:ascii="Arial" w:eastAsia="Arial" w:hAnsi="Arial" w:cs="Arial"/>
          <w:i/>
          <w:iCs/>
          <w:sz w:val="24"/>
          <w:szCs w:val="24"/>
        </w:rPr>
        <w:t>denunciado</w:t>
      </w:r>
      <w:r>
        <w:rPr>
          <w:rFonts w:ascii="Arial" w:eastAsia="Arial" w:hAnsi="Arial" w:cs="Arial"/>
          <w:sz w:val="24"/>
          <w:szCs w:val="24"/>
        </w:rPr>
        <w:t xml:space="preserve"> la publicación del resumen oficial de la </w:t>
      </w:r>
      <w:r>
        <w:rPr>
          <w:rFonts w:ascii="Arial" w:eastAsia="Arial" w:hAnsi="Arial" w:cs="Arial"/>
          <w:sz w:val="24"/>
          <w:szCs w:val="24"/>
        </w:rPr>
        <w:lastRenderedPageBreak/>
        <w:t>sentencia, así como también, ofrecer y difundir una disculpa pública a las mujeres del Municipio de Charapan, ambas durante el plazo de quince días naturales.</w:t>
      </w:r>
    </w:p>
    <w:p w14:paraId="6D7E2FBD" w14:textId="77777777" w:rsidR="009E02A1" w:rsidRDefault="009E02A1">
      <w:pPr>
        <w:spacing w:after="0" w:line="360" w:lineRule="auto"/>
        <w:jc w:val="both"/>
        <w:rPr>
          <w:rFonts w:ascii="Arial" w:eastAsia="Arial" w:hAnsi="Arial" w:cs="Arial"/>
          <w:sz w:val="24"/>
          <w:szCs w:val="24"/>
        </w:rPr>
      </w:pPr>
    </w:p>
    <w:p w14:paraId="1CFA475E"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Además, se vinculó al </w:t>
      </w:r>
      <w:r>
        <w:rPr>
          <w:rFonts w:ascii="Arial" w:eastAsia="Arial" w:hAnsi="Arial" w:cs="Arial"/>
          <w:i/>
          <w:iCs/>
          <w:sz w:val="24"/>
          <w:szCs w:val="24"/>
        </w:rPr>
        <w:t>SMRT</w:t>
      </w:r>
      <w:r>
        <w:rPr>
          <w:rFonts w:ascii="Arial" w:eastAsia="Arial" w:hAnsi="Arial" w:cs="Arial"/>
          <w:sz w:val="24"/>
          <w:szCs w:val="24"/>
        </w:rPr>
        <w:t xml:space="preserve"> para el efecto de que difundiera el resumen, mediante las frecuencias de radio con cobertura en el Municipio antes referido, por el plazo de tres días naturales.</w:t>
      </w:r>
    </w:p>
    <w:p w14:paraId="4890B598" w14:textId="77777777" w:rsidR="009E02A1" w:rsidRDefault="009E02A1">
      <w:pPr>
        <w:spacing w:after="0" w:line="360" w:lineRule="auto"/>
        <w:jc w:val="both"/>
        <w:rPr>
          <w:rFonts w:ascii="Arial" w:eastAsia="Arial" w:hAnsi="Arial" w:cs="Arial"/>
          <w:sz w:val="24"/>
          <w:szCs w:val="24"/>
        </w:rPr>
      </w:pPr>
    </w:p>
    <w:p w14:paraId="729356E4"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En ese sentido, con base en las pruebas que obran en el expediente, se acredita que el </w:t>
      </w:r>
      <w:r>
        <w:rPr>
          <w:rFonts w:ascii="Arial" w:eastAsia="Arial" w:hAnsi="Arial" w:cs="Arial"/>
          <w:i/>
          <w:iCs/>
          <w:sz w:val="24"/>
          <w:szCs w:val="24"/>
        </w:rPr>
        <w:t xml:space="preserve">denunciado </w:t>
      </w:r>
      <w:r>
        <w:rPr>
          <w:rFonts w:ascii="Arial" w:eastAsia="Arial" w:hAnsi="Arial" w:cs="Arial"/>
          <w:sz w:val="24"/>
          <w:szCs w:val="24"/>
        </w:rPr>
        <w:t xml:space="preserve">y el </w:t>
      </w:r>
      <w:r>
        <w:rPr>
          <w:rFonts w:ascii="Arial" w:eastAsia="Arial" w:hAnsi="Arial" w:cs="Arial"/>
          <w:i/>
          <w:iCs/>
          <w:sz w:val="24"/>
          <w:szCs w:val="24"/>
        </w:rPr>
        <w:t>SMRT</w:t>
      </w:r>
      <w:r>
        <w:rPr>
          <w:rFonts w:ascii="Arial" w:eastAsia="Arial" w:hAnsi="Arial" w:cs="Arial"/>
          <w:sz w:val="24"/>
          <w:szCs w:val="24"/>
        </w:rPr>
        <w:t xml:space="preserve"> cumplieron con dicha medida de satisfacción, tal y como se explica a continuación. </w:t>
      </w:r>
    </w:p>
    <w:p w14:paraId="19795E65" w14:textId="77777777" w:rsidR="009E02A1" w:rsidRDefault="009E02A1">
      <w:pPr>
        <w:spacing w:after="0" w:line="360" w:lineRule="auto"/>
        <w:jc w:val="both"/>
        <w:rPr>
          <w:rFonts w:ascii="Arial" w:eastAsia="Arial" w:hAnsi="Arial" w:cs="Arial"/>
          <w:sz w:val="24"/>
          <w:szCs w:val="24"/>
        </w:rPr>
      </w:pPr>
    </w:p>
    <w:p w14:paraId="6026FC04"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Primeramente, tal y como se precisó en el apartado anterior, toda vez que el </w:t>
      </w:r>
      <w:r>
        <w:rPr>
          <w:rFonts w:ascii="Arial" w:eastAsia="Arial" w:hAnsi="Arial" w:cs="Arial"/>
          <w:i/>
          <w:iCs/>
          <w:sz w:val="24"/>
          <w:szCs w:val="24"/>
        </w:rPr>
        <w:t>denunciado</w:t>
      </w:r>
      <w:r>
        <w:rPr>
          <w:rFonts w:ascii="Arial" w:eastAsia="Arial" w:hAnsi="Arial" w:cs="Arial"/>
          <w:sz w:val="24"/>
          <w:szCs w:val="24"/>
        </w:rPr>
        <w:t xml:space="preserve"> no remitió dentro de los plazos otorgados constancia alguna que acreditara la publicación del resumen y difusión de la disculpa pública ordenadas, la Ponencia instructora le requirió, mediante acuerdos de once y veintiocho de abril y de seis, trece y veintitrés de mayo, a efecto de que remitiera las constancias correspondientes, sin embargo, fue omiso en dar cumplimiento todos estos. </w:t>
      </w:r>
    </w:p>
    <w:p w14:paraId="529F0F8D" w14:textId="77777777" w:rsidR="009E02A1" w:rsidRDefault="009E02A1">
      <w:pPr>
        <w:spacing w:after="0" w:line="360" w:lineRule="auto"/>
        <w:jc w:val="both"/>
        <w:rPr>
          <w:rFonts w:ascii="Arial" w:eastAsia="Arial" w:hAnsi="Arial" w:cs="Arial"/>
          <w:sz w:val="24"/>
          <w:szCs w:val="24"/>
        </w:rPr>
      </w:pPr>
    </w:p>
    <w:p w14:paraId="3B2475DB"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No obstante, el trece de junio el </w:t>
      </w:r>
      <w:r>
        <w:rPr>
          <w:rFonts w:ascii="Arial" w:eastAsia="Arial" w:hAnsi="Arial" w:cs="Arial"/>
          <w:i/>
          <w:iCs/>
          <w:sz w:val="24"/>
          <w:szCs w:val="24"/>
        </w:rPr>
        <w:t xml:space="preserve">denunciado </w:t>
      </w:r>
      <w:r>
        <w:rPr>
          <w:rFonts w:ascii="Arial" w:eastAsia="Arial" w:hAnsi="Arial" w:cs="Arial"/>
          <w:sz w:val="24"/>
          <w:szCs w:val="24"/>
        </w:rPr>
        <w:t xml:space="preserve">presentó escrito ante la Oficialía de Partes de este </w:t>
      </w:r>
      <w:r>
        <w:rPr>
          <w:rFonts w:ascii="Arial" w:eastAsia="Arial" w:hAnsi="Arial" w:cs="Arial"/>
          <w:i/>
          <w:iCs/>
          <w:sz w:val="24"/>
          <w:szCs w:val="24"/>
        </w:rPr>
        <w:t>Tribunal Electoral</w:t>
      </w:r>
      <w:r>
        <w:rPr>
          <w:rFonts w:ascii="Arial" w:eastAsia="Arial" w:hAnsi="Arial" w:cs="Arial"/>
          <w:sz w:val="24"/>
          <w:szCs w:val="24"/>
        </w:rPr>
        <w:t>, mediante el cual, refirió haber publicado el resumen y difundido la disculpa pública ordenados.</w:t>
      </w:r>
    </w:p>
    <w:p w14:paraId="00CA200A" w14:textId="77777777" w:rsidR="009E02A1" w:rsidRDefault="009E02A1">
      <w:pPr>
        <w:spacing w:after="0" w:line="360" w:lineRule="auto"/>
        <w:jc w:val="both"/>
        <w:rPr>
          <w:rFonts w:ascii="Arial" w:eastAsia="Arial" w:hAnsi="Arial" w:cs="Arial"/>
          <w:sz w:val="24"/>
          <w:szCs w:val="24"/>
        </w:rPr>
      </w:pPr>
    </w:p>
    <w:p w14:paraId="653BCC10"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En ese sentido, a efecto de acreditarlo, a dicho escrito proporcionó dos enlaces electrónicos, de los cuales la Ponencia instructora ordenó la verificación correspondiente, mediante acuerdo de diecisiete de junio.</w:t>
      </w:r>
      <w:r>
        <w:rPr>
          <w:rFonts w:ascii="Arial" w:eastAsia="Arial" w:hAnsi="Arial" w:cs="Arial"/>
          <w:sz w:val="24"/>
          <w:szCs w:val="24"/>
          <w:vertAlign w:val="superscript"/>
        </w:rPr>
        <w:footnoteReference w:id="53"/>
      </w:r>
      <w:r>
        <w:rPr>
          <w:rFonts w:ascii="Arial" w:eastAsia="Arial" w:hAnsi="Arial" w:cs="Arial"/>
          <w:sz w:val="24"/>
          <w:szCs w:val="24"/>
        </w:rPr>
        <w:t xml:space="preserve"> </w:t>
      </w:r>
    </w:p>
    <w:p w14:paraId="42107700" w14:textId="77777777" w:rsidR="009E02A1" w:rsidRDefault="009E02A1">
      <w:pPr>
        <w:spacing w:after="0" w:line="360" w:lineRule="auto"/>
        <w:jc w:val="both"/>
        <w:rPr>
          <w:rFonts w:ascii="Arial" w:eastAsia="Arial" w:hAnsi="Arial" w:cs="Arial"/>
          <w:sz w:val="24"/>
          <w:szCs w:val="24"/>
        </w:rPr>
      </w:pPr>
    </w:p>
    <w:p w14:paraId="0CB2239A"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En ese sentido, en esa misma fecha se levantó el acta circunstanciada de verificación</w:t>
      </w:r>
      <w:r>
        <w:rPr>
          <w:rFonts w:ascii="Arial" w:eastAsia="Arial" w:hAnsi="Arial" w:cs="Arial"/>
          <w:sz w:val="24"/>
          <w:szCs w:val="24"/>
          <w:vertAlign w:val="superscript"/>
        </w:rPr>
        <w:footnoteReference w:id="54"/>
      </w:r>
      <w:r>
        <w:rPr>
          <w:rFonts w:ascii="Arial" w:eastAsia="Arial" w:hAnsi="Arial" w:cs="Arial"/>
          <w:sz w:val="24"/>
          <w:szCs w:val="24"/>
        </w:rPr>
        <w:t xml:space="preserve"> correspondiente del contenido de los enlaces electrónicos antes referidos, de la cual se logra acreditar lo siguiente:</w:t>
      </w:r>
    </w:p>
    <w:p w14:paraId="290C944D" w14:textId="77777777" w:rsidR="009E02A1" w:rsidRDefault="009E02A1">
      <w:pPr>
        <w:spacing w:after="0" w:line="360" w:lineRule="auto"/>
        <w:jc w:val="both"/>
        <w:rPr>
          <w:rFonts w:ascii="Arial" w:eastAsia="Arial" w:hAnsi="Arial" w:cs="Arial"/>
          <w:sz w:val="24"/>
          <w:szCs w:val="24"/>
        </w:rPr>
      </w:pPr>
    </w:p>
    <w:p w14:paraId="62A22124" w14:textId="77777777" w:rsidR="009E02A1" w:rsidRDefault="00000000">
      <w:pPr>
        <w:numPr>
          <w:ilvl w:val="0"/>
          <w:numId w:val="7"/>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veintiuno de mayo, el </w:t>
      </w:r>
      <w:r>
        <w:rPr>
          <w:rFonts w:ascii="Arial" w:eastAsia="Arial" w:hAnsi="Arial" w:cs="Arial"/>
          <w:i/>
          <w:iCs/>
          <w:color w:val="000000"/>
          <w:sz w:val="24"/>
          <w:szCs w:val="24"/>
        </w:rPr>
        <w:t>denunciado</w:t>
      </w:r>
      <w:r>
        <w:rPr>
          <w:rFonts w:ascii="Arial" w:eastAsia="Arial" w:hAnsi="Arial" w:cs="Arial"/>
          <w:color w:val="000000"/>
          <w:sz w:val="24"/>
          <w:szCs w:val="24"/>
        </w:rPr>
        <w:t xml:space="preserve"> realizó la publicación del resumen de la sentencia y el ofrecimiento y difusión de la disculpa pública, en su red social Facebook.</w:t>
      </w:r>
    </w:p>
    <w:p w14:paraId="00DE53C0" w14:textId="77777777" w:rsidR="009E02A1" w:rsidRDefault="00000000">
      <w:pPr>
        <w:numPr>
          <w:ilvl w:val="0"/>
          <w:numId w:val="7"/>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El resumen y disculpa pública publicados y difundidos por el </w:t>
      </w:r>
      <w:r>
        <w:rPr>
          <w:rFonts w:ascii="Arial" w:eastAsia="Arial" w:hAnsi="Arial" w:cs="Arial"/>
          <w:i/>
          <w:iCs/>
          <w:color w:val="000000"/>
          <w:sz w:val="24"/>
          <w:szCs w:val="24"/>
        </w:rPr>
        <w:t xml:space="preserve">denunciado </w:t>
      </w:r>
      <w:r>
        <w:rPr>
          <w:rFonts w:ascii="Arial" w:eastAsia="Arial" w:hAnsi="Arial" w:cs="Arial"/>
          <w:color w:val="000000"/>
          <w:sz w:val="24"/>
          <w:szCs w:val="24"/>
        </w:rPr>
        <w:t xml:space="preserve">corresponden efectivamente a los ordenados por este </w:t>
      </w:r>
      <w:r>
        <w:rPr>
          <w:rFonts w:ascii="Arial" w:eastAsia="Arial" w:hAnsi="Arial" w:cs="Arial"/>
          <w:i/>
          <w:iCs/>
          <w:color w:val="000000"/>
          <w:sz w:val="24"/>
          <w:szCs w:val="24"/>
        </w:rPr>
        <w:t>Tribunal Electoral</w:t>
      </w:r>
      <w:r>
        <w:rPr>
          <w:rFonts w:ascii="Arial" w:eastAsia="Arial" w:hAnsi="Arial" w:cs="Arial"/>
          <w:color w:val="000000"/>
          <w:sz w:val="24"/>
          <w:szCs w:val="24"/>
        </w:rPr>
        <w:t xml:space="preserve"> en la sentencia emitida el trece de diciembre. </w:t>
      </w:r>
    </w:p>
    <w:p w14:paraId="6C3F8EEA" w14:textId="77777777" w:rsidR="009E02A1" w:rsidRDefault="009E02A1">
      <w:pPr>
        <w:spacing w:after="0" w:line="360" w:lineRule="auto"/>
        <w:jc w:val="both"/>
        <w:rPr>
          <w:rFonts w:ascii="Arial" w:eastAsia="Arial" w:hAnsi="Arial" w:cs="Arial"/>
          <w:i/>
          <w:iCs/>
          <w:sz w:val="24"/>
          <w:szCs w:val="24"/>
        </w:rPr>
      </w:pPr>
    </w:p>
    <w:p w14:paraId="5D5AA09E"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Ahora bien, por lo que ve al </w:t>
      </w:r>
      <w:r>
        <w:rPr>
          <w:rFonts w:ascii="Arial" w:eastAsia="Arial" w:hAnsi="Arial" w:cs="Arial"/>
          <w:i/>
          <w:iCs/>
          <w:sz w:val="24"/>
          <w:szCs w:val="24"/>
        </w:rPr>
        <w:t>SMRT</w:t>
      </w:r>
      <w:r>
        <w:rPr>
          <w:rFonts w:ascii="Arial" w:eastAsia="Arial" w:hAnsi="Arial" w:cs="Arial"/>
          <w:sz w:val="24"/>
          <w:szCs w:val="24"/>
        </w:rPr>
        <w:t xml:space="preserve">, en autos del expediente obra el oficio DG-016/2025 de veinte de febrero, signado por el Director General del </w:t>
      </w:r>
      <w:r>
        <w:rPr>
          <w:rFonts w:ascii="Arial" w:eastAsia="Arial" w:hAnsi="Arial" w:cs="Arial"/>
          <w:i/>
          <w:iCs/>
          <w:sz w:val="24"/>
          <w:szCs w:val="24"/>
        </w:rPr>
        <w:t>SMRT</w:t>
      </w:r>
      <w:r>
        <w:rPr>
          <w:rFonts w:ascii="Arial" w:eastAsia="Arial" w:hAnsi="Arial" w:cs="Arial"/>
          <w:sz w:val="24"/>
          <w:szCs w:val="24"/>
        </w:rPr>
        <w:t xml:space="preserve">, a través del cual, informó a este </w:t>
      </w:r>
      <w:r>
        <w:rPr>
          <w:rFonts w:ascii="Arial" w:eastAsia="Arial" w:hAnsi="Arial" w:cs="Arial"/>
          <w:i/>
          <w:iCs/>
          <w:sz w:val="24"/>
          <w:szCs w:val="24"/>
        </w:rPr>
        <w:t>Tribunal Electoral</w:t>
      </w:r>
      <w:r>
        <w:rPr>
          <w:rFonts w:ascii="Arial" w:eastAsia="Arial" w:hAnsi="Arial" w:cs="Arial"/>
          <w:sz w:val="24"/>
          <w:szCs w:val="24"/>
        </w:rPr>
        <w:t xml:space="preserve">, que del ocho al diez de febrero difundió el resumen oficial de la sentencia, tal y como fue ordenado. </w:t>
      </w:r>
    </w:p>
    <w:p w14:paraId="78D0AB48" w14:textId="77777777" w:rsidR="009E02A1" w:rsidRDefault="009E02A1">
      <w:pPr>
        <w:spacing w:after="0" w:line="360" w:lineRule="auto"/>
        <w:jc w:val="both"/>
        <w:rPr>
          <w:rFonts w:ascii="Arial" w:eastAsia="Arial" w:hAnsi="Arial" w:cs="Arial"/>
          <w:sz w:val="24"/>
          <w:szCs w:val="24"/>
        </w:rPr>
      </w:pPr>
    </w:p>
    <w:p w14:paraId="7847D9D8"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A dicho oficio plasmó un Código QR, del cual refirió se podían descargar las cintas testigos, para acreditar la difusión ordenada, por lo que, mediante acuerdo de veintidós de mayo,</w:t>
      </w:r>
      <w:r>
        <w:rPr>
          <w:rFonts w:ascii="Arial" w:eastAsia="Arial" w:hAnsi="Arial" w:cs="Arial"/>
          <w:sz w:val="24"/>
          <w:szCs w:val="24"/>
          <w:vertAlign w:val="superscript"/>
        </w:rPr>
        <w:footnoteReference w:id="55"/>
      </w:r>
      <w:r>
        <w:rPr>
          <w:rFonts w:ascii="Arial" w:eastAsia="Arial" w:hAnsi="Arial" w:cs="Arial"/>
          <w:sz w:val="24"/>
          <w:szCs w:val="24"/>
        </w:rPr>
        <w:t xml:space="preserve"> la Ponencia instructora ordenó la verificación de dicho código.</w:t>
      </w:r>
    </w:p>
    <w:p w14:paraId="777D3ADC" w14:textId="77777777" w:rsidR="009E02A1" w:rsidRDefault="009E02A1">
      <w:pPr>
        <w:spacing w:after="0" w:line="360" w:lineRule="auto"/>
        <w:jc w:val="both"/>
        <w:rPr>
          <w:rFonts w:ascii="Arial" w:eastAsia="Arial" w:hAnsi="Arial" w:cs="Arial"/>
          <w:sz w:val="24"/>
          <w:szCs w:val="24"/>
        </w:rPr>
      </w:pPr>
    </w:p>
    <w:p w14:paraId="1A4812D2" w14:textId="77777777" w:rsidR="009E02A1" w:rsidRDefault="00000000">
      <w:pPr>
        <w:spacing w:after="0" w:line="360" w:lineRule="auto"/>
        <w:jc w:val="both"/>
        <w:rPr>
          <w:rFonts w:ascii="Arial" w:eastAsia="Arial" w:hAnsi="Arial" w:cs="Arial"/>
          <w:i/>
          <w:iCs/>
          <w:sz w:val="24"/>
          <w:szCs w:val="24"/>
        </w:rPr>
      </w:pPr>
      <w:r>
        <w:rPr>
          <w:rFonts w:ascii="Arial" w:eastAsia="Arial" w:hAnsi="Arial" w:cs="Arial"/>
          <w:sz w:val="24"/>
          <w:szCs w:val="24"/>
        </w:rPr>
        <w:t>En ese sentido, posteriormente, el veintitrés de mayo se levantó el acta circunstanciada de verificación correspondiente del contenido del Código QR antes referido,</w:t>
      </w:r>
      <w:r>
        <w:rPr>
          <w:rFonts w:ascii="Arial" w:eastAsia="Arial" w:hAnsi="Arial" w:cs="Arial"/>
          <w:sz w:val="24"/>
          <w:szCs w:val="24"/>
          <w:vertAlign w:val="superscript"/>
        </w:rPr>
        <w:footnoteReference w:id="56"/>
      </w:r>
      <w:r>
        <w:rPr>
          <w:rFonts w:ascii="Arial" w:eastAsia="Arial" w:hAnsi="Arial" w:cs="Arial"/>
          <w:sz w:val="24"/>
          <w:szCs w:val="24"/>
        </w:rPr>
        <w:t xml:space="preserve"> cuyo contenido corresponde a una carpeta identificada como </w:t>
      </w:r>
      <w:r>
        <w:rPr>
          <w:rFonts w:ascii="Arial" w:eastAsia="Arial" w:hAnsi="Arial" w:cs="Arial"/>
          <w:i/>
          <w:iCs/>
          <w:sz w:val="24"/>
          <w:szCs w:val="24"/>
        </w:rPr>
        <w:t>“TEEM 199 8, 9 Y 10 DE FEBRERO DE 2025”,</w:t>
      </w:r>
      <w:r>
        <w:rPr>
          <w:rFonts w:ascii="Arial" w:eastAsia="Arial" w:hAnsi="Arial" w:cs="Arial"/>
          <w:sz w:val="24"/>
          <w:szCs w:val="24"/>
        </w:rPr>
        <w:t xml:space="preserve"> conformada por tres archivos correspondientes a audios identificados como </w:t>
      </w:r>
      <w:r>
        <w:rPr>
          <w:rFonts w:ascii="Arial" w:eastAsia="Arial" w:hAnsi="Arial" w:cs="Arial"/>
          <w:i/>
          <w:iCs/>
          <w:sz w:val="24"/>
          <w:szCs w:val="24"/>
        </w:rPr>
        <w:t xml:space="preserve">“TESTIGO TEEM 199 8 DE FEBRERO”, “TESTIGO TEEM 199 9 DE FEBRERO” </w:t>
      </w:r>
      <w:r>
        <w:rPr>
          <w:rFonts w:ascii="Arial" w:eastAsia="Arial" w:hAnsi="Arial" w:cs="Arial"/>
          <w:sz w:val="24"/>
          <w:szCs w:val="24"/>
        </w:rPr>
        <w:t xml:space="preserve">y </w:t>
      </w:r>
      <w:r>
        <w:rPr>
          <w:rFonts w:ascii="Arial" w:eastAsia="Arial" w:hAnsi="Arial" w:cs="Arial"/>
          <w:i/>
          <w:iCs/>
          <w:sz w:val="24"/>
          <w:szCs w:val="24"/>
        </w:rPr>
        <w:t>“TESTIGO TEEM 199 10 DE FEBRERO”.</w:t>
      </w:r>
    </w:p>
    <w:p w14:paraId="5A06B05E" w14:textId="77777777" w:rsidR="009E02A1" w:rsidRDefault="009E02A1">
      <w:pPr>
        <w:spacing w:after="0" w:line="360" w:lineRule="auto"/>
        <w:jc w:val="both"/>
        <w:rPr>
          <w:rFonts w:ascii="Arial" w:eastAsia="Arial" w:hAnsi="Arial" w:cs="Arial"/>
          <w:i/>
          <w:iCs/>
          <w:sz w:val="24"/>
          <w:szCs w:val="24"/>
        </w:rPr>
      </w:pPr>
    </w:p>
    <w:p w14:paraId="4DA8FB30" w14:textId="77777777" w:rsidR="009E02A1" w:rsidRDefault="00000000">
      <w:pPr>
        <w:spacing w:after="0" w:line="360" w:lineRule="auto"/>
        <w:jc w:val="both"/>
        <w:rPr>
          <w:rFonts w:ascii="Arial" w:eastAsia="Arial" w:hAnsi="Arial" w:cs="Arial"/>
          <w:i/>
          <w:iCs/>
          <w:sz w:val="24"/>
          <w:szCs w:val="24"/>
        </w:rPr>
      </w:pPr>
      <w:r>
        <w:rPr>
          <w:rFonts w:ascii="Arial" w:eastAsia="Arial" w:hAnsi="Arial" w:cs="Arial"/>
          <w:sz w:val="24"/>
          <w:szCs w:val="24"/>
        </w:rPr>
        <w:t>De dichos archivos,</w:t>
      </w:r>
      <w:r>
        <w:rPr>
          <w:rFonts w:ascii="Arial" w:eastAsia="Arial" w:hAnsi="Arial" w:cs="Arial"/>
          <w:i/>
          <w:iCs/>
          <w:sz w:val="24"/>
          <w:szCs w:val="24"/>
        </w:rPr>
        <w:t xml:space="preserve"> </w:t>
      </w:r>
      <w:r>
        <w:rPr>
          <w:rFonts w:ascii="Arial" w:eastAsia="Arial" w:hAnsi="Arial" w:cs="Arial"/>
          <w:sz w:val="24"/>
          <w:szCs w:val="24"/>
        </w:rPr>
        <w:t xml:space="preserve">se acredita que el ocho, nueve y diez de febrero, el </w:t>
      </w:r>
      <w:r>
        <w:rPr>
          <w:rFonts w:ascii="Arial" w:eastAsia="Arial" w:hAnsi="Arial" w:cs="Arial"/>
          <w:i/>
          <w:iCs/>
          <w:sz w:val="24"/>
          <w:szCs w:val="24"/>
        </w:rPr>
        <w:t>SMRT</w:t>
      </w:r>
      <w:r>
        <w:rPr>
          <w:rFonts w:ascii="Arial" w:eastAsia="Arial" w:hAnsi="Arial" w:cs="Arial"/>
          <w:sz w:val="24"/>
          <w:szCs w:val="24"/>
        </w:rPr>
        <w:t xml:space="preserve">, difundió el resumen de la sentencia en cumplimiento a la vinculación efectuada por este </w:t>
      </w:r>
      <w:r>
        <w:rPr>
          <w:rFonts w:ascii="Arial" w:eastAsia="Arial" w:hAnsi="Arial" w:cs="Arial"/>
          <w:i/>
          <w:iCs/>
          <w:sz w:val="24"/>
          <w:szCs w:val="24"/>
        </w:rPr>
        <w:t>Tribunal Electoral.</w:t>
      </w:r>
    </w:p>
    <w:p w14:paraId="66B92FA2" w14:textId="77777777" w:rsidR="009E02A1" w:rsidRDefault="009E02A1">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696559D4"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En ese sentido, resulta evidente que el </w:t>
      </w:r>
      <w:r>
        <w:rPr>
          <w:rFonts w:ascii="Arial" w:eastAsia="Arial" w:hAnsi="Arial" w:cs="Arial"/>
          <w:i/>
          <w:iCs/>
          <w:sz w:val="24"/>
          <w:szCs w:val="24"/>
        </w:rPr>
        <w:t>denunciado</w:t>
      </w:r>
      <w:r>
        <w:rPr>
          <w:rFonts w:ascii="Arial" w:eastAsia="Arial" w:hAnsi="Arial" w:cs="Arial"/>
          <w:sz w:val="24"/>
          <w:szCs w:val="24"/>
        </w:rPr>
        <w:t xml:space="preserve"> y el </w:t>
      </w:r>
      <w:r>
        <w:rPr>
          <w:rFonts w:ascii="Arial" w:eastAsia="Arial" w:hAnsi="Arial" w:cs="Arial"/>
          <w:i/>
          <w:iCs/>
          <w:sz w:val="24"/>
          <w:szCs w:val="24"/>
        </w:rPr>
        <w:t>SMRT</w:t>
      </w:r>
      <w:r>
        <w:rPr>
          <w:rFonts w:ascii="Arial" w:eastAsia="Arial" w:hAnsi="Arial" w:cs="Arial"/>
          <w:sz w:val="24"/>
          <w:szCs w:val="24"/>
        </w:rPr>
        <w:t xml:space="preserve"> cumplieron con lo ordenado y vinculado por este </w:t>
      </w:r>
      <w:r>
        <w:rPr>
          <w:rFonts w:ascii="Arial" w:eastAsia="Arial" w:hAnsi="Arial" w:cs="Arial"/>
          <w:i/>
          <w:iCs/>
          <w:sz w:val="24"/>
          <w:szCs w:val="24"/>
        </w:rPr>
        <w:t>Tribunal Electoral</w:t>
      </w:r>
      <w:r>
        <w:rPr>
          <w:rFonts w:ascii="Arial" w:eastAsia="Arial" w:hAnsi="Arial" w:cs="Arial"/>
          <w:sz w:val="24"/>
          <w:szCs w:val="24"/>
        </w:rPr>
        <w:t xml:space="preserve">, toda vez que, con base en los medios de prueba que aportaron, se acredita que el </w:t>
      </w:r>
      <w:r>
        <w:rPr>
          <w:rFonts w:ascii="Arial" w:eastAsia="Arial" w:hAnsi="Arial" w:cs="Arial"/>
          <w:i/>
          <w:iCs/>
          <w:sz w:val="24"/>
          <w:szCs w:val="24"/>
        </w:rPr>
        <w:t xml:space="preserve">denunciado </w:t>
      </w:r>
      <w:r>
        <w:rPr>
          <w:rFonts w:ascii="Arial" w:eastAsia="Arial" w:hAnsi="Arial" w:cs="Arial"/>
          <w:sz w:val="24"/>
          <w:szCs w:val="24"/>
        </w:rPr>
        <w:t xml:space="preserve">publicó el resumen oficial y difundió la disculpa pública en su red social y que el </w:t>
      </w:r>
      <w:r>
        <w:rPr>
          <w:rFonts w:ascii="Arial" w:eastAsia="Arial" w:hAnsi="Arial" w:cs="Arial"/>
          <w:i/>
          <w:iCs/>
          <w:sz w:val="24"/>
          <w:szCs w:val="24"/>
        </w:rPr>
        <w:t>SMRT</w:t>
      </w:r>
      <w:r>
        <w:rPr>
          <w:rFonts w:ascii="Arial" w:eastAsia="Arial" w:hAnsi="Arial" w:cs="Arial"/>
          <w:sz w:val="24"/>
          <w:szCs w:val="24"/>
        </w:rPr>
        <w:t xml:space="preserve"> difundió el resumen de la sentencia mediante las frecuencias de radio con cobertura en el Municipio de Charapan, Michoacán. </w:t>
      </w:r>
    </w:p>
    <w:p w14:paraId="7033FD25" w14:textId="77777777" w:rsidR="009E02A1" w:rsidRDefault="009E02A1">
      <w:pPr>
        <w:spacing w:after="0" w:line="360" w:lineRule="auto"/>
        <w:jc w:val="both"/>
        <w:rPr>
          <w:rFonts w:ascii="Arial" w:eastAsia="Arial" w:hAnsi="Arial" w:cs="Arial"/>
          <w:sz w:val="24"/>
          <w:szCs w:val="24"/>
        </w:rPr>
      </w:pPr>
    </w:p>
    <w:p w14:paraId="15835A32" w14:textId="77777777" w:rsidR="009E02A1" w:rsidRDefault="00000000">
      <w:pPr>
        <w:numPr>
          <w:ilvl w:val="0"/>
          <w:numId w:val="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Multa e inscripción en el </w:t>
      </w:r>
      <w:r>
        <w:rPr>
          <w:rFonts w:ascii="Arial" w:eastAsia="Arial" w:hAnsi="Arial" w:cs="Arial"/>
          <w:b/>
          <w:bCs/>
          <w:i/>
          <w:iCs/>
          <w:color w:val="000000"/>
          <w:sz w:val="24"/>
          <w:szCs w:val="24"/>
        </w:rPr>
        <w:t>Registro Nacional</w:t>
      </w:r>
      <w:r>
        <w:rPr>
          <w:rFonts w:ascii="Arial" w:eastAsia="Arial" w:hAnsi="Arial" w:cs="Arial"/>
          <w:b/>
          <w:bCs/>
          <w:color w:val="000000"/>
          <w:sz w:val="24"/>
          <w:szCs w:val="24"/>
        </w:rPr>
        <w:t xml:space="preserve"> y en el </w:t>
      </w:r>
      <w:r>
        <w:rPr>
          <w:rFonts w:ascii="Arial" w:eastAsia="Arial" w:hAnsi="Arial" w:cs="Arial"/>
          <w:b/>
          <w:bCs/>
          <w:i/>
          <w:iCs/>
          <w:color w:val="000000"/>
          <w:sz w:val="24"/>
          <w:szCs w:val="24"/>
        </w:rPr>
        <w:t>Registro Estatal</w:t>
      </w:r>
    </w:p>
    <w:p w14:paraId="6B27FD6A" w14:textId="77777777" w:rsidR="009E02A1" w:rsidRDefault="009E02A1">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7831AFC2"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Como se puntualizó con anterioridad, en la sentencia materia de análisis de cumplimiento se impuso al </w:t>
      </w:r>
      <w:r>
        <w:rPr>
          <w:rFonts w:ascii="Arial" w:eastAsia="Arial" w:hAnsi="Arial" w:cs="Arial"/>
          <w:i/>
          <w:iCs/>
          <w:sz w:val="24"/>
          <w:szCs w:val="24"/>
        </w:rPr>
        <w:t xml:space="preserve">denunciado </w:t>
      </w:r>
      <w:r>
        <w:rPr>
          <w:rFonts w:ascii="Arial" w:eastAsia="Arial" w:hAnsi="Arial" w:cs="Arial"/>
          <w:sz w:val="24"/>
          <w:szCs w:val="24"/>
        </w:rPr>
        <w:t xml:space="preserve">una multa por la cantidad de treinta veces la </w:t>
      </w:r>
      <w:r>
        <w:rPr>
          <w:rFonts w:ascii="Arial" w:eastAsia="Arial" w:hAnsi="Arial" w:cs="Arial"/>
          <w:sz w:val="24"/>
          <w:szCs w:val="24"/>
        </w:rPr>
        <w:lastRenderedPageBreak/>
        <w:t xml:space="preserve">Unidad de Medida y Actualización vigente al momento de la comisión de la conducta, equivalente a $3,257.10 (tres mil doscientos cincuenta y siete pesos 10/100 Moneda Nacional). </w:t>
      </w:r>
    </w:p>
    <w:p w14:paraId="2530A72E" w14:textId="77777777" w:rsidR="009E02A1" w:rsidRDefault="009E02A1">
      <w:pPr>
        <w:spacing w:after="0" w:line="360" w:lineRule="auto"/>
        <w:jc w:val="both"/>
        <w:rPr>
          <w:rFonts w:ascii="Arial" w:eastAsia="Arial" w:hAnsi="Arial" w:cs="Arial"/>
          <w:sz w:val="24"/>
          <w:szCs w:val="24"/>
        </w:rPr>
      </w:pPr>
    </w:p>
    <w:p w14:paraId="568A535F"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En ese sentido, de los elementos de prueba que obran en el expediente se acredita que el </w:t>
      </w:r>
      <w:r>
        <w:rPr>
          <w:rFonts w:ascii="Arial" w:eastAsia="Arial" w:hAnsi="Arial" w:cs="Arial"/>
          <w:i/>
          <w:iCs/>
          <w:sz w:val="24"/>
          <w:szCs w:val="24"/>
        </w:rPr>
        <w:t>denunciado</w:t>
      </w:r>
      <w:r>
        <w:rPr>
          <w:rFonts w:ascii="Arial" w:eastAsia="Arial" w:hAnsi="Arial" w:cs="Arial"/>
          <w:sz w:val="24"/>
          <w:szCs w:val="24"/>
        </w:rPr>
        <w:t xml:space="preserve"> ya realizó el pago la multa referida.</w:t>
      </w:r>
    </w:p>
    <w:p w14:paraId="13AD3E2E" w14:textId="77777777" w:rsidR="009E02A1" w:rsidRDefault="009E02A1">
      <w:pPr>
        <w:spacing w:after="0" w:line="360" w:lineRule="auto"/>
        <w:jc w:val="both"/>
        <w:rPr>
          <w:rFonts w:ascii="Arial" w:eastAsia="Arial" w:hAnsi="Arial" w:cs="Arial"/>
          <w:sz w:val="24"/>
          <w:szCs w:val="24"/>
        </w:rPr>
      </w:pPr>
    </w:p>
    <w:p w14:paraId="783715F1"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Se considera así, ya que en el expediente obra el original del oficio IEM-DEAPyPP-232/2025 de dieciséis de junio, signado por el </w:t>
      </w:r>
      <w:r>
        <w:rPr>
          <w:rFonts w:ascii="Arial" w:eastAsia="Arial" w:hAnsi="Arial" w:cs="Arial"/>
          <w:i/>
          <w:iCs/>
          <w:sz w:val="24"/>
          <w:szCs w:val="24"/>
        </w:rPr>
        <w:t>Director de Prerrogativas</w:t>
      </w:r>
      <w:r>
        <w:rPr>
          <w:rFonts w:ascii="Arial" w:eastAsia="Arial" w:hAnsi="Arial" w:cs="Arial"/>
          <w:sz w:val="24"/>
          <w:szCs w:val="24"/>
        </w:rPr>
        <w:t xml:space="preserve">, a través del cual, informa a este </w:t>
      </w:r>
      <w:r>
        <w:rPr>
          <w:rFonts w:ascii="Arial" w:eastAsia="Arial" w:hAnsi="Arial" w:cs="Arial"/>
          <w:i/>
          <w:iCs/>
          <w:sz w:val="24"/>
          <w:szCs w:val="24"/>
        </w:rPr>
        <w:t>Órgano jurisdiccional</w:t>
      </w:r>
      <w:r>
        <w:rPr>
          <w:rFonts w:ascii="Arial" w:eastAsia="Arial" w:hAnsi="Arial" w:cs="Arial"/>
          <w:sz w:val="24"/>
          <w:szCs w:val="24"/>
        </w:rPr>
        <w:t xml:space="preserve">, que el </w:t>
      </w:r>
      <w:r>
        <w:rPr>
          <w:rFonts w:ascii="Arial" w:eastAsia="Arial" w:hAnsi="Arial" w:cs="Arial"/>
          <w:i/>
          <w:iCs/>
          <w:sz w:val="24"/>
          <w:szCs w:val="24"/>
        </w:rPr>
        <w:t xml:space="preserve">denunciado </w:t>
      </w:r>
      <w:r>
        <w:rPr>
          <w:rFonts w:ascii="Arial" w:eastAsia="Arial" w:hAnsi="Arial" w:cs="Arial"/>
          <w:sz w:val="24"/>
          <w:szCs w:val="24"/>
        </w:rPr>
        <w:t xml:space="preserve">ya realizó el pago de la multa impuesta, anexando a dicho oficio, copia certificada del comprobante de pago efectuado, asimismo, señaló que su Área Técnica de Finanzas realizó una revisión a los denominados detalles del estado de cuenta a nombre del Instituto y corroboró que efectivamente se había realizado el pago de la multa aludido. </w:t>
      </w:r>
    </w:p>
    <w:p w14:paraId="7451B755" w14:textId="77777777" w:rsidR="009E02A1" w:rsidRDefault="009E02A1">
      <w:pPr>
        <w:spacing w:after="0" w:line="360" w:lineRule="auto"/>
        <w:jc w:val="both"/>
        <w:rPr>
          <w:rFonts w:ascii="Arial" w:eastAsia="Arial" w:hAnsi="Arial" w:cs="Arial"/>
          <w:sz w:val="24"/>
          <w:szCs w:val="24"/>
        </w:rPr>
      </w:pPr>
    </w:p>
    <w:p w14:paraId="7DF33096"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En ese sentido, derivado de lo antes puntualizado, el </w:t>
      </w:r>
      <w:r>
        <w:rPr>
          <w:rFonts w:ascii="Arial" w:eastAsia="Arial" w:hAnsi="Arial" w:cs="Arial"/>
          <w:i/>
          <w:iCs/>
          <w:sz w:val="24"/>
          <w:szCs w:val="24"/>
        </w:rPr>
        <w:t>denunciado</w:t>
      </w:r>
      <w:r>
        <w:rPr>
          <w:rFonts w:ascii="Arial" w:eastAsia="Arial" w:hAnsi="Arial" w:cs="Arial"/>
          <w:sz w:val="24"/>
          <w:szCs w:val="24"/>
        </w:rPr>
        <w:t xml:space="preserve"> cumplió con ejecutar la medida de apremio impuesta por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toda vez que ha quedado demostrado que ya ha realizado el pago correspondiente a la multa. </w:t>
      </w:r>
    </w:p>
    <w:p w14:paraId="759BDC4E"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Ahora bien, por otra parte, en la sentencia materia de análisis, se ordenó la inscripción del </w:t>
      </w:r>
      <w:r>
        <w:rPr>
          <w:rFonts w:ascii="Arial" w:eastAsia="Arial" w:hAnsi="Arial" w:cs="Arial"/>
          <w:i/>
          <w:iCs/>
          <w:sz w:val="24"/>
          <w:szCs w:val="24"/>
        </w:rPr>
        <w:t>denunciado</w:t>
      </w:r>
      <w:r>
        <w:rPr>
          <w:rFonts w:ascii="Arial" w:eastAsia="Arial" w:hAnsi="Arial" w:cs="Arial"/>
          <w:sz w:val="24"/>
          <w:szCs w:val="24"/>
        </w:rPr>
        <w:t xml:space="preserve"> en el </w:t>
      </w:r>
      <w:r>
        <w:rPr>
          <w:rFonts w:ascii="Arial" w:eastAsia="Arial" w:hAnsi="Arial" w:cs="Arial"/>
          <w:i/>
          <w:iCs/>
          <w:sz w:val="24"/>
          <w:szCs w:val="24"/>
        </w:rPr>
        <w:t>Registro Nacional</w:t>
      </w:r>
      <w:r>
        <w:rPr>
          <w:rFonts w:ascii="Arial" w:eastAsia="Arial" w:hAnsi="Arial" w:cs="Arial"/>
          <w:sz w:val="24"/>
          <w:szCs w:val="24"/>
        </w:rPr>
        <w:t xml:space="preserve"> y </w:t>
      </w:r>
      <w:r>
        <w:rPr>
          <w:rFonts w:ascii="Arial" w:eastAsia="Arial" w:hAnsi="Arial" w:cs="Arial"/>
          <w:i/>
          <w:iCs/>
          <w:sz w:val="24"/>
          <w:szCs w:val="24"/>
        </w:rPr>
        <w:t>Registro Estatal</w:t>
      </w:r>
      <w:r>
        <w:rPr>
          <w:rFonts w:ascii="Arial" w:eastAsia="Arial" w:hAnsi="Arial" w:cs="Arial"/>
          <w:sz w:val="24"/>
          <w:szCs w:val="24"/>
        </w:rPr>
        <w:t>, por treinta meses.</w:t>
      </w:r>
    </w:p>
    <w:p w14:paraId="775F993D" w14:textId="77777777" w:rsidR="009E02A1" w:rsidRDefault="009E02A1">
      <w:pPr>
        <w:spacing w:after="0" w:line="360" w:lineRule="auto"/>
        <w:jc w:val="both"/>
        <w:rPr>
          <w:rFonts w:ascii="Arial" w:eastAsia="Arial" w:hAnsi="Arial" w:cs="Arial"/>
          <w:sz w:val="24"/>
          <w:szCs w:val="24"/>
        </w:rPr>
      </w:pPr>
    </w:p>
    <w:p w14:paraId="2986B192" w14:textId="77777777" w:rsidR="009E02A1" w:rsidRDefault="00000000">
      <w:pPr>
        <w:spacing w:after="0" w:line="360" w:lineRule="auto"/>
        <w:jc w:val="both"/>
        <w:rPr>
          <w:rFonts w:ascii="Arial" w:eastAsia="Arial" w:hAnsi="Arial" w:cs="Arial"/>
          <w:i/>
          <w:iCs/>
          <w:sz w:val="24"/>
          <w:szCs w:val="24"/>
        </w:rPr>
      </w:pPr>
      <w:r>
        <w:rPr>
          <w:rFonts w:ascii="Arial" w:eastAsia="Arial" w:hAnsi="Arial" w:cs="Arial"/>
          <w:sz w:val="24"/>
          <w:szCs w:val="24"/>
        </w:rPr>
        <w:t>Así, en el expediente obran los oficios INE-UT/00634/2025, de doce de febrero y el IEM-SE-CE-85/2024 de once de febrero,</w:t>
      </w:r>
      <w:r>
        <w:rPr>
          <w:rFonts w:ascii="Arial" w:eastAsia="Arial" w:hAnsi="Arial" w:cs="Arial"/>
          <w:sz w:val="24"/>
          <w:szCs w:val="24"/>
          <w:vertAlign w:val="superscript"/>
        </w:rPr>
        <w:footnoteReference w:id="57"/>
      </w:r>
      <w:r>
        <w:rPr>
          <w:rFonts w:ascii="Arial" w:eastAsia="Arial" w:hAnsi="Arial" w:cs="Arial"/>
          <w:sz w:val="24"/>
          <w:szCs w:val="24"/>
        </w:rPr>
        <w:t xml:space="preserve"> mediante los cuales el </w:t>
      </w:r>
      <w:r>
        <w:rPr>
          <w:rFonts w:ascii="Arial" w:eastAsia="Arial" w:hAnsi="Arial" w:cs="Arial"/>
          <w:i/>
          <w:iCs/>
          <w:sz w:val="24"/>
          <w:szCs w:val="24"/>
        </w:rPr>
        <w:t>INE</w:t>
      </w:r>
      <w:r>
        <w:rPr>
          <w:rFonts w:ascii="Arial" w:eastAsia="Arial" w:hAnsi="Arial" w:cs="Arial"/>
          <w:sz w:val="24"/>
          <w:szCs w:val="24"/>
        </w:rPr>
        <w:t xml:space="preserve"> y el IEM, informan a este </w:t>
      </w:r>
      <w:r>
        <w:rPr>
          <w:rFonts w:ascii="Arial" w:eastAsia="Arial" w:hAnsi="Arial" w:cs="Arial"/>
          <w:i/>
          <w:iCs/>
          <w:sz w:val="24"/>
          <w:szCs w:val="24"/>
        </w:rPr>
        <w:t>Tribunal Electoral</w:t>
      </w:r>
      <w:r>
        <w:rPr>
          <w:rFonts w:ascii="Arial" w:eastAsia="Arial" w:hAnsi="Arial" w:cs="Arial"/>
          <w:sz w:val="24"/>
          <w:szCs w:val="24"/>
        </w:rPr>
        <w:t xml:space="preserve"> que el </w:t>
      </w:r>
      <w:r>
        <w:rPr>
          <w:rFonts w:ascii="Arial" w:eastAsia="Arial" w:hAnsi="Arial" w:cs="Arial"/>
          <w:i/>
          <w:iCs/>
          <w:sz w:val="24"/>
          <w:szCs w:val="24"/>
        </w:rPr>
        <w:t xml:space="preserve">denunciado </w:t>
      </w:r>
      <w:r>
        <w:rPr>
          <w:rFonts w:ascii="Arial" w:eastAsia="Arial" w:hAnsi="Arial" w:cs="Arial"/>
          <w:sz w:val="24"/>
          <w:szCs w:val="24"/>
        </w:rPr>
        <w:t xml:space="preserve">fue inscrito en el </w:t>
      </w:r>
      <w:r>
        <w:rPr>
          <w:rFonts w:ascii="Arial" w:eastAsia="Arial" w:hAnsi="Arial" w:cs="Arial"/>
          <w:i/>
          <w:iCs/>
          <w:sz w:val="24"/>
          <w:szCs w:val="24"/>
        </w:rPr>
        <w:t>Registro Nacional</w:t>
      </w:r>
      <w:r>
        <w:rPr>
          <w:rFonts w:ascii="Arial" w:eastAsia="Arial" w:hAnsi="Arial" w:cs="Arial"/>
          <w:sz w:val="24"/>
          <w:szCs w:val="24"/>
        </w:rPr>
        <w:t xml:space="preserve"> y en el </w:t>
      </w:r>
      <w:r>
        <w:rPr>
          <w:rFonts w:ascii="Arial" w:eastAsia="Arial" w:hAnsi="Arial" w:cs="Arial"/>
          <w:i/>
          <w:iCs/>
          <w:sz w:val="24"/>
          <w:szCs w:val="24"/>
        </w:rPr>
        <w:t xml:space="preserve">Registro Estatal, </w:t>
      </w:r>
      <w:r>
        <w:rPr>
          <w:rFonts w:ascii="Arial" w:eastAsia="Arial" w:hAnsi="Arial" w:cs="Arial"/>
          <w:sz w:val="24"/>
          <w:szCs w:val="24"/>
        </w:rPr>
        <w:t>respectivamente.</w:t>
      </w:r>
      <w:r>
        <w:rPr>
          <w:rFonts w:ascii="Arial" w:eastAsia="Arial" w:hAnsi="Arial" w:cs="Arial"/>
          <w:i/>
          <w:iCs/>
          <w:sz w:val="24"/>
          <w:szCs w:val="24"/>
        </w:rPr>
        <w:t xml:space="preserve"> </w:t>
      </w:r>
    </w:p>
    <w:p w14:paraId="2F5703FC" w14:textId="77777777" w:rsidR="009E02A1" w:rsidRDefault="009E02A1">
      <w:pPr>
        <w:spacing w:after="0" w:line="360" w:lineRule="auto"/>
        <w:jc w:val="both"/>
        <w:rPr>
          <w:rFonts w:ascii="Arial" w:eastAsia="Arial" w:hAnsi="Arial" w:cs="Arial"/>
          <w:i/>
          <w:iCs/>
          <w:sz w:val="24"/>
          <w:szCs w:val="24"/>
        </w:rPr>
      </w:pPr>
    </w:p>
    <w:p w14:paraId="38409B23"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Lo anterior, toda vez que, al ingresar a los sitios oficiales del </w:t>
      </w:r>
      <w:r>
        <w:rPr>
          <w:rFonts w:ascii="Arial" w:eastAsia="Arial" w:hAnsi="Arial" w:cs="Arial"/>
          <w:i/>
          <w:iCs/>
          <w:sz w:val="24"/>
          <w:szCs w:val="24"/>
        </w:rPr>
        <w:t>INE</w:t>
      </w:r>
      <w:r>
        <w:rPr>
          <w:rFonts w:ascii="Arial" w:eastAsia="Arial" w:hAnsi="Arial" w:cs="Arial"/>
          <w:sz w:val="24"/>
          <w:szCs w:val="24"/>
        </w:rPr>
        <w:t xml:space="preserve"> e </w:t>
      </w:r>
      <w:r>
        <w:rPr>
          <w:rFonts w:ascii="Arial" w:eastAsia="Arial" w:hAnsi="Arial" w:cs="Arial"/>
          <w:i/>
          <w:iCs/>
          <w:sz w:val="24"/>
          <w:szCs w:val="24"/>
        </w:rPr>
        <w:t xml:space="preserve">IEM, </w:t>
      </w:r>
      <w:r>
        <w:rPr>
          <w:rFonts w:ascii="Arial" w:eastAsia="Arial" w:hAnsi="Arial" w:cs="Arial"/>
          <w:sz w:val="24"/>
          <w:szCs w:val="24"/>
        </w:rPr>
        <w:t>específicamente en el apartado referente al</w:t>
      </w:r>
      <w:r>
        <w:rPr>
          <w:rFonts w:ascii="Arial" w:eastAsia="Arial" w:hAnsi="Arial" w:cs="Arial"/>
          <w:i/>
          <w:iCs/>
          <w:sz w:val="24"/>
          <w:szCs w:val="24"/>
        </w:rPr>
        <w:t xml:space="preserve"> “Registro Nacional y Estatal DE PERSONAS SANCIONADAS EN MATERIA DE VIOLENCIA POLÍTICA CONTRA </w:t>
      </w:r>
      <w:r>
        <w:rPr>
          <w:rFonts w:ascii="Arial" w:eastAsia="Arial" w:hAnsi="Arial" w:cs="Arial"/>
          <w:i/>
          <w:iCs/>
          <w:sz w:val="24"/>
          <w:szCs w:val="24"/>
        </w:rPr>
        <w:lastRenderedPageBreak/>
        <w:t xml:space="preserve">LAS MUJERES </w:t>
      </w:r>
      <w:proofErr w:type="gramStart"/>
      <w:r>
        <w:rPr>
          <w:rFonts w:ascii="Arial" w:eastAsia="Arial" w:hAnsi="Arial" w:cs="Arial"/>
          <w:i/>
          <w:iCs/>
          <w:sz w:val="24"/>
          <w:szCs w:val="24"/>
        </w:rPr>
        <w:t>EN RAZÓN DE</w:t>
      </w:r>
      <w:proofErr w:type="gramEnd"/>
      <w:r>
        <w:rPr>
          <w:rFonts w:ascii="Arial" w:eastAsia="Arial" w:hAnsi="Arial" w:cs="Arial"/>
          <w:i/>
          <w:iCs/>
          <w:sz w:val="24"/>
          <w:szCs w:val="24"/>
        </w:rPr>
        <w:t xml:space="preserve"> GÉNERO”,</w:t>
      </w:r>
      <w:r>
        <w:rPr>
          <w:rFonts w:ascii="Arial" w:eastAsia="Arial" w:hAnsi="Arial" w:cs="Arial"/>
          <w:sz w:val="24"/>
          <w:szCs w:val="24"/>
          <w:vertAlign w:val="superscript"/>
        </w:rPr>
        <w:t xml:space="preserve"> </w:t>
      </w:r>
      <w:r>
        <w:rPr>
          <w:rFonts w:ascii="Arial" w:eastAsia="Arial" w:hAnsi="Arial" w:cs="Arial"/>
          <w:sz w:val="24"/>
          <w:szCs w:val="24"/>
          <w:vertAlign w:val="superscript"/>
        </w:rPr>
        <w:footnoteReference w:id="58"/>
      </w:r>
      <w:r>
        <w:rPr>
          <w:rFonts w:ascii="Arial" w:eastAsia="Arial" w:hAnsi="Arial" w:cs="Arial"/>
          <w:i/>
          <w:iCs/>
          <w:sz w:val="24"/>
          <w:szCs w:val="24"/>
        </w:rPr>
        <w:t xml:space="preserve"> respectivamente,</w:t>
      </w:r>
      <w:r>
        <w:rPr>
          <w:rFonts w:ascii="Arial" w:eastAsia="Arial" w:hAnsi="Arial" w:cs="Arial"/>
          <w:i/>
          <w:iCs/>
          <w:sz w:val="24"/>
          <w:szCs w:val="24"/>
          <w:vertAlign w:val="superscript"/>
        </w:rPr>
        <w:footnoteReference w:id="59"/>
      </w:r>
      <w:r>
        <w:rPr>
          <w:rFonts w:ascii="Arial" w:eastAsia="Arial" w:hAnsi="Arial" w:cs="Arial"/>
          <w:i/>
          <w:iCs/>
          <w:sz w:val="24"/>
          <w:szCs w:val="24"/>
        </w:rPr>
        <w:t xml:space="preserve"> </w:t>
      </w:r>
      <w:r>
        <w:rPr>
          <w:rFonts w:ascii="Arial" w:eastAsia="Arial" w:hAnsi="Arial" w:cs="Arial"/>
          <w:sz w:val="24"/>
          <w:szCs w:val="24"/>
        </w:rPr>
        <w:t>se puede advertir lo siguiente:</w:t>
      </w:r>
    </w:p>
    <w:p w14:paraId="218C5739" w14:textId="77777777" w:rsidR="009E02A1" w:rsidRDefault="009E02A1">
      <w:pPr>
        <w:spacing w:after="0" w:line="360" w:lineRule="auto"/>
        <w:jc w:val="both"/>
        <w:rPr>
          <w:rFonts w:ascii="Arial" w:eastAsia="Arial" w:hAnsi="Arial" w:cs="Arial"/>
          <w:sz w:val="24"/>
          <w:szCs w:val="24"/>
        </w:rPr>
      </w:pPr>
    </w:p>
    <w:p w14:paraId="1FFAE074" w14:textId="77777777" w:rsidR="009E02A1" w:rsidRDefault="00000000">
      <w:pPr>
        <w:spacing w:after="0" w:line="360" w:lineRule="auto"/>
        <w:jc w:val="both"/>
        <w:rPr>
          <w:rFonts w:ascii="Arial" w:eastAsia="Arial" w:hAnsi="Arial" w:cs="Arial"/>
          <w:sz w:val="24"/>
          <w:szCs w:val="24"/>
        </w:rPr>
      </w:pPr>
      <w:r>
        <w:rPr>
          <w:rFonts w:ascii="Arial" w:eastAsia="Arial" w:hAnsi="Arial" w:cs="Arial"/>
          <w:noProof/>
          <w:sz w:val="24"/>
          <w:szCs w:val="24"/>
        </w:rPr>
        <w:drawing>
          <wp:inline distT="0" distB="0" distL="0" distR="0" wp14:anchorId="08DAE68E" wp14:editId="50CB8311">
            <wp:extent cx="5612130" cy="2631440"/>
            <wp:effectExtent l="0" t="0" r="0" b="0"/>
            <wp:docPr id="190435751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5612130" cy="2631440"/>
                    </a:xfrm>
                    <a:prstGeom prst="rect">
                      <a:avLst/>
                    </a:prstGeom>
                    <a:ln/>
                  </pic:spPr>
                </pic:pic>
              </a:graphicData>
            </a:graphic>
          </wp:inline>
        </w:drawing>
      </w:r>
    </w:p>
    <w:p w14:paraId="76818533" w14:textId="77777777" w:rsidR="009E02A1" w:rsidRDefault="009E02A1">
      <w:pPr>
        <w:spacing w:after="0" w:line="360" w:lineRule="auto"/>
        <w:jc w:val="both"/>
        <w:rPr>
          <w:rFonts w:ascii="Arial" w:eastAsia="Arial" w:hAnsi="Arial" w:cs="Arial"/>
          <w:sz w:val="24"/>
          <w:szCs w:val="24"/>
        </w:rPr>
      </w:pPr>
    </w:p>
    <w:p w14:paraId="61DFE52B" w14:textId="77777777" w:rsidR="009E02A1" w:rsidRDefault="00000000">
      <w:pPr>
        <w:spacing w:after="0" w:line="360" w:lineRule="auto"/>
        <w:jc w:val="both"/>
        <w:rPr>
          <w:rFonts w:ascii="Arial" w:eastAsia="Arial" w:hAnsi="Arial" w:cs="Arial"/>
          <w:sz w:val="24"/>
          <w:szCs w:val="24"/>
        </w:rPr>
      </w:pPr>
      <w:r>
        <w:rPr>
          <w:noProof/>
        </w:rPr>
        <w:drawing>
          <wp:inline distT="0" distB="0" distL="0" distR="0" wp14:anchorId="2A7006D5" wp14:editId="26C2E32F">
            <wp:extent cx="5612130" cy="3375660"/>
            <wp:effectExtent l="0" t="0" r="0" b="0"/>
            <wp:docPr id="1904357518"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2"/>
                    <a:srcRect/>
                    <a:stretch>
                      <a:fillRect/>
                    </a:stretch>
                  </pic:blipFill>
                  <pic:spPr>
                    <a:xfrm>
                      <a:off x="0" y="0"/>
                      <a:ext cx="5612130" cy="3375660"/>
                    </a:xfrm>
                    <a:prstGeom prst="rect">
                      <a:avLst/>
                    </a:prstGeom>
                    <a:ln/>
                  </pic:spPr>
                </pic:pic>
              </a:graphicData>
            </a:graphic>
          </wp:inline>
        </w:drawing>
      </w:r>
    </w:p>
    <w:p w14:paraId="65679556" w14:textId="77777777" w:rsidR="009E02A1" w:rsidRDefault="009E02A1">
      <w:pPr>
        <w:spacing w:after="0" w:line="360" w:lineRule="auto"/>
        <w:jc w:val="both"/>
        <w:rPr>
          <w:rFonts w:ascii="Arial" w:eastAsia="Arial" w:hAnsi="Arial" w:cs="Arial"/>
          <w:sz w:val="24"/>
          <w:szCs w:val="24"/>
        </w:rPr>
      </w:pPr>
    </w:p>
    <w:p w14:paraId="51D8E19A"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Derivado de lo anterior, se demuestra que el </w:t>
      </w:r>
      <w:r>
        <w:rPr>
          <w:rFonts w:ascii="Arial" w:eastAsia="Arial" w:hAnsi="Arial" w:cs="Arial"/>
          <w:i/>
          <w:iCs/>
          <w:sz w:val="24"/>
          <w:szCs w:val="24"/>
        </w:rPr>
        <w:t>denunciado</w:t>
      </w:r>
      <w:r>
        <w:rPr>
          <w:rFonts w:ascii="Arial" w:eastAsia="Arial" w:hAnsi="Arial" w:cs="Arial"/>
          <w:sz w:val="24"/>
          <w:szCs w:val="24"/>
        </w:rPr>
        <w:t xml:space="preserve"> fue inscrito por el </w:t>
      </w:r>
      <w:r>
        <w:rPr>
          <w:rFonts w:ascii="Arial" w:eastAsia="Arial" w:hAnsi="Arial" w:cs="Arial"/>
          <w:i/>
          <w:iCs/>
          <w:sz w:val="24"/>
          <w:szCs w:val="24"/>
        </w:rPr>
        <w:t>IEM</w:t>
      </w:r>
      <w:r>
        <w:rPr>
          <w:rFonts w:ascii="Arial" w:eastAsia="Arial" w:hAnsi="Arial" w:cs="Arial"/>
          <w:sz w:val="24"/>
          <w:szCs w:val="24"/>
        </w:rPr>
        <w:t xml:space="preserve"> y el </w:t>
      </w:r>
      <w:r>
        <w:rPr>
          <w:rFonts w:ascii="Arial" w:eastAsia="Arial" w:hAnsi="Arial" w:cs="Arial"/>
          <w:i/>
          <w:iCs/>
          <w:sz w:val="24"/>
          <w:szCs w:val="24"/>
        </w:rPr>
        <w:t>INE</w:t>
      </w:r>
      <w:r>
        <w:rPr>
          <w:rFonts w:ascii="Arial" w:eastAsia="Arial" w:hAnsi="Arial" w:cs="Arial"/>
          <w:sz w:val="24"/>
          <w:szCs w:val="24"/>
        </w:rPr>
        <w:t xml:space="preserve"> en el </w:t>
      </w:r>
      <w:r>
        <w:rPr>
          <w:rFonts w:ascii="Arial" w:eastAsia="Arial" w:hAnsi="Arial" w:cs="Arial"/>
          <w:i/>
          <w:iCs/>
          <w:sz w:val="24"/>
          <w:szCs w:val="24"/>
        </w:rPr>
        <w:t>Registro Estatal</w:t>
      </w:r>
      <w:r>
        <w:rPr>
          <w:rFonts w:ascii="Arial" w:eastAsia="Arial" w:hAnsi="Arial" w:cs="Arial"/>
          <w:sz w:val="24"/>
          <w:szCs w:val="24"/>
        </w:rPr>
        <w:t xml:space="preserve"> y </w:t>
      </w:r>
      <w:r>
        <w:rPr>
          <w:rFonts w:ascii="Arial" w:eastAsia="Arial" w:hAnsi="Arial" w:cs="Arial"/>
          <w:i/>
          <w:iCs/>
          <w:sz w:val="24"/>
          <w:szCs w:val="24"/>
        </w:rPr>
        <w:t xml:space="preserve">Registro Nacional, </w:t>
      </w:r>
      <w:r>
        <w:rPr>
          <w:rFonts w:ascii="Arial" w:eastAsia="Arial" w:hAnsi="Arial" w:cs="Arial"/>
          <w:sz w:val="24"/>
          <w:szCs w:val="24"/>
        </w:rPr>
        <w:t xml:space="preserve">respectivamente, por lo cual, dichos </w:t>
      </w:r>
      <w:r>
        <w:rPr>
          <w:rFonts w:ascii="Arial" w:eastAsia="Arial" w:hAnsi="Arial" w:cs="Arial"/>
          <w:sz w:val="24"/>
          <w:szCs w:val="24"/>
        </w:rPr>
        <w:lastRenderedPageBreak/>
        <w:t xml:space="preserve">institutos han atendido la vinculación efectuada por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en la sentencia de trece de diciembre.</w:t>
      </w:r>
      <w:r>
        <w:rPr>
          <w:rFonts w:ascii="Arial" w:eastAsia="Arial" w:hAnsi="Arial" w:cs="Arial"/>
          <w:sz w:val="24"/>
          <w:szCs w:val="24"/>
          <w:vertAlign w:val="superscript"/>
        </w:rPr>
        <w:footnoteReference w:id="60"/>
      </w:r>
    </w:p>
    <w:p w14:paraId="0853B73A" w14:textId="77777777" w:rsidR="009E02A1" w:rsidRDefault="009E02A1">
      <w:pPr>
        <w:spacing w:after="0" w:line="360" w:lineRule="auto"/>
        <w:jc w:val="both"/>
        <w:rPr>
          <w:rFonts w:ascii="Arial" w:eastAsia="Arial" w:hAnsi="Arial" w:cs="Arial"/>
          <w:sz w:val="24"/>
          <w:szCs w:val="24"/>
        </w:rPr>
      </w:pPr>
    </w:p>
    <w:p w14:paraId="0EA8DD3A" w14:textId="77777777" w:rsidR="009E02A1" w:rsidRDefault="00000000">
      <w:pPr>
        <w:numPr>
          <w:ilvl w:val="0"/>
          <w:numId w:val="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bCs/>
          <w:color w:val="000000"/>
          <w:sz w:val="24"/>
          <w:szCs w:val="24"/>
        </w:rPr>
        <w:t>Informar las acciones tendientes al cumplimiento</w:t>
      </w:r>
    </w:p>
    <w:p w14:paraId="7F3BB389" w14:textId="77777777" w:rsidR="009E02A1" w:rsidRDefault="009E02A1">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30639B30" w14:textId="77777777" w:rsidR="009E02A1" w:rsidRDefault="00000000">
      <w:pPr>
        <w:spacing w:after="0" w:line="360" w:lineRule="auto"/>
        <w:jc w:val="both"/>
        <w:rPr>
          <w:rFonts w:ascii="Arial" w:eastAsia="Arial" w:hAnsi="Arial" w:cs="Arial"/>
          <w:sz w:val="24"/>
          <w:szCs w:val="24"/>
        </w:rPr>
      </w:pPr>
      <w:bookmarkStart w:id="13" w:name="_heading=h.kes7f4cjb9wp" w:colFirst="0" w:colLast="0"/>
      <w:bookmarkEnd w:id="13"/>
      <w:r>
        <w:rPr>
          <w:rFonts w:ascii="Arial" w:eastAsia="Arial" w:hAnsi="Arial" w:cs="Arial"/>
          <w:sz w:val="24"/>
          <w:szCs w:val="24"/>
        </w:rPr>
        <w:t xml:space="preserve">En las medidas de satisfacción y de no repetición establecidas por este </w:t>
      </w:r>
      <w:r>
        <w:rPr>
          <w:rFonts w:ascii="Arial" w:eastAsia="Arial" w:hAnsi="Arial" w:cs="Arial"/>
          <w:i/>
          <w:iCs/>
          <w:sz w:val="24"/>
          <w:szCs w:val="24"/>
        </w:rPr>
        <w:t>Órgano jurisdiccional</w:t>
      </w:r>
      <w:r>
        <w:rPr>
          <w:rFonts w:ascii="Arial" w:eastAsia="Arial" w:hAnsi="Arial" w:cs="Arial"/>
          <w:sz w:val="24"/>
          <w:szCs w:val="24"/>
        </w:rPr>
        <w:t xml:space="preserve"> en la sentencia, se estableció que una vez que las autoridades vinculadas cumplieran con los actos a los cuales se les vinculó en la sentencia y una vez que el </w:t>
      </w:r>
      <w:r>
        <w:rPr>
          <w:rFonts w:ascii="Arial" w:eastAsia="Arial" w:hAnsi="Arial" w:cs="Arial"/>
          <w:i/>
          <w:iCs/>
          <w:sz w:val="24"/>
          <w:szCs w:val="24"/>
        </w:rPr>
        <w:t xml:space="preserve">denunciado </w:t>
      </w:r>
      <w:r>
        <w:rPr>
          <w:rFonts w:ascii="Arial" w:eastAsia="Arial" w:hAnsi="Arial" w:cs="Arial"/>
          <w:sz w:val="24"/>
          <w:szCs w:val="24"/>
        </w:rPr>
        <w:t xml:space="preserve">acatara los actos ordenados por el </w:t>
      </w:r>
      <w:r>
        <w:rPr>
          <w:rFonts w:ascii="Arial" w:eastAsia="Arial" w:hAnsi="Arial" w:cs="Arial"/>
          <w:i/>
          <w:iCs/>
          <w:sz w:val="24"/>
          <w:szCs w:val="24"/>
        </w:rPr>
        <w:t>Tribunal Electoral</w:t>
      </w:r>
      <w:r>
        <w:rPr>
          <w:rFonts w:ascii="Arial" w:eastAsia="Arial" w:hAnsi="Arial" w:cs="Arial"/>
          <w:sz w:val="24"/>
          <w:szCs w:val="24"/>
        </w:rPr>
        <w:t xml:space="preserve">, debían informar a este con las constancias pertinentes las acciones tendientes para acreditar el cumplimiento. </w:t>
      </w:r>
    </w:p>
    <w:p w14:paraId="78454332" w14:textId="77777777" w:rsidR="009E02A1" w:rsidRDefault="009E02A1">
      <w:pPr>
        <w:spacing w:after="0" w:line="360" w:lineRule="auto"/>
        <w:jc w:val="both"/>
        <w:rPr>
          <w:rFonts w:ascii="Arial" w:eastAsia="Arial" w:hAnsi="Arial" w:cs="Arial"/>
          <w:sz w:val="24"/>
          <w:szCs w:val="24"/>
        </w:rPr>
      </w:pPr>
    </w:p>
    <w:p w14:paraId="142FCF4D"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Así, con base en lo antes analizado y conforme con los medios de prueba que obran en el expediente, se acredita que las autoridades vinculadas, esto es la </w:t>
      </w:r>
      <w:r>
        <w:rPr>
          <w:rFonts w:ascii="Arial" w:eastAsia="Arial" w:hAnsi="Arial" w:cs="Arial"/>
          <w:i/>
          <w:iCs/>
          <w:sz w:val="24"/>
          <w:szCs w:val="24"/>
        </w:rPr>
        <w:t>Secretaria de Igualad</w:t>
      </w:r>
      <w:r>
        <w:rPr>
          <w:rFonts w:ascii="Arial" w:eastAsia="Arial" w:hAnsi="Arial" w:cs="Arial"/>
          <w:sz w:val="24"/>
          <w:szCs w:val="24"/>
        </w:rPr>
        <w:t xml:space="preserve">, </w:t>
      </w:r>
      <w:r>
        <w:rPr>
          <w:rFonts w:ascii="Arial" w:eastAsia="Arial" w:hAnsi="Arial" w:cs="Arial"/>
          <w:i/>
          <w:iCs/>
          <w:sz w:val="24"/>
          <w:szCs w:val="24"/>
        </w:rPr>
        <w:t>SMRT</w:t>
      </w:r>
      <w:r>
        <w:rPr>
          <w:rFonts w:ascii="Arial" w:eastAsia="Arial" w:hAnsi="Arial" w:cs="Arial"/>
          <w:sz w:val="24"/>
          <w:szCs w:val="24"/>
        </w:rPr>
        <w:t xml:space="preserve">, </w:t>
      </w:r>
      <w:r>
        <w:rPr>
          <w:rFonts w:ascii="Arial" w:eastAsia="Arial" w:hAnsi="Arial" w:cs="Arial"/>
          <w:i/>
          <w:iCs/>
          <w:sz w:val="24"/>
          <w:szCs w:val="24"/>
        </w:rPr>
        <w:t xml:space="preserve">IEM </w:t>
      </w:r>
      <w:r>
        <w:rPr>
          <w:rFonts w:ascii="Arial" w:eastAsia="Arial" w:hAnsi="Arial" w:cs="Arial"/>
          <w:sz w:val="24"/>
          <w:szCs w:val="24"/>
        </w:rPr>
        <w:t xml:space="preserve">y el </w:t>
      </w:r>
      <w:r>
        <w:rPr>
          <w:rFonts w:ascii="Arial" w:eastAsia="Arial" w:hAnsi="Arial" w:cs="Arial"/>
          <w:i/>
          <w:iCs/>
          <w:sz w:val="24"/>
          <w:szCs w:val="24"/>
        </w:rPr>
        <w:t>INE</w:t>
      </w:r>
      <w:r>
        <w:rPr>
          <w:rFonts w:ascii="Arial" w:eastAsia="Arial" w:hAnsi="Arial" w:cs="Arial"/>
          <w:sz w:val="24"/>
          <w:szCs w:val="24"/>
        </w:rPr>
        <w:t xml:space="preserve">, cumplieron debidamente con informar a este </w:t>
      </w:r>
      <w:r>
        <w:rPr>
          <w:rFonts w:ascii="Arial" w:eastAsia="Arial" w:hAnsi="Arial" w:cs="Arial"/>
          <w:i/>
          <w:iCs/>
          <w:sz w:val="24"/>
          <w:szCs w:val="24"/>
        </w:rPr>
        <w:t>Tribunal Electoral</w:t>
      </w:r>
      <w:r>
        <w:rPr>
          <w:rFonts w:ascii="Arial" w:eastAsia="Arial" w:hAnsi="Arial" w:cs="Arial"/>
          <w:sz w:val="24"/>
          <w:szCs w:val="24"/>
        </w:rPr>
        <w:t xml:space="preserve"> las acciones tendientes al cumplimiento a lo ordenado en la sentencia de trece de diciembre, tal y como ya se puntualizó en los apartados anteriores. </w:t>
      </w:r>
    </w:p>
    <w:p w14:paraId="09307373" w14:textId="77777777" w:rsidR="009E02A1" w:rsidRDefault="009E02A1">
      <w:pPr>
        <w:spacing w:after="0" w:line="360" w:lineRule="auto"/>
        <w:jc w:val="both"/>
        <w:rPr>
          <w:rFonts w:ascii="Arial" w:eastAsia="Arial" w:hAnsi="Arial" w:cs="Arial"/>
          <w:sz w:val="24"/>
          <w:szCs w:val="24"/>
        </w:rPr>
      </w:pPr>
    </w:p>
    <w:p w14:paraId="22C9B847"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Y por lo que ve al </w:t>
      </w:r>
      <w:r>
        <w:rPr>
          <w:rFonts w:ascii="Arial" w:eastAsia="Arial" w:hAnsi="Arial" w:cs="Arial"/>
          <w:i/>
          <w:iCs/>
          <w:sz w:val="24"/>
          <w:szCs w:val="24"/>
        </w:rPr>
        <w:t>denunciado</w:t>
      </w:r>
      <w:r>
        <w:rPr>
          <w:rFonts w:ascii="Arial" w:eastAsia="Arial" w:hAnsi="Arial" w:cs="Arial"/>
          <w:sz w:val="24"/>
          <w:szCs w:val="24"/>
        </w:rPr>
        <w:t xml:space="preserve">, como ya se precisó con anterioridad si bien informó a este </w:t>
      </w:r>
      <w:r>
        <w:rPr>
          <w:rFonts w:ascii="Arial" w:eastAsia="Arial" w:hAnsi="Arial" w:cs="Arial"/>
          <w:i/>
          <w:iCs/>
          <w:sz w:val="24"/>
          <w:szCs w:val="24"/>
        </w:rPr>
        <w:t>Tribunal Electoral</w:t>
      </w:r>
      <w:r>
        <w:rPr>
          <w:rFonts w:ascii="Arial" w:eastAsia="Arial" w:hAnsi="Arial" w:cs="Arial"/>
          <w:sz w:val="24"/>
          <w:szCs w:val="24"/>
        </w:rPr>
        <w:t xml:space="preserve"> las acciones ejecutadas en cumplimiento a lo ordenado en la sentencia, ello aconteció debido a que se le requirió en diversas ocasiones, de ahí que no informara las acciones debidamente. </w:t>
      </w:r>
    </w:p>
    <w:p w14:paraId="2FAF49CB" w14:textId="77777777" w:rsidR="009E02A1" w:rsidRDefault="009E02A1">
      <w:pPr>
        <w:spacing w:after="0" w:line="360" w:lineRule="auto"/>
        <w:jc w:val="both"/>
        <w:rPr>
          <w:rFonts w:ascii="Arial" w:eastAsia="Arial" w:hAnsi="Arial" w:cs="Arial"/>
          <w:sz w:val="24"/>
          <w:szCs w:val="24"/>
        </w:rPr>
      </w:pPr>
    </w:p>
    <w:p w14:paraId="72AECDF4" w14:textId="77777777" w:rsidR="009E02A1" w:rsidRDefault="00000000">
      <w:pPr>
        <w:numPr>
          <w:ilvl w:val="0"/>
          <w:numId w:val="1"/>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bCs/>
          <w:color w:val="000000"/>
          <w:sz w:val="24"/>
          <w:szCs w:val="24"/>
        </w:rPr>
        <w:t>Análisis de la temporalidad.</w:t>
      </w:r>
      <w:r>
        <w:rPr>
          <w:rFonts w:ascii="Arial" w:eastAsia="Arial" w:hAnsi="Arial" w:cs="Arial"/>
          <w:color w:val="000000"/>
          <w:sz w:val="24"/>
          <w:szCs w:val="24"/>
        </w:rPr>
        <w:t xml:space="preserve"> </w:t>
      </w:r>
    </w:p>
    <w:p w14:paraId="37200858" w14:textId="77777777" w:rsidR="009E02A1" w:rsidRDefault="00000000">
      <w:pPr>
        <w:pBdr>
          <w:top w:val="nil"/>
          <w:left w:val="nil"/>
          <w:bottom w:val="nil"/>
          <w:right w:val="nil"/>
          <w:between w:val="nil"/>
        </w:pBdr>
        <w:tabs>
          <w:tab w:val="left" w:pos="1995"/>
        </w:tabs>
        <w:spacing w:after="0" w:line="360" w:lineRule="auto"/>
        <w:ind w:left="720"/>
        <w:jc w:val="both"/>
        <w:rPr>
          <w:rFonts w:ascii="Arial" w:eastAsia="Arial" w:hAnsi="Arial" w:cs="Arial"/>
          <w:color w:val="000000"/>
          <w:sz w:val="24"/>
          <w:szCs w:val="24"/>
        </w:rPr>
      </w:pPr>
      <w:r>
        <w:rPr>
          <w:rFonts w:ascii="Arial" w:eastAsia="Arial" w:hAnsi="Arial" w:cs="Arial"/>
          <w:color w:val="000000"/>
          <w:sz w:val="24"/>
          <w:szCs w:val="24"/>
        </w:rPr>
        <w:tab/>
      </w:r>
    </w:p>
    <w:p w14:paraId="62ECF7CD"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Una vez analizado el cumplimiento de las acciones ordenadas en la sentencia de mérito, se procede a verificar el plazo que se fijó para tal efecto.</w:t>
      </w:r>
    </w:p>
    <w:p w14:paraId="37EB5987" w14:textId="77777777" w:rsidR="009E02A1" w:rsidRDefault="009E02A1">
      <w:pPr>
        <w:spacing w:after="0" w:line="360" w:lineRule="auto"/>
        <w:jc w:val="both"/>
        <w:rPr>
          <w:rFonts w:ascii="Arial" w:eastAsia="Arial" w:hAnsi="Arial" w:cs="Arial"/>
          <w:sz w:val="24"/>
          <w:szCs w:val="24"/>
        </w:rPr>
      </w:pPr>
    </w:p>
    <w:p w14:paraId="5AD652A7"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El </w:t>
      </w:r>
      <w:r>
        <w:rPr>
          <w:rFonts w:ascii="Arial" w:eastAsia="Arial" w:hAnsi="Arial" w:cs="Arial"/>
          <w:i/>
          <w:iCs/>
          <w:sz w:val="24"/>
          <w:szCs w:val="24"/>
        </w:rPr>
        <w:t xml:space="preserve">denunciado </w:t>
      </w:r>
      <w:r>
        <w:rPr>
          <w:rFonts w:ascii="Arial" w:eastAsia="Arial" w:hAnsi="Arial" w:cs="Arial"/>
          <w:sz w:val="24"/>
          <w:szCs w:val="24"/>
        </w:rPr>
        <w:t xml:space="preserve">debía publicar el resumen de la sentencia en su red social, durante un plazo de quince días naturales, a partir del día siguiente en que se les notificara la firmeza de la sentencia materia de análisis, asimismo, debía publicar una disculpa pública durante el plazo de quince días naturales, a partir del día siguiente al que se le notificara la firmeza de la sentencia y una vez finalizado dicho plazo, dentro de </w:t>
      </w:r>
      <w:r>
        <w:rPr>
          <w:rFonts w:ascii="Arial" w:eastAsia="Arial" w:hAnsi="Arial" w:cs="Arial"/>
          <w:sz w:val="24"/>
          <w:szCs w:val="24"/>
        </w:rPr>
        <w:lastRenderedPageBreak/>
        <w:t xml:space="preserve">los dos días hábiles siguientes a ello, debía informar a este </w:t>
      </w:r>
      <w:r>
        <w:rPr>
          <w:rFonts w:ascii="Arial" w:eastAsia="Arial" w:hAnsi="Arial" w:cs="Arial"/>
          <w:i/>
          <w:iCs/>
          <w:sz w:val="24"/>
          <w:szCs w:val="24"/>
        </w:rPr>
        <w:t xml:space="preserve">Tribunal Electoral </w:t>
      </w:r>
      <w:r>
        <w:rPr>
          <w:rFonts w:ascii="Arial" w:eastAsia="Arial" w:hAnsi="Arial" w:cs="Arial"/>
          <w:sz w:val="24"/>
          <w:szCs w:val="24"/>
        </w:rPr>
        <w:t>el cumplimiento.</w:t>
      </w:r>
    </w:p>
    <w:p w14:paraId="6B2DBCDD" w14:textId="77777777" w:rsidR="009E02A1" w:rsidRDefault="009E02A1">
      <w:pPr>
        <w:spacing w:after="0" w:line="360" w:lineRule="auto"/>
        <w:jc w:val="both"/>
        <w:rPr>
          <w:rFonts w:ascii="Arial" w:eastAsia="Arial" w:hAnsi="Arial" w:cs="Arial"/>
          <w:sz w:val="24"/>
          <w:szCs w:val="24"/>
        </w:rPr>
      </w:pPr>
    </w:p>
    <w:p w14:paraId="54B34F36"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Por su parte, al </w:t>
      </w:r>
      <w:r>
        <w:rPr>
          <w:rFonts w:ascii="Arial" w:eastAsia="Arial" w:hAnsi="Arial" w:cs="Arial"/>
          <w:i/>
          <w:iCs/>
          <w:sz w:val="24"/>
          <w:szCs w:val="24"/>
        </w:rPr>
        <w:t>SMRT</w:t>
      </w:r>
      <w:r>
        <w:rPr>
          <w:rFonts w:ascii="Arial" w:eastAsia="Arial" w:hAnsi="Arial" w:cs="Arial"/>
          <w:sz w:val="24"/>
          <w:szCs w:val="24"/>
        </w:rPr>
        <w:t xml:space="preserve"> se le otorgó el plazo de tres días naturales, a partir del día siguiente en que se le notificara la firmeza de la sentencia para que difundiera el resumen de la sentencia y dos días hábiles siguientes a que ello ocurre para que lo informara a este </w:t>
      </w:r>
      <w:r>
        <w:rPr>
          <w:rFonts w:ascii="Arial" w:eastAsia="Arial" w:hAnsi="Arial" w:cs="Arial"/>
          <w:i/>
          <w:iCs/>
          <w:sz w:val="24"/>
          <w:szCs w:val="24"/>
        </w:rPr>
        <w:t>Tribunal Electoral.</w:t>
      </w:r>
    </w:p>
    <w:p w14:paraId="7DF2BE3A" w14:textId="77777777" w:rsidR="009E02A1" w:rsidRDefault="009E02A1">
      <w:pPr>
        <w:spacing w:after="0" w:line="360" w:lineRule="auto"/>
        <w:jc w:val="both"/>
        <w:rPr>
          <w:rFonts w:ascii="Arial" w:eastAsia="Arial" w:hAnsi="Arial" w:cs="Arial"/>
          <w:sz w:val="24"/>
          <w:szCs w:val="24"/>
        </w:rPr>
      </w:pPr>
    </w:p>
    <w:p w14:paraId="6478C1B0"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Finalmente, al </w:t>
      </w:r>
      <w:r>
        <w:rPr>
          <w:rFonts w:ascii="Arial" w:eastAsia="Arial" w:hAnsi="Arial" w:cs="Arial"/>
          <w:i/>
          <w:iCs/>
          <w:sz w:val="24"/>
          <w:szCs w:val="24"/>
        </w:rPr>
        <w:t>INE</w:t>
      </w:r>
      <w:r>
        <w:rPr>
          <w:rFonts w:ascii="Arial" w:eastAsia="Arial" w:hAnsi="Arial" w:cs="Arial"/>
          <w:sz w:val="24"/>
          <w:szCs w:val="24"/>
        </w:rPr>
        <w:t xml:space="preserve"> e </w:t>
      </w:r>
      <w:r>
        <w:rPr>
          <w:rFonts w:ascii="Arial" w:eastAsia="Arial" w:hAnsi="Arial" w:cs="Arial"/>
          <w:i/>
          <w:iCs/>
          <w:sz w:val="24"/>
          <w:szCs w:val="24"/>
        </w:rPr>
        <w:t>IEM</w:t>
      </w:r>
      <w:r>
        <w:rPr>
          <w:rFonts w:ascii="Arial" w:eastAsia="Arial" w:hAnsi="Arial" w:cs="Arial"/>
          <w:sz w:val="24"/>
          <w:szCs w:val="24"/>
        </w:rPr>
        <w:t xml:space="preserve"> se les otorgó el plazo de diez días hábiles contados a partir de que se les notificara la firmeza de la sentencia, para inscribir al </w:t>
      </w:r>
      <w:r>
        <w:rPr>
          <w:rFonts w:ascii="Arial" w:eastAsia="Arial" w:hAnsi="Arial" w:cs="Arial"/>
          <w:i/>
          <w:iCs/>
          <w:sz w:val="24"/>
          <w:szCs w:val="24"/>
        </w:rPr>
        <w:t>denunciado</w:t>
      </w:r>
      <w:r>
        <w:rPr>
          <w:rFonts w:ascii="Arial" w:eastAsia="Arial" w:hAnsi="Arial" w:cs="Arial"/>
          <w:sz w:val="24"/>
          <w:szCs w:val="24"/>
        </w:rPr>
        <w:t xml:space="preserve"> al </w:t>
      </w:r>
      <w:r>
        <w:rPr>
          <w:rFonts w:ascii="Arial" w:eastAsia="Arial" w:hAnsi="Arial" w:cs="Arial"/>
          <w:i/>
          <w:iCs/>
          <w:sz w:val="24"/>
          <w:szCs w:val="24"/>
        </w:rPr>
        <w:t>Registro</w:t>
      </w:r>
      <w:r>
        <w:rPr>
          <w:rFonts w:ascii="Arial" w:eastAsia="Arial" w:hAnsi="Arial" w:cs="Arial"/>
          <w:sz w:val="24"/>
          <w:szCs w:val="24"/>
        </w:rPr>
        <w:t xml:space="preserve"> </w:t>
      </w:r>
      <w:r>
        <w:rPr>
          <w:rFonts w:ascii="Arial" w:eastAsia="Arial" w:hAnsi="Arial" w:cs="Arial"/>
          <w:i/>
          <w:iCs/>
          <w:sz w:val="24"/>
          <w:szCs w:val="24"/>
        </w:rPr>
        <w:t>Nacional</w:t>
      </w:r>
      <w:r>
        <w:rPr>
          <w:rFonts w:ascii="Arial" w:eastAsia="Arial" w:hAnsi="Arial" w:cs="Arial"/>
          <w:sz w:val="24"/>
          <w:szCs w:val="24"/>
        </w:rPr>
        <w:t xml:space="preserve"> y al </w:t>
      </w:r>
      <w:r>
        <w:rPr>
          <w:rFonts w:ascii="Arial" w:eastAsia="Arial" w:hAnsi="Arial" w:cs="Arial"/>
          <w:i/>
          <w:iCs/>
          <w:sz w:val="24"/>
          <w:szCs w:val="24"/>
        </w:rPr>
        <w:t>Registro</w:t>
      </w:r>
      <w:r>
        <w:rPr>
          <w:rFonts w:ascii="Arial" w:eastAsia="Arial" w:hAnsi="Arial" w:cs="Arial"/>
          <w:sz w:val="24"/>
          <w:szCs w:val="24"/>
        </w:rPr>
        <w:t xml:space="preserve"> </w:t>
      </w:r>
      <w:r>
        <w:rPr>
          <w:rFonts w:ascii="Arial" w:eastAsia="Arial" w:hAnsi="Arial" w:cs="Arial"/>
          <w:i/>
          <w:iCs/>
          <w:sz w:val="24"/>
          <w:szCs w:val="24"/>
        </w:rPr>
        <w:t>Estatal</w:t>
      </w:r>
      <w:r>
        <w:rPr>
          <w:rFonts w:ascii="Arial" w:eastAsia="Arial" w:hAnsi="Arial" w:cs="Arial"/>
          <w:sz w:val="24"/>
          <w:szCs w:val="24"/>
        </w:rPr>
        <w:t xml:space="preserve">, respectivamente, y una vez que ello ocurriera debían informarlo a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dentro de los tres días hábiles posteriores.</w:t>
      </w:r>
    </w:p>
    <w:p w14:paraId="07AB5847" w14:textId="77777777" w:rsidR="009E02A1" w:rsidRDefault="009E02A1">
      <w:pPr>
        <w:spacing w:after="0" w:line="360" w:lineRule="auto"/>
        <w:jc w:val="both"/>
        <w:rPr>
          <w:rFonts w:ascii="Arial" w:eastAsia="Arial" w:hAnsi="Arial" w:cs="Arial"/>
          <w:sz w:val="24"/>
          <w:szCs w:val="24"/>
        </w:rPr>
      </w:pPr>
    </w:p>
    <w:p w14:paraId="53665F61"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Plazos y términos que se esquematizan de la manera siguiente:</w:t>
      </w:r>
    </w:p>
    <w:p w14:paraId="1965DFF0" w14:textId="77777777" w:rsidR="009E02A1" w:rsidRDefault="009E02A1">
      <w:pPr>
        <w:spacing w:after="0" w:line="360" w:lineRule="auto"/>
        <w:jc w:val="both"/>
        <w:rPr>
          <w:rFonts w:ascii="Arial" w:eastAsia="Arial" w:hAnsi="Arial" w:cs="Arial"/>
          <w:sz w:val="24"/>
          <w:szCs w:val="24"/>
        </w:rPr>
      </w:pPr>
    </w:p>
    <w:tbl>
      <w:tblPr>
        <w:tblStyle w:val="a1"/>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276"/>
        <w:gridCol w:w="1134"/>
        <w:gridCol w:w="1417"/>
        <w:gridCol w:w="993"/>
        <w:gridCol w:w="1134"/>
        <w:gridCol w:w="1559"/>
      </w:tblGrid>
      <w:tr w:rsidR="009E02A1" w14:paraId="3C110B8B" w14:textId="77777777" w:rsidTr="009E02A1">
        <w:trPr>
          <w:cnfStyle w:val="100000000000" w:firstRow="1" w:lastRow="0" w:firstColumn="0" w:lastColumn="0" w:oddVBand="0" w:evenVBand="0" w:oddHBand="0" w:evenHBand="0" w:firstRowFirstColumn="0" w:firstRowLastColumn="0" w:lastRowFirstColumn="0" w:lastRowLastColumn="0"/>
          <w:trHeight w:val="386"/>
          <w:tblHeader/>
        </w:trPr>
        <w:tc>
          <w:tcPr>
            <w:cnfStyle w:val="001000000000" w:firstRow="0" w:lastRow="0" w:firstColumn="1" w:lastColumn="0" w:oddVBand="0" w:evenVBand="0" w:oddHBand="0" w:evenHBand="0" w:firstRowFirstColumn="0" w:firstRowLastColumn="0" w:lastRowFirstColumn="0" w:lastRowLastColumn="0"/>
            <w:tcW w:w="8789" w:type="dxa"/>
            <w:gridSpan w:val="7"/>
            <w:tcBorders>
              <w:bottom w:val="nil"/>
            </w:tcBorders>
            <w:shd w:val="clear" w:color="auto" w:fill="2F5496"/>
          </w:tcPr>
          <w:p w14:paraId="744CA98A" w14:textId="77777777" w:rsidR="009E02A1" w:rsidRDefault="00000000">
            <w:pPr>
              <w:jc w:val="center"/>
              <w:rPr>
                <w:rFonts w:ascii="Arial Narrow" w:eastAsia="Arial Narrow" w:hAnsi="Arial Narrow" w:cs="Arial Narrow"/>
                <w:sz w:val="20"/>
                <w:szCs w:val="20"/>
              </w:rPr>
            </w:pPr>
            <w:bookmarkStart w:id="14" w:name="_heading=h.ark5in21cq27" w:colFirst="0" w:colLast="0"/>
            <w:bookmarkEnd w:id="14"/>
            <w:r>
              <w:rPr>
                <w:rFonts w:ascii="Arial Narrow" w:eastAsia="Arial Narrow" w:hAnsi="Arial Narrow" w:cs="Arial Narrow"/>
                <w:color w:val="FFFFFF"/>
                <w:sz w:val="20"/>
                <w:szCs w:val="20"/>
              </w:rPr>
              <w:t>PUBLICACIÓN Y DIFUSIÓN DEL RESUMEN DE SENTENCIA</w:t>
            </w:r>
          </w:p>
        </w:tc>
      </w:tr>
      <w:tr w:rsidR="009E02A1" w14:paraId="37D8015B" w14:textId="77777777" w:rsidTr="009E02A1">
        <w:trPr>
          <w:trHeight w:val="386"/>
        </w:trPr>
        <w:tc>
          <w:tcPr>
            <w:cnfStyle w:val="001000000000" w:firstRow="0" w:lastRow="0" w:firstColumn="1" w:lastColumn="0" w:oddVBand="0" w:evenVBand="0" w:oddHBand="0" w:evenHBand="0" w:firstRowFirstColumn="0" w:firstRowLastColumn="0" w:lastRowFirstColumn="0" w:lastRowLastColumn="0"/>
            <w:tcW w:w="1276" w:type="dxa"/>
            <w:shd w:val="clear" w:color="auto" w:fill="B4C6E7"/>
          </w:tcPr>
          <w:p w14:paraId="74F4A970" w14:textId="77777777" w:rsidR="009E02A1" w:rsidRDefault="00000000">
            <w:pPr>
              <w:jc w:val="both"/>
              <w:rPr>
                <w:rFonts w:ascii="Arial Narrow" w:eastAsia="Arial Narrow" w:hAnsi="Arial Narrow" w:cs="Arial Narrow"/>
                <w:sz w:val="20"/>
                <w:szCs w:val="20"/>
              </w:rPr>
            </w:pPr>
            <w:r>
              <w:rPr>
                <w:rFonts w:ascii="Arial Narrow" w:eastAsia="Arial Narrow" w:hAnsi="Arial Narrow" w:cs="Arial Narrow"/>
                <w:sz w:val="20"/>
                <w:szCs w:val="20"/>
              </w:rPr>
              <w:t>¿Quién debía publicar y difundirlo?</w:t>
            </w:r>
          </w:p>
        </w:tc>
        <w:tc>
          <w:tcPr>
            <w:tcW w:w="1276" w:type="dxa"/>
            <w:shd w:val="clear" w:color="auto" w:fill="B4C6E7"/>
          </w:tcPr>
          <w:p w14:paraId="691514A3"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 xml:space="preserve">Notificación de la sentencia </w:t>
            </w:r>
          </w:p>
        </w:tc>
        <w:tc>
          <w:tcPr>
            <w:tcW w:w="1134" w:type="dxa"/>
            <w:shd w:val="clear" w:color="auto" w:fill="B4C6E7"/>
          </w:tcPr>
          <w:p w14:paraId="68C5A13B" w14:textId="77777777" w:rsidR="009E02A1"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Tiempo que debía durar la publicación difundida</w:t>
            </w:r>
          </w:p>
        </w:tc>
        <w:tc>
          <w:tcPr>
            <w:tcW w:w="1417" w:type="dxa"/>
            <w:shd w:val="clear" w:color="auto" w:fill="B4C6E7"/>
          </w:tcPr>
          <w:p w14:paraId="00C7437B"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¿Cuándo la difundió y hasta cuándo debía durar?</w:t>
            </w:r>
          </w:p>
        </w:tc>
        <w:tc>
          <w:tcPr>
            <w:tcW w:w="993" w:type="dxa"/>
            <w:shd w:val="clear" w:color="auto" w:fill="B4C6E7"/>
          </w:tcPr>
          <w:p w14:paraId="77748080"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¿Duró los quince y tres días difundida?</w:t>
            </w:r>
          </w:p>
        </w:tc>
        <w:tc>
          <w:tcPr>
            <w:tcW w:w="1134" w:type="dxa"/>
            <w:shd w:val="clear" w:color="auto" w:fill="B4C6E7"/>
          </w:tcPr>
          <w:p w14:paraId="4B729EE5"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 xml:space="preserve">Plazo para informar e informe </w:t>
            </w:r>
          </w:p>
        </w:tc>
        <w:tc>
          <w:tcPr>
            <w:tcW w:w="1559" w:type="dxa"/>
            <w:shd w:val="clear" w:color="auto" w:fill="B4C6E7"/>
          </w:tcPr>
          <w:p w14:paraId="074687E5"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 xml:space="preserve">Determinación </w:t>
            </w:r>
          </w:p>
        </w:tc>
      </w:tr>
      <w:tr w:rsidR="009E02A1" w14:paraId="6BB5D0C3" w14:textId="77777777" w:rsidTr="009E02A1">
        <w:trPr>
          <w:trHeight w:val="861"/>
        </w:trPr>
        <w:tc>
          <w:tcPr>
            <w:cnfStyle w:val="001000000000" w:firstRow="0" w:lastRow="0" w:firstColumn="1" w:lastColumn="0" w:oddVBand="0" w:evenVBand="0" w:oddHBand="0" w:evenHBand="0" w:firstRowFirstColumn="0" w:firstRowLastColumn="0" w:lastRowFirstColumn="0" w:lastRowLastColumn="0"/>
            <w:tcW w:w="1276" w:type="dxa"/>
            <w:shd w:val="clear" w:color="auto" w:fill="D9E2F3"/>
          </w:tcPr>
          <w:p w14:paraId="74B8DD7E" w14:textId="77777777" w:rsidR="009E02A1" w:rsidRDefault="00000000">
            <w:pPr>
              <w:jc w:val="both"/>
              <w:rPr>
                <w:rFonts w:ascii="Arial Narrow" w:eastAsia="Arial Narrow" w:hAnsi="Arial Narrow" w:cs="Arial Narrow"/>
                <w:i/>
                <w:iCs/>
                <w:sz w:val="20"/>
                <w:szCs w:val="20"/>
              </w:rPr>
            </w:pPr>
            <w:r>
              <w:rPr>
                <w:rFonts w:ascii="Arial Narrow" w:eastAsia="Arial Narrow" w:hAnsi="Arial Narrow" w:cs="Arial Narrow"/>
                <w:i/>
                <w:iCs/>
                <w:sz w:val="20"/>
                <w:szCs w:val="20"/>
              </w:rPr>
              <w:t>Denunciado</w:t>
            </w:r>
          </w:p>
        </w:tc>
        <w:tc>
          <w:tcPr>
            <w:tcW w:w="1276" w:type="dxa"/>
            <w:shd w:val="clear" w:color="auto" w:fill="D9E2F3"/>
          </w:tcPr>
          <w:p w14:paraId="73161804"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Dieciséis de diciembre</w:t>
            </w:r>
          </w:p>
        </w:tc>
        <w:tc>
          <w:tcPr>
            <w:tcW w:w="1134" w:type="dxa"/>
            <w:shd w:val="clear" w:color="auto" w:fill="D9E2F3"/>
          </w:tcPr>
          <w:p w14:paraId="31A44B5D" w14:textId="77777777" w:rsidR="009E02A1"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Del diecisiete al treinta y uno de diciembre</w:t>
            </w:r>
          </w:p>
        </w:tc>
        <w:tc>
          <w:tcPr>
            <w:tcW w:w="1417" w:type="dxa"/>
            <w:shd w:val="clear" w:color="auto" w:fill="D9E2F3"/>
          </w:tcPr>
          <w:p w14:paraId="06EBF6A5"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Veintiuno de mayo al cuatro de junio</w:t>
            </w:r>
          </w:p>
        </w:tc>
        <w:tc>
          <w:tcPr>
            <w:tcW w:w="993" w:type="dxa"/>
            <w:shd w:val="clear" w:color="auto" w:fill="D9E2F3"/>
          </w:tcPr>
          <w:p w14:paraId="2561D2D6"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Sí</w:t>
            </w:r>
          </w:p>
        </w:tc>
        <w:tc>
          <w:tcPr>
            <w:tcW w:w="1134" w:type="dxa"/>
            <w:shd w:val="clear" w:color="auto" w:fill="D9E2F3"/>
          </w:tcPr>
          <w:p w14:paraId="34E22CBE"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No aplica </w:t>
            </w:r>
          </w:p>
        </w:tc>
        <w:tc>
          <w:tcPr>
            <w:tcW w:w="1559" w:type="dxa"/>
            <w:shd w:val="clear" w:color="auto" w:fill="D9E2F3"/>
          </w:tcPr>
          <w:p w14:paraId="63DB360F"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Extemporáneo respecto a empezar a publicarlo y en tiempo respecto a dejarla publicada quince días.</w:t>
            </w:r>
          </w:p>
        </w:tc>
      </w:tr>
      <w:tr w:rsidR="009E02A1" w14:paraId="3265AF4C" w14:textId="77777777" w:rsidTr="009E02A1">
        <w:trPr>
          <w:trHeight w:val="861"/>
        </w:trPr>
        <w:tc>
          <w:tcPr>
            <w:cnfStyle w:val="001000000000" w:firstRow="0" w:lastRow="0" w:firstColumn="1" w:lastColumn="0" w:oddVBand="0" w:evenVBand="0" w:oddHBand="0" w:evenHBand="0" w:firstRowFirstColumn="0" w:firstRowLastColumn="0" w:lastRowFirstColumn="0" w:lastRowLastColumn="0"/>
            <w:tcW w:w="1276" w:type="dxa"/>
            <w:shd w:val="clear" w:color="auto" w:fill="D9E2F3"/>
          </w:tcPr>
          <w:p w14:paraId="3916B796" w14:textId="77777777" w:rsidR="009E02A1" w:rsidRDefault="00000000">
            <w:pPr>
              <w:jc w:val="both"/>
              <w:rPr>
                <w:rFonts w:ascii="Arial Narrow" w:eastAsia="Arial Narrow" w:hAnsi="Arial Narrow" w:cs="Arial Narrow"/>
                <w:i/>
                <w:iCs/>
                <w:sz w:val="20"/>
                <w:szCs w:val="20"/>
              </w:rPr>
            </w:pPr>
            <w:r>
              <w:rPr>
                <w:rFonts w:ascii="Arial Narrow" w:eastAsia="Arial Narrow" w:hAnsi="Arial Narrow" w:cs="Arial Narrow"/>
                <w:i/>
                <w:iCs/>
                <w:sz w:val="20"/>
                <w:szCs w:val="20"/>
              </w:rPr>
              <w:t>SMRT</w:t>
            </w:r>
          </w:p>
        </w:tc>
        <w:tc>
          <w:tcPr>
            <w:tcW w:w="1276" w:type="dxa"/>
            <w:shd w:val="clear" w:color="auto" w:fill="D9E2F3"/>
          </w:tcPr>
          <w:p w14:paraId="378DBAF4"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Siete de febrero</w:t>
            </w:r>
            <w:r>
              <w:rPr>
                <w:rFonts w:ascii="Arial Narrow" w:eastAsia="Arial Narrow" w:hAnsi="Arial Narrow" w:cs="Arial Narrow"/>
                <w:sz w:val="20"/>
                <w:szCs w:val="20"/>
                <w:vertAlign w:val="superscript"/>
              </w:rPr>
              <w:footnoteReference w:id="61"/>
            </w:r>
          </w:p>
        </w:tc>
        <w:tc>
          <w:tcPr>
            <w:tcW w:w="1134" w:type="dxa"/>
            <w:shd w:val="clear" w:color="auto" w:fill="D9E2F3"/>
          </w:tcPr>
          <w:p w14:paraId="5349E4BA" w14:textId="77777777" w:rsidR="009E02A1"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Del ocho al diez de febrero</w:t>
            </w:r>
          </w:p>
        </w:tc>
        <w:tc>
          <w:tcPr>
            <w:tcW w:w="1417" w:type="dxa"/>
            <w:shd w:val="clear" w:color="auto" w:fill="D9E2F3"/>
          </w:tcPr>
          <w:p w14:paraId="54D8955A"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Del ocho al diez de febrero</w:t>
            </w:r>
          </w:p>
        </w:tc>
        <w:tc>
          <w:tcPr>
            <w:tcW w:w="993" w:type="dxa"/>
            <w:shd w:val="clear" w:color="auto" w:fill="D9E2F3"/>
          </w:tcPr>
          <w:p w14:paraId="13E6791C"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Si </w:t>
            </w:r>
          </w:p>
        </w:tc>
        <w:tc>
          <w:tcPr>
            <w:tcW w:w="1134" w:type="dxa"/>
            <w:shd w:val="clear" w:color="auto" w:fill="D9E2F3"/>
          </w:tcPr>
          <w:p w14:paraId="0BC0F1BB"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-Del once al doce de febrero</w:t>
            </w:r>
          </w:p>
          <w:p w14:paraId="04063C26"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-Informó el veintiuno de febrero</w:t>
            </w:r>
          </w:p>
        </w:tc>
        <w:tc>
          <w:tcPr>
            <w:tcW w:w="1559" w:type="dxa"/>
            <w:shd w:val="clear" w:color="auto" w:fill="D9E2F3"/>
          </w:tcPr>
          <w:p w14:paraId="7E3E2D88"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En tiempo respecto a empezar a difundir el resumen y a hacerlo por tres días y extemporáneo por lo que ve a informarlo.</w:t>
            </w:r>
          </w:p>
        </w:tc>
      </w:tr>
      <w:tr w:rsidR="009E02A1" w14:paraId="3D54C7DE" w14:textId="77777777" w:rsidTr="009E02A1">
        <w:trPr>
          <w:trHeight w:val="357"/>
        </w:trPr>
        <w:tc>
          <w:tcPr>
            <w:cnfStyle w:val="001000000000" w:firstRow="0" w:lastRow="0" w:firstColumn="1" w:lastColumn="0" w:oddVBand="0" w:evenVBand="0" w:oddHBand="0" w:evenHBand="0" w:firstRowFirstColumn="0" w:firstRowLastColumn="0" w:lastRowFirstColumn="0" w:lastRowLastColumn="0"/>
            <w:tcW w:w="8789" w:type="dxa"/>
            <w:gridSpan w:val="7"/>
            <w:shd w:val="clear" w:color="auto" w:fill="2F5496"/>
          </w:tcPr>
          <w:p w14:paraId="0202B7E0" w14:textId="77777777" w:rsidR="009E02A1" w:rsidRDefault="00000000">
            <w:pPr>
              <w:jc w:val="center"/>
              <w:rPr>
                <w:rFonts w:ascii="Arial Narrow" w:eastAsia="Arial Narrow" w:hAnsi="Arial Narrow" w:cs="Arial Narrow"/>
                <w:color w:val="2F5496"/>
                <w:sz w:val="20"/>
                <w:szCs w:val="20"/>
              </w:rPr>
            </w:pPr>
            <w:r>
              <w:rPr>
                <w:rFonts w:ascii="Arial Narrow" w:eastAsia="Arial Narrow" w:hAnsi="Arial Narrow" w:cs="Arial Narrow"/>
                <w:color w:val="FFFFFF"/>
                <w:sz w:val="20"/>
                <w:szCs w:val="20"/>
              </w:rPr>
              <w:t>DIFUSIÓN DE LA DISCULPA PÚBLICA</w:t>
            </w:r>
          </w:p>
        </w:tc>
      </w:tr>
      <w:tr w:rsidR="009E02A1" w14:paraId="32B6BBA0" w14:textId="77777777" w:rsidTr="009E02A1">
        <w:trPr>
          <w:trHeight w:val="457"/>
        </w:trPr>
        <w:tc>
          <w:tcPr>
            <w:cnfStyle w:val="001000000000" w:firstRow="0" w:lastRow="0" w:firstColumn="1" w:lastColumn="0" w:oddVBand="0" w:evenVBand="0" w:oddHBand="0" w:evenHBand="0" w:firstRowFirstColumn="0" w:firstRowLastColumn="0" w:lastRowFirstColumn="0" w:lastRowLastColumn="0"/>
            <w:tcW w:w="1276" w:type="dxa"/>
            <w:shd w:val="clear" w:color="auto" w:fill="B4C6E7"/>
          </w:tcPr>
          <w:p w14:paraId="78847207" w14:textId="77777777" w:rsidR="009E02A1" w:rsidRDefault="00000000">
            <w:pPr>
              <w:jc w:val="both"/>
              <w:rPr>
                <w:rFonts w:ascii="Arial Narrow" w:eastAsia="Arial Narrow" w:hAnsi="Arial Narrow" w:cs="Arial Narrow"/>
                <w:i/>
                <w:iCs/>
                <w:sz w:val="20"/>
                <w:szCs w:val="20"/>
              </w:rPr>
            </w:pPr>
            <w:r>
              <w:rPr>
                <w:rFonts w:ascii="Arial Narrow" w:eastAsia="Arial Narrow" w:hAnsi="Arial Narrow" w:cs="Arial Narrow"/>
                <w:sz w:val="20"/>
                <w:szCs w:val="20"/>
              </w:rPr>
              <w:t>¿Quién debía publicar y difundirla?</w:t>
            </w:r>
          </w:p>
        </w:tc>
        <w:tc>
          <w:tcPr>
            <w:tcW w:w="1276" w:type="dxa"/>
            <w:shd w:val="clear" w:color="auto" w:fill="B4C6E7"/>
          </w:tcPr>
          <w:p w14:paraId="0C177A58"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 xml:space="preserve">Notificación de la sentencia </w:t>
            </w:r>
          </w:p>
        </w:tc>
        <w:tc>
          <w:tcPr>
            <w:tcW w:w="1134" w:type="dxa"/>
            <w:shd w:val="clear" w:color="auto" w:fill="B4C6E7"/>
          </w:tcPr>
          <w:p w14:paraId="7BBD48EC" w14:textId="77777777" w:rsidR="009E02A1"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Tiempo que debía durar difundida</w:t>
            </w:r>
          </w:p>
        </w:tc>
        <w:tc>
          <w:tcPr>
            <w:tcW w:w="1417" w:type="dxa"/>
            <w:shd w:val="clear" w:color="auto" w:fill="B4C6E7"/>
          </w:tcPr>
          <w:p w14:paraId="27A38677"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¿Cuándo la difundió y hasta cuándo debía durar?</w:t>
            </w:r>
          </w:p>
        </w:tc>
        <w:tc>
          <w:tcPr>
            <w:tcW w:w="993" w:type="dxa"/>
            <w:shd w:val="clear" w:color="auto" w:fill="B4C6E7"/>
          </w:tcPr>
          <w:p w14:paraId="476A391B"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La difusión ¿Duró los quince días difundid?</w:t>
            </w:r>
          </w:p>
        </w:tc>
        <w:tc>
          <w:tcPr>
            <w:tcW w:w="1134" w:type="dxa"/>
            <w:shd w:val="clear" w:color="auto" w:fill="B4C6E7"/>
          </w:tcPr>
          <w:p w14:paraId="511D8B49"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 xml:space="preserve">Plazo para informar e informe </w:t>
            </w:r>
          </w:p>
        </w:tc>
        <w:tc>
          <w:tcPr>
            <w:tcW w:w="1559" w:type="dxa"/>
            <w:shd w:val="clear" w:color="auto" w:fill="B4C6E7"/>
          </w:tcPr>
          <w:p w14:paraId="75755E7C"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b/>
                <w:bCs/>
                <w:sz w:val="20"/>
                <w:szCs w:val="20"/>
              </w:rPr>
              <w:t xml:space="preserve">Determinación </w:t>
            </w:r>
          </w:p>
        </w:tc>
      </w:tr>
      <w:tr w:rsidR="009E02A1" w14:paraId="3C1D9516" w14:textId="77777777" w:rsidTr="009E02A1">
        <w:trPr>
          <w:trHeight w:val="861"/>
        </w:trPr>
        <w:tc>
          <w:tcPr>
            <w:cnfStyle w:val="001000000000" w:firstRow="0" w:lastRow="0" w:firstColumn="1" w:lastColumn="0" w:oddVBand="0" w:evenVBand="0" w:oddHBand="0" w:evenHBand="0" w:firstRowFirstColumn="0" w:firstRowLastColumn="0" w:lastRowFirstColumn="0" w:lastRowLastColumn="0"/>
            <w:tcW w:w="1276" w:type="dxa"/>
            <w:shd w:val="clear" w:color="auto" w:fill="D9E2F3"/>
          </w:tcPr>
          <w:p w14:paraId="2748B747" w14:textId="77777777" w:rsidR="009E02A1" w:rsidRDefault="00000000">
            <w:pPr>
              <w:jc w:val="both"/>
              <w:rPr>
                <w:rFonts w:ascii="Arial Narrow" w:eastAsia="Arial Narrow" w:hAnsi="Arial Narrow" w:cs="Arial Narrow"/>
                <w:i/>
                <w:iCs/>
                <w:sz w:val="20"/>
                <w:szCs w:val="20"/>
              </w:rPr>
            </w:pPr>
            <w:r>
              <w:rPr>
                <w:rFonts w:ascii="Arial Narrow" w:eastAsia="Arial Narrow" w:hAnsi="Arial Narrow" w:cs="Arial Narrow"/>
                <w:i/>
                <w:iCs/>
                <w:sz w:val="20"/>
                <w:szCs w:val="20"/>
              </w:rPr>
              <w:t>Denunciado</w:t>
            </w:r>
          </w:p>
        </w:tc>
        <w:tc>
          <w:tcPr>
            <w:tcW w:w="1276" w:type="dxa"/>
            <w:shd w:val="clear" w:color="auto" w:fill="D9E2F3"/>
          </w:tcPr>
          <w:p w14:paraId="2BABE394"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Dieciséis de diciembre </w:t>
            </w:r>
          </w:p>
        </w:tc>
        <w:tc>
          <w:tcPr>
            <w:tcW w:w="1134" w:type="dxa"/>
            <w:shd w:val="clear" w:color="auto" w:fill="D9E2F3"/>
          </w:tcPr>
          <w:p w14:paraId="7C4674DC" w14:textId="77777777" w:rsidR="009E02A1"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Del diecisiete al treinta y uno de diciembre</w:t>
            </w:r>
          </w:p>
        </w:tc>
        <w:tc>
          <w:tcPr>
            <w:tcW w:w="1417" w:type="dxa"/>
            <w:shd w:val="clear" w:color="auto" w:fill="D9E2F3"/>
          </w:tcPr>
          <w:p w14:paraId="35FE22CB"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Veintiuno de mayo al cuatro de junio</w:t>
            </w:r>
          </w:p>
        </w:tc>
        <w:tc>
          <w:tcPr>
            <w:tcW w:w="993" w:type="dxa"/>
            <w:shd w:val="clear" w:color="auto" w:fill="D9E2F3"/>
          </w:tcPr>
          <w:p w14:paraId="71899DC9"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Sí</w:t>
            </w:r>
          </w:p>
        </w:tc>
        <w:tc>
          <w:tcPr>
            <w:tcW w:w="1134" w:type="dxa"/>
            <w:shd w:val="clear" w:color="auto" w:fill="D9E2F3"/>
          </w:tcPr>
          <w:p w14:paraId="47771245"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Del cinco al seis de junio</w:t>
            </w:r>
          </w:p>
          <w:p w14:paraId="3E04AA6C"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-Informó el trece de junio</w:t>
            </w:r>
          </w:p>
        </w:tc>
        <w:tc>
          <w:tcPr>
            <w:tcW w:w="1559" w:type="dxa"/>
            <w:shd w:val="clear" w:color="auto" w:fill="D9E2F3"/>
          </w:tcPr>
          <w:p w14:paraId="540AC467"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tiempo respecto a dejarla difundida quince días y extemporánea respecto a </w:t>
            </w:r>
            <w:r>
              <w:rPr>
                <w:rFonts w:ascii="Arial Narrow" w:eastAsia="Arial Narrow" w:hAnsi="Arial Narrow" w:cs="Arial Narrow"/>
                <w:sz w:val="20"/>
                <w:szCs w:val="20"/>
              </w:rPr>
              <w:lastRenderedPageBreak/>
              <w:t xml:space="preserve">comenzar a difundirla e informarlo. </w:t>
            </w:r>
          </w:p>
        </w:tc>
      </w:tr>
      <w:tr w:rsidR="009E02A1" w14:paraId="082B28EE" w14:textId="77777777" w:rsidTr="009E02A1">
        <w:trPr>
          <w:trHeight w:val="353"/>
        </w:trPr>
        <w:tc>
          <w:tcPr>
            <w:cnfStyle w:val="001000000000" w:firstRow="0" w:lastRow="0" w:firstColumn="1" w:lastColumn="0" w:oddVBand="0" w:evenVBand="0" w:oddHBand="0" w:evenHBand="0" w:firstRowFirstColumn="0" w:firstRowLastColumn="0" w:lastRowFirstColumn="0" w:lastRowLastColumn="0"/>
            <w:tcW w:w="8789" w:type="dxa"/>
            <w:gridSpan w:val="7"/>
            <w:shd w:val="clear" w:color="auto" w:fill="2F5496"/>
          </w:tcPr>
          <w:p w14:paraId="55ED3586" w14:textId="77777777" w:rsidR="009E02A1" w:rsidRDefault="00000000">
            <w:pPr>
              <w:jc w:val="center"/>
              <w:rPr>
                <w:rFonts w:ascii="Arial Narrow" w:eastAsia="Arial Narrow" w:hAnsi="Arial Narrow" w:cs="Arial Narrow"/>
                <w:sz w:val="20"/>
                <w:szCs w:val="20"/>
              </w:rPr>
            </w:pPr>
            <w:r>
              <w:rPr>
                <w:rFonts w:ascii="Arial Narrow" w:eastAsia="Arial Narrow" w:hAnsi="Arial Narrow" w:cs="Arial Narrow"/>
                <w:color w:val="FFFFFF"/>
                <w:sz w:val="20"/>
                <w:szCs w:val="20"/>
              </w:rPr>
              <w:lastRenderedPageBreak/>
              <w:t xml:space="preserve">INSCRICIÓN DEL </w:t>
            </w:r>
            <w:r>
              <w:rPr>
                <w:rFonts w:ascii="Arial Narrow" w:eastAsia="Arial Narrow" w:hAnsi="Arial Narrow" w:cs="Arial Narrow"/>
                <w:i/>
                <w:iCs/>
                <w:color w:val="FFFFFF"/>
                <w:sz w:val="20"/>
                <w:szCs w:val="20"/>
              </w:rPr>
              <w:t xml:space="preserve">DENUNCIADO </w:t>
            </w:r>
            <w:r>
              <w:rPr>
                <w:rFonts w:ascii="Arial Narrow" w:eastAsia="Arial Narrow" w:hAnsi="Arial Narrow" w:cs="Arial Narrow"/>
                <w:color w:val="FFFFFF"/>
                <w:sz w:val="20"/>
                <w:szCs w:val="20"/>
              </w:rPr>
              <w:t xml:space="preserve">EN EL </w:t>
            </w:r>
            <w:r>
              <w:rPr>
                <w:rFonts w:ascii="Arial Narrow" w:eastAsia="Arial Narrow" w:hAnsi="Arial Narrow" w:cs="Arial Narrow"/>
                <w:i/>
                <w:iCs/>
                <w:color w:val="FFFFFF"/>
                <w:sz w:val="20"/>
                <w:szCs w:val="20"/>
              </w:rPr>
              <w:t>REGISTRO NACIONAL</w:t>
            </w:r>
            <w:r>
              <w:rPr>
                <w:rFonts w:ascii="Arial Narrow" w:eastAsia="Arial Narrow" w:hAnsi="Arial Narrow" w:cs="Arial Narrow"/>
                <w:color w:val="FFFFFF"/>
                <w:sz w:val="20"/>
                <w:szCs w:val="20"/>
              </w:rPr>
              <w:t xml:space="preserve"> Y </w:t>
            </w:r>
            <w:r>
              <w:rPr>
                <w:rFonts w:ascii="Arial Narrow" w:eastAsia="Arial Narrow" w:hAnsi="Arial Narrow" w:cs="Arial Narrow"/>
                <w:i/>
                <w:iCs/>
                <w:color w:val="FFFFFF"/>
                <w:sz w:val="20"/>
                <w:szCs w:val="20"/>
              </w:rPr>
              <w:t>REGISTRO ESTATAL</w:t>
            </w:r>
          </w:p>
        </w:tc>
      </w:tr>
      <w:tr w:rsidR="009E02A1" w14:paraId="2937320D" w14:textId="77777777" w:rsidTr="009E02A1">
        <w:trPr>
          <w:trHeight w:val="841"/>
        </w:trPr>
        <w:tc>
          <w:tcPr>
            <w:cnfStyle w:val="001000000000" w:firstRow="0" w:lastRow="0" w:firstColumn="1" w:lastColumn="0" w:oddVBand="0" w:evenVBand="0" w:oddHBand="0" w:evenHBand="0" w:firstRowFirstColumn="0" w:firstRowLastColumn="0" w:lastRowFirstColumn="0" w:lastRowLastColumn="0"/>
            <w:tcW w:w="1276" w:type="dxa"/>
            <w:shd w:val="clear" w:color="auto" w:fill="B4C6E7"/>
          </w:tcPr>
          <w:p w14:paraId="7ACDDE5E" w14:textId="77777777" w:rsidR="009E02A1" w:rsidRDefault="00000000">
            <w:pPr>
              <w:jc w:val="both"/>
              <w:rPr>
                <w:rFonts w:ascii="Arial Narrow" w:eastAsia="Arial Narrow" w:hAnsi="Arial Narrow" w:cs="Arial Narrow"/>
                <w:sz w:val="20"/>
                <w:szCs w:val="20"/>
              </w:rPr>
            </w:pPr>
            <w:r>
              <w:rPr>
                <w:rFonts w:ascii="Arial Narrow" w:eastAsia="Arial Narrow" w:hAnsi="Arial Narrow" w:cs="Arial Narrow"/>
                <w:sz w:val="20"/>
                <w:szCs w:val="20"/>
              </w:rPr>
              <w:t>¿A quién vinculó?</w:t>
            </w:r>
          </w:p>
        </w:tc>
        <w:tc>
          <w:tcPr>
            <w:tcW w:w="1276" w:type="dxa"/>
            <w:shd w:val="clear" w:color="auto" w:fill="B4C6E7"/>
          </w:tcPr>
          <w:p w14:paraId="46D8A6EC" w14:textId="77777777" w:rsidR="009E02A1"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 xml:space="preserve">Notificación de la firmeza </w:t>
            </w:r>
          </w:p>
        </w:tc>
        <w:tc>
          <w:tcPr>
            <w:tcW w:w="1134" w:type="dxa"/>
            <w:shd w:val="clear" w:color="auto" w:fill="B4C6E7"/>
          </w:tcPr>
          <w:p w14:paraId="00887F6F" w14:textId="77777777" w:rsidR="009E02A1"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Plazo para inscribirlo</w:t>
            </w:r>
          </w:p>
        </w:tc>
        <w:tc>
          <w:tcPr>
            <w:tcW w:w="1417" w:type="dxa"/>
            <w:shd w:val="clear" w:color="auto" w:fill="B4C6E7"/>
          </w:tcPr>
          <w:p w14:paraId="0F8D74AF"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¿Cuándo lo inscribieron?</w:t>
            </w:r>
          </w:p>
        </w:tc>
        <w:tc>
          <w:tcPr>
            <w:tcW w:w="993" w:type="dxa"/>
            <w:shd w:val="clear" w:color="auto" w:fill="B4C6E7"/>
          </w:tcPr>
          <w:p w14:paraId="40C20942"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 xml:space="preserve">Periodo para informar </w:t>
            </w:r>
          </w:p>
        </w:tc>
        <w:tc>
          <w:tcPr>
            <w:tcW w:w="1134" w:type="dxa"/>
            <w:shd w:val="clear" w:color="auto" w:fill="B4C6E7"/>
          </w:tcPr>
          <w:p w14:paraId="6EEA0A58"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 xml:space="preserve">Informe </w:t>
            </w:r>
          </w:p>
        </w:tc>
        <w:tc>
          <w:tcPr>
            <w:tcW w:w="1559" w:type="dxa"/>
            <w:shd w:val="clear" w:color="auto" w:fill="B4C6E7"/>
          </w:tcPr>
          <w:p w14:paraId="239BC091"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b/>
                <w:bCs/>
                <w:sz w:val="20"/>
                <w:szCs w:val="20"/>
              </w:rPr>
            </w:pPr>
            <w:r>
              <w:rPr>
                <w:rFonts w:ascii="Arial Narrow" w:eastAsia="Arial Narrow" w:hAnsi="Arial Narrow" w:cs="Arial Narrow"/>
                <w:b/>
                <w:bCs/>
                <w:sz w:val="20"/>
                <w:szCs w:val="20"/>
              </w:rPr>
              <w:t xml:space="preserve">Determinación </w:t>
            </w:r>
          </w:p>
        </w:tc>
      </w:tr>
      <w:tr w:rsidR="009E02A1" w14:paraId="201D6071" w14:textId="77777777" w:rsidTr="009E02A1">
        <w:trPr>
          <w:trHeight w:val="691"/>
        </w:trPr>
        <w:tc>
          <w:tcPr>
            <w:cnfStyle w:val="001000000000" w:firstRow="0" w:lastRow="0" w:firstColumn="1" w:lastColumn="0" w:oddVBand="0" w:evenVBand="0" w:oddHBand="0" w:evenHBand="0" w:firstRowFirstColumn="0" w:firstRowLastColumn="0" w:lastRowFirstColumn="0" w:lastRowLastColumn="0"/>
            <w:tcW w:w="1276" w:type="dxa"/>
            <w:shd w:val="clear" w:color="auto" w:fill="D9E2F3"/>
          </w:tcPr>
          <w:p w14:paraId="4587D91D" w14:textId="77777777" w:rsidR="009E02A1" w:rsidRDefault="00000000">
            <w:pPr>
              <w:jc w:val="both"/>
              <w:rPr>
                <w:rFonts w:ascii="Arial Narrow" w:eastAsia="Arial Narrow" w:hAnsi="Arial Narrow" w:cs="Arial Narrow"/>
                <w:i/>
                <w:iCs/>
                <w:sz w:val="20"/>
                <w:szCs w:val="20"/>
              </w:rPr>
            </w:pPr>
            <w:r>
              <w:rPr>
                <w:rFonts w:ascii="Arial Narrow" w:eastAsia="Arial Narrow" w:hAnsi="Arial Narrow" w:cs="Arial Narrow"/>
                <w:i/>
                <w:iCs/>
                <w:sz w:val="20"/>
                <w:szCs w:val="20"/>
              </w:rPr>
              <w:t>INE</w:t>
            </w:r>
          </w:p>
        </w:tc>
        <w:tc>
          <w:tcPr>
            <w:tcW w:w="1276" w:type="dxa"/>
            <w:vMerge w:val="restart"/>
            <w:shd w:val="clear" w:color="auto" w:fill="D9E2F3"/>
          </w:tcPr>
          <w:p w14:paraId="07A116D0" w14:textId="77777777" w:rsidR="009E02A1"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 Siete de febrero</w:t>
            </w:r>
            <w:r>
              <w:rPr>
                <w:rFonts w:ascii="Arial Narrow" w:eastAsia="Arial Narrow" w:hAnsi="Arial Narrow" w:cs="Arial Narrow"/>
                <w:sz w:val="20"/>
                <w:szCs w:val="20"/>
                <w:vertAlign w:val="superscript"/>
              </w:rPr>
              <w:footnoteReference w:id="62"/>
            </w:r>
          </w:p>
        </w:tc>
        <w:tc>
          <w:tcPr>
            <w:tcW w:w="1134" w:type="dxa"/>
            <w:vMerge w:val="restart"/>
            <w:shd w:val="clear" w:color="auto" w:fill="D9E2F3"/>
          </w:tcPr>
          <w:p w14:paraId="49F4E4E8" w14:textId="77777777" w:rsidR="009E02A1" w:rsidRDefault="00000000">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Del diez al veintiuno de febrero </w:t>
            </w:r>
          </w:p>
        </w:tc>
        <w:tc>
          <w:tcPr>
            <w:tcW w:w="1417" w:type="dxa"/>
            <w:shd w:val="clear" w:color="auto" w:fill="D9E2F3"/>
          </w:tcPr>
          <w:p w14:paraId="52FE6CB9"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Ocho de febrero</w:t>
            </w:r>
          </w:p>
        </w:tc>
        <w:tc>
          <w:tcPr>
            <w:tcW w:w="993" w:type="dxa"/>
            <w:shd w:val="clear" w:color="auto" w:fill="D9E2F3"/>
          </w:tcPr>
          <w:p w14:paraId="059DEA40"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Del diez al doce de febrero.</w:t>
            </w:r>
          </w:p>
        </w:tc>
        <w:tc>
          <w:tcPr>
            <w:tcW w:w="1134" w:type="dxa"/>
            <w:shd w:val="clear" w:color="auto" w:fill="D9E2F3"/>
          </w:tcPr>
          <w:p w14:paraId="16304217"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Doce de febrero</w:t>
            </w:r>
          </w:p>
        </w:tc>
        <w:tc>
          <w:tcPr>
            <w:tcW w:w="1559" w:type="dxa"/>
            <w:shd w:val="clear" w:color="auto" w:fill="D9E2F3"/>
          </w:tcPr>
          <w:p w14:paraId="54641F9B"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 xml:space="preserve">En tiempo </w:t>
            </w:r>
          </w:p>
        </w:tc>
      </w:tr>
      <w:tr w:rsidR="009E02A1" w14:paraId="37C97D2F" w14:textId="77777777" w:rsidTr="009E02A1">
        <w:trPr>
          <w:trHeight w:val="614"/>
        </w:trPr>
        <w:tc>
          <w:tcPr>
            <w:cnfStyle w:val="001000000000" w:firstRow="0" w:lastRow="0" w:firstColumn="1" w:lastColumn="0" w:oddVBand="0" w:evenVBand="0" w:oddHBand="0" w:evenHBand="0" w:firstRowFirstColumn="0" w:firstRowLastColumn="0" w:lastRowFirstColumn="0" w:lastRowLastColumn="0"/>
            <w:tcW w:w="1276" w:type="dxa"/>
            <w:shd w:val="clear" w:color="auto" w:fill="D9E2F3"/>
          </w:tcPr>
          <w:p w14:paraId="22098E71" w14:textId="77777777" w:rsidR="009E02A1" w:rsidRDefault="00000000">
            <w:pPr>
              <w:jc w:val="both"/>
              <w:rPr>
                <w:rFonts w:ascii="Arial Narrow" w:eastAsia="Arial Narrow" w:hAnsi="Arial Narrow" w:cs="Arial Narrow"/>
                <w:i/>
                <w:iCs/>
                <w:sz w:val="20"/>
                <w:szCs w:val="20"/>
              </w:rPr>
            </w:pPr>
            <w:r>
              <w:rPr>
                <w:rFonts w:ascii="Arial Narrow" w:eastAsia="Arial Narrow" w:hAnsi="Arial Narrow" w:cs="Arial Narrow"/>
                <w:i/>
                <w:iCs/>
                <w:sz w:val="20"/>
                <w:szCs w:val="20"/>
              </w:rPr>
              <w:t>IEM</w:t>
            </w:r>
          </w:p>
        </w:tc>
        <w:tc>
          <w:tcPr>
            <w:tcW w:w="1276" w:type="dxa"/>
            <w:vMerge/>
            <w:shd w:val="clear" w:color="auto" w:fill="D9E2F3"/>
          </w:tcPr>
          <w:p w14:paraId="63AA5226" w14:textId="77777777" w:rsidR="009E02A1" w:rsidRDefault="009E02A1">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i/>
                <w:iCs/>
                <w:sz w:val="20"/>
                <w:szCs w:val="20"/>
              </w:rPr>
            </w:pPr>
          </w:p>
        </w:tc>
        <w:tc>
          <w:tcPr>
            <w:tcW w:w="1134" w:type="dxa"/>
            <w:vMerge/>
            <w:shd w:val="clear" w:color="auto" w:fill="D9E2F3"/>
          </w:tcPr>
          <w:p w14:paraId="181E787D" w14:textId="77777777" w:rsidR="009E02A1" w:rsidRDefault="009E02A1">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i/>
                <w:iCs/>
                <w:sz w:val="20"/>
                <w:szCs w:val="20"/>
              </w:rPr>
            </w:pPr>
          </w:p>
        </w:tc>
        <w:tc>
          <w:tcPr>
            <w:tcW w:w="1417" w:type="dxa"/>
            <w:shd w:val="clear" w:color="auto" w:fill="D9E2F3"/>
          </w:tcPr>
          <w:p w14:paraId="6401107A"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Siete de febrero</w:t>
            </w:r>
          </w:p>
        </w:tc>
        <w:tc>
          <w:tcPr>
            <w:tcW w:w="993" w:type="dxa"/>
            <w:shd w:val="clear" w:color="auto" w:fill="D9E2F3"/>
          </w:tcPr>
          <w:p w14:paraId="17E1F396"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Del diez al doce de febrero.</w:t>
            </w:r>
          </w:p>
        </w:tc>
        <w:tc>
          <w:tcPr>
            <w:tcW w:w="1134" w:type="dxa"/>
            <w:shd w:val="clear" w:color="auto" w:fill="D9E2F3"/>
          </w:tcPr>
          <w:p w14:paraId="524A7E1C"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Doce de febrero</w:t>
            </w:r>
          </w:p>
        </w:tc>
        <w:tc>
          <w:tcPr>
            <w:tcW w:w="1559" w:type="dxa"/>
            <w:shd w:val="clear" w:color="auto" w:fill="D9E2F3"/>
          </w:tcPr>
          <w:p w14:paraId="0ED4CFFE" w14:textId="77777777" w:rsidR="009E02A1" w:rsidRDefault="00000000">
            <w:pPr>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r>
              <w:rPr>
                <w:rFonts w:ascii="Arial Narrow" w:eastAsia="Arial Narrow" w:hAnsi="Arial Narrow" w:cs="Arial Narrow"/>
                <w:sz w:val="20"/>
                <w:szCs w:val="20"/>
              </w:rPr>
              <w:t>En tiempo</w:t>
            </w:r>
          </w:p>
          <w:p w14:paraId="153BF242" w14:textId="77777777" w:rsidR="009E02A1" w:rsidRDefault="009E02A1">
            <w:pPr>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sz w:val="20"/>
                <w:szCs w:val="20"/>
              </w:rPr>
            </w:pPr>
          </w:p>
        </w:tc>
      </w:tr>
    </w:tbl>
    <w:p w14:paraId="47D4382F" w14:textId="77777777" w:rsidR="009E02A1" w:rsidRDefault="009E02A1">
      <w:pPr>
        <w:spacing w:after="0" w:line="360" w:lineRule="auto"/>
        <w:jc w:val="both"/>
        <w:rPr>
          <w:rFonts w:ascii="Arial" w:eastAsia="Arial" w:hAnsi="Arial" w:cs="Arial"/>
          <w:b/>
          <w:bCs/>
          <w:sz w:val="24"/>
          <w:szCs w:val="24"/>
        </w:rPr>
      </w:pPr>
    </w:p>
    <w:p w14:paraId="337C412F" w14:textId="77777777" w:rsidR="009E02A1" w:rsidRDefault="00000000">
      <w:pPr>
        <w:spacing w:after="0" w:line="360" w:lineRule="auto"/>
        <w:jc w:val="both"/>
        <w:rPr>
          <w:rFonts w:ascii="Arial" w:eastAsia="Arial" w:hAnsi="Arial" w:cs="Arial"/>
          <w:b/>
          <w:bCs/>
          <w:sz w:val="24"/>
          <w:szCs w:val="24"/>
        </w:rPr>
      </w:pPr>
      <w:r>
        <w:rPr>
          <w:rFonts w:ascii="Arial" w:eastAsia="Arial" w:hAnsi="Arial" w:cs="Arial"/>
          <w:b/>
          <w:bCs/>
          <w:sz w:val="24"/>
          <w:szCs w:val="24"/>
        </w:rPr>
        <w:t xml:space="preserve">-Publicación y difusión del resumen de la sentencia </w:t>
      </w:r>
    </w:p>
    <w:p w14:paraId="40DD874F" w14:textId="77777777" w:rsidR="009E02A1" w:rsidRDefault="009E02A1">
      <w:pPr>
        <w:spacing w:after="0" w:line="360" w:lineRule="auto"/>
        <w:jc w:val="both"/>
        <w:rPr>
          <w:rFonts w:ascii="Arial" w:eastAsia="Arial" w:hAnsi="Arial" w:cs="Arial"/>
          <w:b/>
          <w:bCs/>
          <w:sz w:val="24"/>
          <w:szCs w:val="24"/>
        </w:rPr>
      </w:pPr>
    </w:p>
    <w:p w14:paraId="0D9CB65F"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Como se observa de la tabla antes inserta, el </w:t>
      </w:r>
      <w:r>
        <w:rPr>
          <w:rFonts w:ascii="Arial" w:eastAsia="Arial" w:hAnsi="Arial" w:cs="Arial"/>
          <w:i/>
          <w:iCs/>
          <w:sz w:val="24"/>
          <w:szCs w:val="24"/>
        </w:rPr>
        <w:t>denunciado</w:t>
      </w:r>
      <w:r>
        <w:rPr>
          <w:rFonts w:ascii="Arial" w:eastAsia="Arial" w:hAnsi="Arial" w:cs="Arial"/>
          <w:sz w:val="24"/>
          <w:szCs w:val="24"/>
        </w:rPr>
        <w:t xml:space="preserve"> cumplió extemporáneamente con el plazo otorgado para publicar el resumen de la sentencia, ya que, debía realizar la publicación a partir del diecisiete diciembre, no obstante, la realizó hasta el veintiuno de mayo, máxime que la remisión de las constancias de cumplimiento, atendieron a un requerimiento realizado por la Ponencia instructora.</w:t>
      </w:r>
    </w:p>
    <w:p w14:paraId="500D17BA" w14:textId="77777777" w:rsidR="009E02A1" w:rsidRDefault="009E02A1">
      <w:pPr>
        <w:spacing w:after="0" w:line="360" w:lineRule="auto"/>
        <w:jc w:val="both"/>
        <w:rPr>
          <w:rFonts w:ascii="Arial" w:eastAsia="Arial" w:hAnsi="Arial" w:cs="Arial"/>
          <w:sz w:val="24"/>
          <w:szCs w:val="24"/>
        </w:rPr>
      </w:pPr>
    </w:p>
    <w:p w14:paraId="215423C6" w14:textId="77777777" w:rsidR="009E02A1" w:rsidRDefault="00000000">
      <w:pPr>
        <w:spacing w:after="0" w:line="360" w:lineRule="auto"/>
        <w:jc w:val="both"/>
        <w:rPr>
          <w:rFonts w:ascii="Arial" w:eastAsia="Arial" w:hAnsi="Arial" w:cs="Arial"/>
          <w:i/>
          <w:iCs/>
          <w:sz w:val="24"/>
          <w:szCs w:val="24"/>
        </w:rPr>
      </w:pPr>
      <w:r>
        <w:rPr>
          <w:rFonts w:ascii="Arial" w:eastAsia="Arial" w:hAnsi="Arial" w:cs="Arial"/>
          <w:sz w:val="24"/>
          <w:szCs w:val="24"/>
        </w:rPr>
        <w:t xml:space="preserve">No obstante, como se advierte de la tabla antes inserta, el </w:t>
      </w:r>
      <w:r>
        <w:rPr>
          <w:rFonts w:ascii="Arial" w:eastAsia="Arial" w:hAnsi="Arial" w:cs="Arial"/>
          <w:i/>
          <w:iCs/>
          <w:sz w:val="24"/>
          <w:szCs w:val="24"/>
        </w:rPr>
        <w:t>denunciado</w:t>
      </w:r>
      <w:r>
        <w:rPr>
          <w:rFonts w:ascii="Arial" w:eastAsia="Arial" w:hAnsi="Arial" w:cs="Arial"/>
          <w:sz w:val="24"/>
          <w:szCs w:val="24"/>
        </w:rPr>
        <w:t xml:space="preserve"> sí cumplió con el plazo que debía permanecer difundida la publicación del resumen, toda vez que la publicación duró la temporalidad de quince días naturales, tal y como se ordenó en la sentencia, ya que si la realizó el veintiuno de mayo, debía permanecer difundida hasta el cuatro de junio, lo que así ocurrió, toda vez que del acta de circunstanciada levantada el diecisiete de junio con motivo de la verificación al enlace electrónico que aportó para acreditar la publicación y temporalidad, se constató que aún seguía difundida, por lo cual evidentemente la publicación estuvo más de quince días difundida en su perfil, cumpliendo así con el periodo establecido por este </w:t>
      </w:r>
      <w:r>
        <w:rPr>
          <w:rFonts w:ascii="Arial" w:eastAsia="Arial" w:hAnsi="Arial" w:cs="Arial"/>
          <w:i/>
          <w:iCs/>
          <w:sz w:val="24"/>
          <w:szCs w:val="24"/>
        </w:rPr>
        <w:t>Tribunal Electoral.</w:t>
      </w:r>
    </w:p>
    <w:p w14:paraId="33ED174E" w14:textId="77777777" w:rsidR="009E02A1" w:rsidRDefault="009E02A1">
      <w:pPr>
        <w:spacing w:after="0" w:line="360" w:lineRule="auto"/>
        <w:jc w:val="both"/>
        <w:rPr>
          <w:rFonts w:ascii="Arial" w:eastAsia="Arial" w:hAnsi="Arial" w:cs="Arial"/>
          <w:i/>
          <w:iCs/>
          <w:sz w:val="24"/>
          <w:szCs w:val="24"/>
        </w:rPr>
      </w:pPr>
    </w:p>
    <w:p w14:paraId="29A3E3E7"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Por su parte, como se observa de la tabla antes inserta, el </w:t>
      </w:r>
      <w:r>
        <w:rPr>
          <w:rFonts w:ascii="Arial" w:eastAsia="Arial" w:hAnsi="Arial" w:cs="Arial"/>
          <w:i/>
          <w:iCs/>
          <w:sz w:val="24"/>
          <w:szCs w:val="24"/>
        </w:rPr>
        <w:t>SMRT</w:t>
      </w:r>
      <w:r>
        <w:rPr>
          <w:rFonts w:ascii="Arial" w:eastAsia="Arial" w:hAnsi="Arial" w:cs="Arial"/>
          <w:sz w:val="24"/>
          <w:szCs w:val="24"/>
        </w:rPr>
        <w:t xml:space="preserve">, cumplió en tiempo respecto a difundir el resumen de la sentencia, ya que debía difundirlo por tres días naturales a partir de la notificación de la firmeza de la sentencia, por lo que, si se le notificó el siete de febrero, debía comenzar la difusión a partir del ocho al diez de febrero, lo que así sucedió de acuerdo con las constancias que obran en autos, cumpliendo con el plazo establecido por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w:t>
      </w:r>
    </w:p>
    <w:p w14:paraId="0F6AE339" w14:textId="77777777" w:rsidR="009E02A1" w:rsidRDefault="009E02A1">
      <w:pPr>
        <w:spacing w:after="0" w:line="360" w:lineRule="auto"/>
        <w:jc w:val="both"/>
        <w:rPr>
          <w:rFonts w:ascii="Arial" w:eastAsia="Arial" w:hAnsi="Arial" w:cs="Arial"/>
          <w:sz w:val="24"/>
          <w:szCs w:val="24"/>
        </w:rPr>
      </w:pPr>
    </w:p>
    <w:p w14:paraId="129BAE11"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Por otra parte, cumplió extemporáneamente respecto a informar dichas acciones a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toda vez que, si la última difusión aconteció el diez de febrero, tenia del once al doce de febrero, para informarlo, no obstante, lo realizó hasta veintiuno siguiente. </w:t>
      </w:r>
    </w:p>
    <w:p w14:paraId="79718A07" w14:textId="77777777" w:rsidR="009E02A1" w:rsidRDefault="009E02A1">
      <w:pPr>
        <w:spacing w:after="0" w:line="360" w:lineRule="auto"/>
        <w:jc w:val="both"/>
        <w:rPr>
          <w:rFonts w:ascii="Arial" w:eastAsia="Arial" w:hAnsi="Arial" w:cs="Arial"/>
          <w:sz w:val="24"/>
          <w:szCs w:val="24"/>
        </w:rPr>
      </w:pPr>
    </w:p>
    <w:p w14:paraId="13C9362B" w14:textId="77777777" w:rsidR="009E02A1" w:rsidRDefault="00000000">
      <w:pPr>
        <w:spacing w:after="0" w:line="360" w:lineRule="auto"/>
        <w:jc w:val="both"/>
        <w:rPr>
          <w:rFonts w:ascii="Arial" w:eastAsia="Arial" w:hAnsi="Arial" w:cs="Arial"/>
          <w:b/>
          <w:bCs/>
          <w:sz w:val="24"/>
          <w:szCs w:val="24"/>
        </w:rPr>
      </w:pPr>
      <w:r>
        <w:rPr>
          <w:rFonts w:ascii="Arial" w:eastAsia="Arial" w:hAnsi="Arial" w:cs="Arial"/>
          <w:b/>
          <w:bCs/>
          <w:sz w:val="24"/>
          <w:szCs w:val="24"/>
        </w:rPr>
        <w:t xml:space="preserve"> -Difusión de disculpa pública </w:t>
      </w:r>
    </w:p>
    <w:p w14:paraId="292FBA68" w14:textId="77777777" w:rsidR="009E02A1" w:rsidRDefault="009E02A1">
      <w:pPr>
        <w:spacing w:after="0" w:line="360" w:lineRule="auto"/>
        <w:jc w:val="both"/>
        <w:rPr>
          <w:rFonts w:ascii="Arial" w:eastAsia="Arial" w:hAnsi="Arial" w:cs="Arial"/>
          <w:sz w:val="24"/>
          <w:szCs w:val="24"/>
        </w:rPr>
      </w:pPr>
    </w:p>
    <w:p w14:paraId="270EF6C2"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Como se advierte de la tabla, el </w:t>
      </w:r>
      <w:r>
        <w:rPr>
          <w:rFonts w:ascii="Arial" w:eastAsia="Arial" w:hAnsi="Arial" w:cs="Arial"/>
          <w:i/>
          <w:iCs/>
          <w:sz w:val="24"/>
          <w:szCs w:val="24"/>
        </w:rPr>
        <w:t>denunciado</w:t>
      </w:r>
      <w:r>
        <w:rPr>
          <w:rFonts w:ascii="Arial" w:eastAsia="Arial" w:hAnsi="Arial" w:cs="Arial"/>
          <w:sz w:val="24"/>
          <w:szCs w:val="24"/>
        </w:rPr>
        <w:t xml:space="preserve"> cumplió extemporáneamente respecto a empezar a difundir la disculpa pública, ya que, si la sentencia se le notificó el dieciséis de diciembre, la difusión debía empezar a partir del diecisiete y hasta el treinta y uno de diciembre, no obstante, la comenzó a difundir a partir del veintiuno de mayo, de ahí lo extemporáneo.</w:t>
      </w:r>
    </w:p>
    <w:p w14:paraId="041D3531" w14:textId="77777777" w:rsidR="009E02A1" w:rsidRDefault="009E02A1">
      <w:pPr>
        <w:spacing w:after="0" w:line="360" w:lineRule="auto"/>
        <w:jc w:val="both"/>
        <w:rPr>
          <w:rFonts w:ascii="Arial" w:eastAsia="Arial" w:hAnsi="Arial" w:cs="Arial"/>
          <w:sz w:val="24"/>
          <w:szCs w:val="24"/>
        </w:rPr>
      </w:pPr>
    </w:p>
    <w:p w14:paraId="6F8E3B91"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Asimismo, cumplió extemporáneamente respecto a informar a este </w:t>
      </w:r>
      <w:r>
        <w:rPr>
          <w:rFonts w:ascii="Arial" w:eastAsia="Arial" w:hAnsi="Arial" w:cs="Arial"/>
          <w:i/>
          <w:iCs/>
          <w:sz w:val="24"/>
          <w:szCs w:val="24"/>
        </w:rPr>
        <w:t>Tribunal Electoral</w:t>
      </w:r>
      <w:r>
        <w:rPr>
          <w:rFonts w:ascii="Arial" w:eastAsia="Arial" w:hAnsi="Arial" w:cs="Arial"/>
          <w:sz w:val="24"/>
          <w:szCs w:val="24"/>
        </w:rPr>
        <w:t xml:space="preserve"> dicho cumplimiento, toda vez que como se desprende de la tabla, debía informar dentro de los dos días hábiles siguientes a que concluyera el plazo de quince días naturales, por lo que si la publicación debía estar difundida hasta el cuatro de junio, por ende tenía hasta el seis de junio para informarlo, sin embargo, lo realizó hasta el trece siguiente, esto es, fuera del plazo otorgado para tal efecto, máxime que la remisión de las constancias de cumplimiento, atendieron a un requerimiento realizado por la Ponencia instructora.</w:t>
      </w:r>
    </w:p>
    <w:p w14:paraId="3E900E4E" w14:textId="77777777" w:rsidR="009E02A1" w:rsidRDefault="009E02A1">
      <w:pPr>
        <w:spacing w:after="0" w:line="360" w:lineRule="auto"/>
        <w:jc w:val="both"/>
        <w:rPr>
          <w:rFonts w:ascii="Arial" w:eastAsia="Arial" w:hAnsi="Arial" w:cs="Arial"/>
          <w:sz w:val="24"/>
          <w:szCs w:val="24"/>
        </w:rPr>
      </w:pPr>
    </w:p>
    <w:p w14:paraId="37819E14"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Sin embargo, cumplió debidamente con el plazo que debía permanecer difundida la disculpa pública, toda vez que la publicación duró la temporalidad de quince días naturales, tal y como se ordenó en la sentencia, ya que si la realizó el veintiuno de mayo, debía permanecer difundida hasta el cuatro de junio, lo que así ocurrió, toda vez que del acta de circunstanciada levantada el diecisiete de junio con motivo de la verificación al enlace electrónico que aportó para acreditar la publicación y temporalidad, se constató que aún seguía difundida, por lo cual evidentemente la publicación estuvo más de quince días difundida en su perfil, cumpliendo así con el periodo establecido por este </w:t>
      </w:r>
      <w:r>
        <w:rPr>
          <w:rFonts w:ascii="Arial" w:eastAsia="Arial" w:hAnsi="Arial" w:cs="Arial"/>
          <w:i/>
          <w:iCs/>
          <w:sz w:val="24"/>
          <w:szCs w:val="24"/>
        </w:rPr>
        <w:t>Tribunal Electoral.</w:t>
      </w:r>
    </w:p>
    <w:p w14:paraId="029A33A5" w14:textId="77777777" w:rsidR="009E02A1" w:rsidRDefault="009E02A1">
      <w:pPr>
        <w:spacing w:after="0" w:line="360" w:lineRule="auto"/>
        <w:jc w:val="both"/>
        <w:rPr>
          <w:rFonts w:ascii="Arial" w:eastAsia="Arial" w:hAnsi="Arial" w:cs="Arial"/>
          <w:sz w:val="24"/>
          <w:szCs w:val="24"/>
        </w:rPr>
      </w:pPr>
    </w:p>
    <w:p w14:paraId="70BBF444" w14:textId="77777777" w:rsidR="009E02A1" w:rsidRDefault="00000000">
      <w:pPr>
        <w:spacing w:after="0" w:line="360" w:lineRule="auto"/>
        <w:jc w:val="both"/>
        <w:rPr>
          <w:rFonts w:ascii="Arial" w:eastAsia="Arial" w:hAnsi="Arial" w:cs="Arial"/>
          <w:b/>
          <w:bCs/>
          <w:i/>
          <w:iCs/>
          <w:sz w:val="24"/>
          <w:szCs w:val="24"/>
        </w:rPr>
      </w:pPr>
      <w:r>
        <w:rPr>
          <w:rFonts w:ascii="Arial" w:eastAsia="Arial" w:hAnsi="Arial" w:cs="Arial"/>
          <w:sz w:val="24"/>
          <w:szCs w:val="24"/>
        </w:rPr>
        <w:t>-</w:t>
      </w:r>
      <w:r>
        <w:rPr>
          <w:rFonts w:ascii="Arial" w:eastAsia="Arial" w:hAnsi="Arial" w:cs="Arial"/>
          <w:b/>
          <w:bCs/>
          <w:sz w:val="24"/>
          <w:szCs w:val="24"/>
        </w:rPr>
        <w:t xml:space="preserve">Inscripción del </w:t>
      </w:r>
      <w:r>
        <w:rPr>
          <w:rFonts w:ascii="Arial" w:eastAsia="Arial" w:hAnsi="Arial" w:cs="Arial"/>
          <w:b/>
          <w:bCs/>
          <w:i/>
          <w:iCs/>
          <w:sz w:val="24"/>
          <w:szCs w:val="24"/>
        </w:rPr>
        <w:t xml:space="preserve">denunciado </w:t>
      </w:r>
      <w:r>
        <w:rPr>
          <w:rFonts w:ascii="Arial" w:eastAsia="Arial" w:hAnsi="Arial" w:cs="Arial"/>
          <w:b/>
          <w:bCs/>
          <w:sz w:val="24"/>
          <w:szCs w:val="24"/>
        </w:rPr>
        <w:t xml:space="preserve">al </w:t>
      </w:r>
      <w:r>
        <w:rPr>
          <w:rFonts w:ascii="Arial" w:eastAsia="Arial" w:hAnsi="Arial" w:cs="Arial"/>
          <w:b/>
          <w:bCs/>
          <w:i/>
          <w:iCs/>
          <w:sz w:val="24"/>
          <w:szCs w:val="24"/>
        </w:rPr>
        <w:t>Registro nacional</w:t>
      </w:r>
      <w:r>
        <w:rPr>
          <w:rFonts w:ascii="Arial" w:eastAsia="Arial" w:hAnsi="Arial" w:cs="Arial"/>
          <w:b/>
          <w:bCs/>
          <w:sz w:val="24"/>
          <w:szCs w:val="24"/>
        </w:rPr>
        <w:t xml:space="preserve"> y </w:t>
      </w:r>
      <w:r>
        <w:rPr>
          <w:rFonts w:ascii="Arial" w:eastAsia="Arial" w:hAnsi="Arial" w:cs="Arial"/>
          <w:b/>
          <w:bCs/>
          <w:i/>
          <w:iCs/>
          <w:sz w:val="24"/>
          <w:szCs w:val="24"/>
        </w:rPr>
        <w:t>Registro estatal</w:t>
      </w:r>
    </w:p>
    <w:p w14:paraId="7596BECD" w14:textId="77777777" w:rsidR="009E02A1" w:rsidRDefault="009E02A1">
      <w:pPr>
        <w:spacing w:after="0" w:line="360" w:lineRule="auto"/>
        <w:jc w:val="both"/>
        <w:rPr>
          <w:rFonts w:ascii="Arial" w:eastAsia="Arial" w:hAnsi="Arial" w:cs="Arial"/>
          <w:sz w:val="24"/>
          <w:szCs w:val="24"/>
        </w:rPr>
      </w:pPr>
    </w:p>
    <w:p w14:paraId="3322B72F"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El </w:t>
      </w:r>
      <w:r>
        <w:rPr>
          <w:rFonts w:ascii="Arial" w:eastAsia="Arial" w:hAnsi="Arial" w:cs="Arial"/>
          <w:i/>
          <w:iCs/>
          <w:sz w:val="24"/>
          <w:szCs w:val="24"/>
        </w:rPr>
        <w:t>IEM</w:t>
      </w:r>
      <w:r>
        <w:rPr>
          <w:rFonts w:ascii="Arial" w:eastAsia="Arial" w:hAnsi="Arial" w:cs="Arial"/>
          <w:sz w:val="24"/>
          <w:szCs w:val="24"/>
        </w:rPr>
        <w:t xml:space="preserve"> y el </w:t>
      </w:r>
      <w:r>
        <w:rPr>
          <w:rFonts w:ascii="Arial" w:eastAsia="Arial" w:hAnsi="Arial" w:cs="Arial"/>
          <w:i/>
          <w:iCs/>
          <w:sz w:val="24"/>
          <w:szCs w:val="24"/>
        </w:rPr>
        <w:t>INE</w:t>
      </w:r>
      <w:r>
        <w:rPr>
          <w:rFonts w:ascii="Arial" w:eastAsia="Arial" w:hAnsi="Arial" w:cs="Arial"/>
          <w:sz w:val="24"/>
          <w:szCs w:val="24"/>
        </w:rPr>
        <w:t xml:space="preserve">, cumplieron con los plazos establecidos para inscribir al </w:t>
      </w:r>
      <w:r>
        <w:rPr>
          <w:rFonts w:ascii="Arial" w:eastAsia="Arial" w:hAnsi="Arial" w:cs="Arial"/>
          <w:i/>
          <w:iCs/>
          <w:sz w:val="24"/>
          <w:szCs w:val="24"/>
        </w:rPr>
        <w:t xml:space="preserve">denunciado </w:t>
      </w:r>
      <w:r>
        <w:rPr>
          <w:rFonts w:ascii="Arial" w:eastAsia="Arial" w:hAnsi="Arial" w:cs="Arial"/>
          <w:sz w:val="24"/>
          <w:szCs w:val="24"/>
        </w:rPr>
        <w:t xml:space="preserve">al </w:t>
      </w:r>
      <w:r>
        <w:rPr>
          <w:rFonts w:ascii="Arial" w:eastAsia="Arial" w:hAnsi="Arial" w:cs="Arial"/>
          <w:i/>
          <w:iCs/>
          <w:sz w:val="24"/>
          <w:szCs w:val="24"/>
        </w:rPr>
        <w:t>Registro</w:t>
      </w:r>
      <w:r>
        <w:rPr>
          <w:rFonts w:ascii="Arial" w:eastAsia="Arial" w:hAnsi="Arial" w:cs="Arial"/>
          <w:sz w:val="24"/>
          <w:szCs w:val="24"/>
        </w:rPr>
        <w:t xml:space="preserve"> </w:t>
      </w:r>
      <w:r>
        <w:rPr>
          <w:rFonts w:ascii="Arial" w:eastAsia="Arial" w:hAnsi="Arial" w:cs="Arial"/>
          <w:i/>
          <w:iCs/>
          <w:sz w:val="24"/>
          <w:szCs w:val="24"/>
        </w:rPr>
        <w:t>Estatal</w:t>
      </w:r>
      <w:r>
        <w:rPr>
          <w:rFonts w:ascii="Arial" w:eastAsia="Arial" w:hAnsi="Arial" w:cs="Arial"/>
          <w:sz w:val="24"/>
          <w:szCs w:val="24"/>
        </w:rPr>
        <w:t xml:space="preserve"> y </w:t>
      </w:r>
      <w:r>
        <w:rPr>
          <w:rFonts w:ascii="Arial" w:eastAsia="Arial" w:hAnsi="Arial" w:cs="Arial"/>
          <w:i/>
          <w:iCs/>
          <w:sz w:val="24"/>
          <w:szCs w:val="24"/>
        </w:rPr>
        <w:t>Registro</w:t>
      </w:r>
      <w:r>
        <w:rPr>
          <w:rFonts w:ascii="Arial" w:eastAsia="Arial" w:hAnsi="Arial" w:cs="Arial"/>
          <w:sz w:val="24"/>
          <w:szCs w:val="24"/>
        </w:rPr>
        <w:t xml:space="preserve"> </w:t>
      </w:r>
      <w:r>
        <w:rPr>
          <w:rFonts w:ascii="Arial" w:eastAsia="Arial" w:hAnsi="Arial" w:cs="Arial"/>
          <w:i/>
          <w:iCs/>
          <w:sz w:val="24"/>
          <w:szCs w:val="24"/>
        </w:rPr>
        <w:t>Nacional</w:t>
      </w:r>
      <w:r>
        <w:rPr>
          <w:rFonts w:ascii="Arial" w:eastAsia="Arial" w:hAnsi="Arial" w:cs="Arial"/>
          <w:sz w:val="24"/>
          <w:szCs w:val="24"/>
        </w:rPr>
        <w:t xml:space="preserve"> y para informar a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ya </w:t>
      </w:r>
      <w:r>
        <w:rPr>
          <w:rFonts w:ascii="Arial" w:eastAsia="Arial" w:hAnsi="Arial" w:cs="Arial"/>
          <w:sz w:val="24"/>
          <w:szCs w:val="24"/>
        </w:rPr>
        <w:lastRenderedPageBreak/>
        <w:t>que tenían del diez al veintiuno de febrero para efectuar dicha inscripción, y lo realizaron el siete y ocho de febrero, respectivamente, esto es, dentro del plazo de diez días hábiles otorgado para tal efecto.</w:t>
      </w:r>
    </w:p>
    <w:p w14:paraId="55DA5187" w14:textId="77777777" w:rsidR="009E02A1" w:rsidRDefault="009E02A1">
      <w:pPr>
        <w:spacing w:after="0" w:line="360" w:lineRule="auto"/>
        <w:jc w:val="both"/>
        <w:rPr>
          <w:rFonts w:ascii="Arial" w:eastAsia="Arial" w:hAnsi="Arial" w:cs="Arial"/>
          <w:sz w:val="24"/>
          <w:szCs w:val="24"/>
        </w:rPr>
      </w:pPr>
    </w:p>
    <w:p w14:paraId="33767E83"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Asimismo, informaron dichas acciones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dentro del plazo otorgado por este, pues ambos tenían hasta el doce de febrero e informaron en esa misma fecha, es decir, dentro del plazo de tres días hábiles otorgado para tal efecto. </w:t>
      </w:r>
    </w:p>
    <w:p w14:paraId="63E03297" w14:textId="77777777" w:rsidR="009E02A1" w:rsidRDefault="009E02A1">
      <w:pPr>
        <w:spacing w:after="0" w:line="360" w:lineRule="auto"/>
        <w:jc w:val="both"/>
        <w:rPr>
          <w:rFonts w:ascii="Arial" w:eastAsia="Arial" w:hAnsi="Arial" w:cs="Arial"/>
          <w:sz w:val="24"/>
          <w:szCs w:val="24"/>
        </w:rPr>
      </w:pPr>
    </w:p>
    <w:p w14:paraId="2B01C43E"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En ese sentido, en virtud de lo analizado en la temporalidad de las acciones ordenadas porte </w:t>
      </w:r>
      <w:r>
        <w:rPr>
          <w:rFonts w:ascii="Arial" w:eastAsia="Arial" w:hAnsi="Arial" w:cs="Arial"/>
          <w:i/>
          <w:iCs/>
          <w:sz w:val="24"/>
          <w:szCs w:val="24"/>
        </w:rPr>
        <w:t>Tribunal Electoral,</w:t>
      </w:r>
      <w:r>
        <w:rPr>
          <w:rFonts w:ascii="Arial" w:eastAsia="Arial" w:hAnsi="Arial" w:cs="Arial"/>
          <w:sz w:val="24"/>
          <w:szCs w:val="24"/>
        </w:rPr>
        <w:t xml:space="preserve"> resulta evidente que el </w:t>
      </w:r>
      <w:r>
        <w:rPr>
          <w:rFonts w:ascii="Arial" w:eastAsia="Arial" w:hAnsi="Arial" w:cs="Arial"/>
          <w:i/>
          <w:iCs/>
          <w:sz w:val="24"/>
          <w:szCs w:val="24"/>
        </w:rPr>
        <w:t xml:space="preserve">IEM </w:t>
      </w:r>
      <w:r>
        <w:rPr>
          <w:rFonts w:ascii="Arial" w:eastAsia="Arial" w:hAnsi="Arial" w:cs="Arial"/>
          <w:sz w:val="24"/>
          <w:szCs w:val="24"/>
        </w:rPr>
        <w:t xml:space="preserve">y el </w:t>
      </w:r>
      <w:r>
        <w:rPr>
          <w:rFonts w:ascii="Arial" w:eastAsia="Arial" w:hAnsi="Arial" w:cs="Arial"/>
          <w:i/>
          <w:iCs/>
          <w:sz w:val="24"/>
          <w:szCs w:val="24"/>
        </w:rPr>
        <w:t>INE</w:t>
      </w:r>
      <w:r>
        <w:rPr>
          <w:rFonts w:ascii="Arial" w:eastAsia="Arial" w:hAnsi="Arial" w:cs="Arial"/>
          <w:sz w:val="24"/>
          <w:szCs w:val="24"/>
        </w:rPr>
        <w:t xml:space="preserve"> cumplieron debidamente con los plazos otorgados para cumplir con la vinculación efectuada en la sentencia de trece de diciembre.</w:t>
      </w:r>
    </w:p>
    <w:p w14:paraId="7DD23BE3" w14:textId="77777777" w:rsidR="009E02A1" w:rsidRDefault="009E02A1">
      <w:pPr>
        <w:spacing w:after="0" w:line="360" w:lineRule="auto"/>
        <w:jc w:val="both"/>
        <w:rPr>
          <w:rFonts w:ascii="Arial" w:eastAsia="Arial" w:hAnsi="Arial" w:cs="Arial"/>
          <w:sz w:val="24"/>
          <w:szCs w:val="24"/>
        </w:rPr>
      </w:pPr>
    </w:p>
    <w:p w14:paraId="05506A9B" w14:textId="77777777" w:rsidR="009E02A1" w:rsidRDefault="00000000">
      <w:pPr>
        <w:spacing w:after="0" w:line="360" w:lineRule="auto"/>
        <w:jc w:val="both"/>
        <w:rPr>
          <w:rFonts w:ascii="Arial" w:eastAsia="Arial" w:hAnsi="Arial" w:cs="Arial"/>
          <w:sz w:val="24"/>
          <w:szCs w:val="24"/>
        </w:rPr>
      </w:pPr>
      <w:r>
        <w:rPr>
          <w:rFonts w:ascii="Arial" w:eastAsia="Arial" w:hAnsi="Arial" w:cs="Arial"/>
          <w:sz w:val="24"/>
          <w:szCs w:val="24"/>
        </w:rPr>
        <w:t xml:space="preserve">En virtud de lo antes expuesto, resulta evidente que el </w:t>
      </w:r>
      <w:r>
        <w:rPr>
          <w:rFonts w:ascii="Arial" w:eastAsia="Arial" w:hAnsi="Arial" w:cs="Arial"/>
          <w:i/>
          <w:iCs/>
          <w:sz w:val="24"/>
          <w:szCs w:val="24"/>
        </w:rPr>
        <w:t xml:space="preserve">denunciado </w:t>
      </w:r>
      <w:r>
        <w:rPr>
          <w:rFonts w:ascii="Arial" w:eastAsia="Arial" w:hAnsi="Arial" w:cs="Arial"/>
          <w:sz w:val="24"/>
          <w:szCs w:val="24"/>
        </w:rPr>
        <w:t xml:space="preserve">no cumplió debidamente con los plazos ordenados en la sentencia de trece de diciembre y para informarlo a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máxime que como ya se puntualizó se le requirió en diversas ocasiones para que remitiera las constancias de cumplimiento, siendo omiso en cumplir con todos ellos, por lo tanto se </w:t>
      </w:r>
      <w:r>
        <w:rPr>
          <w:rFonts w:ascii="Arial" w:eastAsia="Arial" w:hAnsi="Arial" w:cs="Arial"/>
          <w:b/>
          <w:bCs/>
          <w:sz w:val="24"/>
          <w:szCs w:val="24"/>
        </w:rPr>
        <w:t>conmina</w:t>
      </w:r>
      <w:r>
        <w:rPr>
          <w:rFonts w:ascii="Arial" w:eastAsia="Arial" w:hAnsi="Arial" w:cs="Arial"/>
          <w:sz w:val="24"/>
          <w:szCs w:val="24"/>
        </w:rPr>
        <w:t xml:space="preserve"> al denunciado Rubén Torres García, para que, en lo subsecuente, acate en tiempo lo mandatado por este </w:t>
      </w:r>
      <w:r>
        <w:rPr>
          <w:rFonts w:ascii="Arial" w:eastAsia="Arial" w:hAnsi="Arial" w:cs="Arial"/>
          <w:i/>
          <w:iCs/>
          <w:sz w:val="24"/>
          <w:szCs w:val="24"/>
        </w:rPr>
        <w:t>Órgano</w:t>
      </w:r>
      <w:r>
        <w:rPr>
          <w:rFonts w:ascii="Arial" w:eastAsia="Arial" w:hAnsi="Arial" w:cs="Arial"/>
          <w:sz w:val="24"/>
          <w:szCs w:val="24"/>
        </w:rPr>
        <w:t xml:space="preserve"> </w:t>
      </w:r>
      <w:r>
        <w:rPr>
          <w:rFonts w:ascii="Arial" w:eastAsia="Arial" w:hAnsi="Arial" w:cs="Arial"/>
          <w:i/>
          <w:iCs/>
          <w:sz w:val="24"/>
          <w:szCs w:val="24"/>
        </w:rPr>
        <w:t>jurisdiccional</w:t>
      </w:r>
      <w:r>
        <w:rPr>
          <w:rFonts w:ascii="Arial" w:eastAsia="Arial" w:hAnsi="Arial" w:cs="Arial"/>
          <w:sz w:val="24"/>
          <w:szCs w:val="24"/>
        </w:rPr>
        <w:t>.</w:t>
      </w:r>
    </w:p>
    <w:p w14:paraId="79166897" w14:textId="77777777" w:rsidR="009E02A1" w:rsidRDefault="009E02A1">
      <w:pPr>
        <w:spacing w:after="0" w:line="360" w:lineRule="auto"/>
        <w:jc w:val="both"/>
        <w:rPr>
          <w:rFonts w:ascii="Arial" w:eastAsia="Arial" w:hAnsi="Arial" w:cs="Arial"/>
          <w:sz w:val="24"/>
          <w:szCs w:val="24"/>
        </w:rPr>
      </w:pPr>
    </w:p>
    <w:p w14:paraId="6BB7501B" w14:textId="77777777" w:rsidR="009E02A1" w:rsidRDefault="00000000">
      <w:pPr>
        <w:spacing w:after="0" w:line="360" w:lineRule="auto"/>
        <w:jc w:val="both"/>
        <w:rPr>
          <w:rFonts w:ascii="Arial" w:eastAsia="Arial" w:hAnsi="Arial" w:cs="Arial"/>
          <w:color w:val="212121"/>
          <w:sz w:val="24"/>
          <w:szCs w:val="24"/>
        </w:rPr>
      </w:pPr>
      <w:r>
        <w:rPr>
          <w:rFonts w:ascii="Arial" w:eastAsia="Arial" w:hAnsi="Arial" w:cs="Arial"/>
          <w:color w:val="212121"/>
          <w:sz w:val="24"/>
          <w:szCs w:val="24"/>
        </w:rPr>
        <w:t>Por lo expuesto y fundado emiten los siguientes</w:t>
      </w:r>
    </w:p>
    <w:p w14:paraId="72890155" w14:textId="77777777" w:rsidR="009E02A1" w:rsidRDefault="009E02A1">
      <w:pPr>
        <w:spacing w:after="0" w:line="360" w:lineRule="auto"/>
        <w:jc w:val="both"/>
        <w:rPr>
          <w:rFonts w:ascii="Arial" w:eastAsia="Arial" w:hAnsi="Arial" w:cs="Arial"/>
          <w:sz w:val="24"/>
          <w:szCs w:val="24"/>
        </w:rPr>
      </w:pPr>
    </w:p>
    <w:p w14:paraId="0D051EE1" w14:textId="77777777" w:rsidR="009E02A1" w:rsidRDefault="00000000">
      <w:pPr>
        <w:spacing w:after="0" w:line="360" w:lineRule="auto"/>
        <w:jc w:val="center"/>
        <w:rPr>
          <w:rFonts w:ascii="Arial" w:eastAsia="Arial" w:hAnsi="Arial" w:cs="Arial"/>
          <w:b/>
          <w:bCs/>
          <w:sz w:val="24"/>
          <w:szCs w:val="24"/>
        </w:rPr>
      </w:pPr>
      <w:bookmarkStart w:id="15" w:name="_heading=h.6moqiuzdmm7q" w:colFirst="0" w:colLast="0"/>
      <w:bookmarkEnd w:id="15"/>
      <w:r>
        <w:rPr>
          <w:rFonts w:ascii="Arial" w:eastAsia="Arial" w:hAnsi="Arial" w:cs="Arial"/>
          <w:b/>
          <w:bCs/>
          <w:sz w:val="24"/>
          <w:szCs w:val="24"/>
        </w:rPr>
        <w:t>VI. ACUERDOS</w:t>
      </w:r>
    </w:p>
    <w:p w14:paraId="187E611A" w14:textId="77777777" w:rsidR="009E02A1" w:rsidRDefault="009E02A1">
      <w:pPr>
        <w:spacing w:after="0" w:line="360" w:lineRule="auto"/>
        <w:jc w:val="center"/>
        <w:rPr>
          <w:rFonts w:ascii="Arial" w:eastAsia="Arial" w:hAnsi="Arial" w:cs="Arial"/>
          <w:b/>
          <w:bCs/>
          <w:sz w:val="24"/>
          <w:szCs w:val="24"/>
        </w:rPr>
      </w:pPr>
    </w:p>
    <w:p w14:paraId="435FE13C" w14:textId="77777777" w:rsidR="009E02A1" w:rsidRDefault="00000000">
      <w:pPr>
        <w:spacing w:after="0" w:line="360" w:lineRule="auto"/>
        <w:jc w:val="both"/>
        <w:rPr>
          <w:rFonts w:ascii="Arial" w:eastAsia="Arial" w:hAnsi="Arial" w:cs="Arial"/>
          <w:sz w:val="24"/>
          <w:szCs w:val="24"/>
        </w:rPr>
      </w:pPr>
      <w:r>
        <w:rPr>
          <w:rFonts w:ascii="Arial" w:eastAsia="Arial" w:hAnsi="Arial" w:cs="Arial"/>
          <w:b/>
          <w:bCs/>
          <w:sz w:val="24"/>
          <w:szCs w:val="24"/>
        </w:rPr>
        <w:t xml:space="preserve">PRIMERO. </w:t>
      </w:r>
      <w:r>
        <w:rPr>
          <w:rFonts w:ascii="Arial" w:eastAsia="Arial" w:hAnsi="Arial" w:cs="Arial"/>
          <w:sz w:val="24"/>
          <w:szCs w:val="24"/>
        </w:rPr>
        <w:t xml:space="preserve">Se </w:t>
      </w:r>
      <w:r>
        <w:rPr>
          <w:rFonts w:ascii="Arial" w:eastAsia="Arial" w:hAnsi="Arial" w:cs="Arial"/>
          <w:b/>
          <w:bCs/>
          <w:sz w:val="24"/>
          <w:szCs w:val="24"/>
        </w:rPr>
        <w:t>declara cumplida la sentencia</w:t>
      </w:r>
      <w:r>
        <w:rPr>
          <w:rFonts w:ascii="Arial" w:eastAsia="Arial" w:hAnsi="Arial" w:cs="Arial"/>
          <w:sz w:val="24"/>
          <w:szCs w:val="24"/>
        </w:rPr>
        <w:t xml:space="preserve"> emitida dentro del Procedimiento Especial Sancionador TEEM-PES-VPMG-199/2024.</w:t>
      </w:r>
    </w:p>
    <w:p w14:paraId="50509CE1" w14:textId="77777777" w:rsidR="009E02A1" w:rsidRDefault="009E02A1">
      <w:pPr>
        <w:spacing w:after="0" w:line="360" w:lineRule="auto"/>
        <w:jc w:val="both"/>
        <w:rPr>
          <w:rFonts w:ascii="Arial" w:eastAsia="Arial" w:hAnsi="Arial" w:cs="Arial"/>
          <w:sz w:val="24"/>
          <w:szCs w:val="24"/>
        </w:rPr>
      </w:pPr>
    </w:p>
    <w:p w14:paraId="3F9F34A9" w14:textId="77777777" w:rsidR="009E02A1" w:rsidRDefault="00000000">
      <w:pPr>
        <w:spacing w:after="0" w:line="360" w:lineRule="auto"/>
        <w:jc w:val="both"/>
        <w:rPr>
          <w:rFonts w:ascii="Arial" w:eastAsia="Arial" w:hAnsi="Arial" w:cs="Arial"/>
          <w:sz w:val="24"/>
          <w:szCs w:val="24"/>
        </w:rPr>
      </w:pPr>
      <w:r>
        <w:rPr>
          <w:rFonts w:ascii="Arial" w:eastAsia="Arial" w:hAnsi="Arial" w:cs="Arial"/>
          <w:b/>
          <w:bCs/>
          <w:sz w:val="24"/>
          <w:szCs w:val="24"/>
        </w:rPr>
        <w:t>SEGUNDO.</w:t>
      </w:r>
      <w:r>
        <w:rPr>
          <w:rFonts w:ascii="Arial" w:eastAsia="Arial" w:hAnsi="Arial" w:cs="Arial"/>
          <w:sz w:val="24"/>
          <w:szCs w:val="24"/>
        </w:rPr>
        <w:t xml:space="preserve"> Se </w:t>
      </w:r>
      <w:r>
        <w:rPr>
          <w:rFonts w:ascii="Arial" w:eastAsia="Arial" w:hAnsi="Arial" w:cs="Arial"/>
          <w:b/>
          <w:bCs/>
          <w:sz w:val="24"/>
          <w:szCs w:val="24"/>
        </w:rPr>
        <w:t xml:space="preserve">conmina </w:t>
      </w:r>
      <w:r>
        <w:rPr>
          <w:rFonts w:ascii="Arial" w:eastAsia="Arial" w:hAnsi="Arial" w:cs="Arial"/>
          <w:sz w:val="24"/>
          <w:szCs w:val="24"/>
        </w:rPr>
        <w:t>al denunciado Rubén Torres García en los términos precisados en el presente acuerdo.</w:t>
      </w:r>
    </w:p>
    <w:p w14:paraId="59B417D3" w14:textId="77777777" w:rsidR="009E02A1" w:rsidRDefault="009E02A1">
      <w:pPr>
        <w:spacing w:after="0" w:line="360" w:lineRule="auto"/>
        <w:jc w:val="both"/>
        <w:rPr>
          <w:rFonts w:ascii="Arial" w:eastAsia="Arial" w:hAnsi="Arial" w:cs="Arial"/>
          <w:sz w:val="24"/>
          <w:szCs w:val="24"/>
        </w:rPr>
      </w:pPr>
    </w:p>
    <w:p w14:paraId="6D02F116" w14:textId="77777777" w:rsidR="009E02A1" w:rsidRDefault="00000000">
      <w:p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bCs/>
          <w:color w:val="000000"/>
          <w:sz w:val="24"/>
          <w:szCs w:val="24"/>
        </w:rPr>
        <w:t xml:space="preserve">Notifíquese. Personalmente </w:t>
      </w:r>
      <w:r>
        <w:rPr>
          <w:rFonts w:ascii="Arial" w:eastAsia="Arial" w:hAnsi="Arial" w:cs="Arial"/>
          <w:color w:val="000000"/>
          <w:sz w:val="24"/>
          <w:szCs w:val="24"/>
        </w:rPr>
        <w:t xml:space="preserve">a las partes, por </w:t>
      </w:r>
      <w:r>
        <w:rPr>
          <w:rFonts w:ascii="Arial" w:eastAsia="Arial" w:hAnsi="Arial" w:cs="Arial"/>
          <w:b/>
          <w:bCs/>
          <w:color w:val="000000"/>
          <w:sz w:val="24"/>
          <w:szCs w:val="24"/>
        </w:rPr>
        <w:t>oficio</w:t>
      </w:r>
      <w:r>
        <w:rPr>
          <w:rFonts w:ascii="Arial" w:eastAsia="Arial" w:hAnsi="Arial" w:cs="Arial"/>
          <w:color w:val="000000"/>
          <w:sz w:val="24"/>
          <w:szCs w:val="24"/>
        </w:rPr>
        <w:t xml:space="preserve"> al Instituto Electoral de Michoacán, al Sistema Michoacano de Radio y Televisión, a la Secretaría de Igualdad Sustantiva y Desarrollo de las Mujeres Michoacanas y al Instituto Nacional Electoral; y por</w:t>
      </w:r>
      <w:r>
        <w:rPr>
          <w:rFonts w:ascii="Arial" w:eastAsia="Arial" w:hAnsi="Arial" w:cs="Arial"/>
          <w:b/>
          <w:bCs/>
          <w:color w:val="000000"/>
          <w:sz w:val="24"/>
          <w:szCs w:val="24"/>
        </w:rPr>
        <w:t xml:space="preserve"> estrados </w:t>
      </w:r>
      <w:r>
        <w:rPr>
          <w:rFonts w:ascii="Arial" w:eastAsia="Arial" w:hAnsi="Arial" w:cs="Arial"/>
          <w:color w:val="000000"/>
          <w:sz w:val="24"/>
          <w:szCs w:val="24"/>
        </w:rPr>
        <w:t xml:space="preserve">a los demás interesados, de conformidad con los artículos 37, fracciones I, II y III, 38 y 39, de la Ley de Justicia en Materia Electoral y de Participación Ciudadana del Estado de Michoacán de Ocampo; así como 137, </w:t>
      </w:r>
      <w:r>
        <w:rPr>
          <w:rFonts w:ascii="Arial" w:eastAsia="Arial" w:hAnsi="Arial" w:cs="Arial"/>
          <w:color w:val="000000"/>
          <w:sz w:val="24"/>
          <w:szCs w:val="24"/>
        </w:rPr>
        <w:lastRenderedPageBreak/>
        <w:t>fracción VI, 138, párrafo segundo, 139, 140, 141 y 142 del Reglamento Interior del Tribunal Electoral del Estado.</w:t>
      </w:r>
    </w:p>
    <w:p w14:paraId="24E7C75D" w14:textId="77777777" w:rsidR="009E02A1" w:rsidRDefault="009E02A1">
      <w:pPr>
        <w:pBdr>
          <w:top w:val="nil"/>
          <w:left w:val="nil"/>
          <w:bottom w:val="nil"/>
          <w:right w:val="nil"/>
          <w:between w:val="nil"/>
        </w:pBdr>
        <w:spacing w:after="0" w:line="360" w:lineRule="auto"/>
        <w:jc w:val="both"/>
        <w:rPr>
          <w:rFonts w:ascii="Arial" w:eastAsia="Arial" w:hAnsi="Arial" w:cs="Arial"/>
          <w:color w:val="000000"/>
          <w:sz w:val="24"/>
          <w:szCs w:val="24"/>
        </w:rPr>
      </w:pPr>
    </w:p>
    <w:p w14:paraId="6AD803B0" w14:textId="77777777" w:rsidR="009E02A1" w:rsidRDefault="00000000">
      <w:pP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Una vez realizadas las notificaciones, agréguese las mismas al expediente para su debida constancia y, en su oportunidad, archívese los expedientes como asunto total y definitivamente concluido.</w:t>
      </w:r>
    </w:p>
    <w:p w14:paraId="7C126D05" w14:textId="77777777" w:rsidR="009E02A1" w:rsidRDefault="009E02A1">
      <w:pPr>
        <w:spacing w:after="0" w:line="360" w:lineRule="auto"/>
        <w:jc w:val="both"/>
        <w:rPr>
          <w:rFonts w:ascii="Arial" w:eastAsia="Arial" w:hAnsi="Arial" w:cs="Arial"/>
          <w:color w:val="000000"/>
          <w:sz w:val="24"/>
          <w:szCs w:val="24"/>
        </w:rPr>
      </w:pPr>
    </w:p>
    <w:p w14:paraId="69ED6335" w14:textId="767673C7" w:rsidR="009E02A1"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Así, en reunión interna jurisdiccional </w:t>
      </w:r>
      <w:r w:rsidR="005D2868">
        <w:rPr>
          <w:rFonts w:ascii="Arial" w:eastAsia="Arial" w:hAnsi="Arial" w:cs="Arial"/>
          <w:sz w:val="24"/>
          <w:szCs w:val="24"/>
        </w:rPr>
        <w:t>celebrada el</w:t>
      </w:r>
      <w:r>
        <w:rPr>
          <w:rFonts w:ascii="Arial" w:eastAsia="Arial" w:hAnsi="Arial" w:cs="Arial"/>
          <w:sz w:val="24"/>
          <w:szCs w:val="24"/>
        </w:rPr>
        <w:t xml:space="preserve"> día de hoy, por unanimidad de votos, lo acordaron y firman las Magistraturas integrantes del Pleno del Tribunal Electoral del Estado, la Magistrada Presidenta </w:t>
      </w:r>
      <w:proofErr w:type="spellStart"/>
      <w:r>
        <w:rPr>
          <w:rFonts w:ascii="Arial" w:eastAsia="Arial" w:hAnsi="Arial" w:cs="Arial"/>
          <w:sz w:val="24"/>
          <w:szCs w:val="24"/>
        </w:rPr>
        <w:t>Amelí</w:t>
      </w:r>
      <w:proofErr w:type="spellEnd"/>
      <w:r>
        <w:rPr>
          <w:rFonts w:ascii="Arial" w:eastAsia="Arial" w:hAnsi="Arial" w:cs="Arial"/>
          <w:sz w:val="24"/>
          <w:szCs w:val="24"/>
        </w:rPr>
        <w:t xml:space="preserve"> </w:t>
      </w:r>
      <w:proofErr w:type="spellStart"/>
      <w:r>
        <w:rPr>
          <w:rFonts w:ascii="Arial" w:eastAsia="Arial" w:hAnsi="Arial" w:cs="Arial"/>
          <w:sz w:val="24"/>
          <w:szCs w:val="24"/>
        </w:rPr>
        <w:t>Gissel</w:t>
      </w:r>
      <w:proofErr w:type="spellEnd"/>
      <w:r>
        <w:rPr>
          <w:rFonts w:ascii="Arial" w:eastAsia="Arial" w:hAnsi="Arial" w:cs="Arial"/>
          <w:sz w:val="24"/>
          <w:szCs w:val="24"/>
        </w:rPr>
        <w:t xml:space="preserve"> Navarro Lepe, las Magistradas Yurisha Andrade Morales </w:t>
      </w:r>
      <w:r>
        <w:rPr>
          <w:rFonts w:ascii="Arial" w:eastAsia="Arial" w:hAnsi="Arial" w:cs="Arial"/>
          <w:i/>
          <w:iCs/>
          <w:sz w:val="24"/>
          <w:szCs w:val="24"/>
        </w:rPr>
        <w:t>-</w:t>
      </w:r>
      <w:r>
        <w:rPr>
          <w:rFonts w:ascii="Arial" w:eastAsia="Arial" w:hAnsi="Arial" w:cs="Arial"/>
          <w:sz w:val="24"/>
          <w:szCs w:val="24"/>
        </w:rPr>
        <w:t>quien fue ponente</w:t>
      </w:r>
      <w:r>
        <w:rPr>
          <w:rFonts w:ascii="Arial" w:eastAsia="Arial" w:hAnsi="Arial" w:cs="Arial"/>
          <w:i/>
          <w:iCs/>
          <w:sz w:val="24"/>
          <w:szCs w:val="24"/>
        </w:rPr>
        <w:t>-</w:t>
      </w:r>
      <w:r>
        <w:rPr>
          <w:rFonts w:ascii="Arial" w:eastAsia="Arial" w:hAnsi="Arial" w:cs="Arial"/>
          <w:sz w:val="24"/>
          <w:szCs w:val="24"/>
        </w:rPr>
        <w:t xml:space="preserve"> y Alma Rosa Bahena Villalobos</w:t>
      </w:r>
      <w:r w:rsidR="00671ED3">
        <w:rPr>
          <w:rFonts w:ascii="Arial" w:eastAsia="Arial" w:hAnsi="Arial" w:cs="Arial"/>
          <w:sz w:val="24"/>
          <w:szCs w:val="24"/>
        </w:rPr>
        <w:t>, así como</w:t>
      </w:r>
      <w:r>
        <w:rPr>
          <w:rFonts w:ascii="Arial" w:eastAsia="Arial" w:hAnsi="Arial" w:cs="Arial"/>
          <w:sz w:val="24"/>
          <w:szCs w:val="24"/>
        </w:rPr>
        <w:t xml:space="preserve"> los Magistrados Adrián Hernández Pinedo y Eric López Villaseñor, ante el Secretario General de Acuerdos, Jesús Renato García Rivera, quien autoriza y da fe.</w:t>
      </w:r>
    </w:p>
    <w:tbl>
      <w:tblPr>
        <w:tblW w:w="8648" w:type="dxa"/>
        <w:jc w:val="center"/>
        <w:tblLayout w:type="fixed"/>
        <w:tblLook w:val="0400" w:firstRow="0" w:lastRow="0" w:firstColumn="0" w:lastColumn="0" w:noHBand="0" w:noVBand="1"/>
      </w:tblPr>
      <w:tblGrid>
        <w:gridCol w:w="4241"/>
        <w:gridCol w:w="4407"/>
      </w:tblGrid>
      <w:tr w:rsidR="0016664F" w:rsidRPr="0016664F" w14:paraId="51327625" w14:textId="77777777" w:rsidTr="00AA1099">
        <w:trPr>
          <w:jc w:val="center"/>
        </w:trPr>
        <w:tc>
          <w:tcPr>
            <w:tcW w:w="8648" w:type="dxa"/>
            <w:gridSpan w:val="2"/>
          </w:tcPr>
          <w:p w14:paraId="0DCA6770" w14:textId="77777777" w:rsidR="0016664F" w:rsidRPr="0016664F" w:rsidRDefault="0016664F" w:rsidP="0016664F">
            <w:pPr>
              <w:pBdr>
                <w:top w:val="nil"/>
                <w:left w:val="nil"/>
                <w:bottom w:val="nil"/>
                <w:right w:val="nil"/>
                <w:between w:val="nil"/>
              </w:pBdr>
              <w:spacing w:after="0" w:line="240" w:lineRule="auto"/>
              <w:rPr>
                <w:rFonts w:ascii="Arial" w:eastAsia="Arial" w:hAnsi="Arial" w:cs="Arial"/>
                <w:b/>
                <w:color w:val="000000"/>
                <w:sz w:val="24"/>
                <w:szCs w:val="24"/>
                <w:lang w:val="es-ES"/>
              </w:rPr>
            </w:pPr>
            <w:bookmarkStart w:id="16" w:name="_Hlk214700668"/>
          </w:p>
          <w:p w14:paraId="28EEE511" w14:textId="77777777" w:rsidR="0016664F" w:rsidRPr="0016664F" w:rsidRDefault="0016664F" w:rsidP="0016664F">
            <w:pPr>
              <w:pBdr>
                <w:top w:val="nil"/>
                <w:left w:val="nil"/>
                <w:bottom w:val="nil"/>
                <w:right w:val="nil"/>
                <w:between w:val="nil"/>
              </w:pBdr>
              <w:spacing w:after="0" w:line="240" w:lineRule="auto"/>
              <w:rPr>
                <w:rFonts w:ascii="Arial" w:eastAsia="Arial" w:hAnsi="Arial" w:cs="Arial"/>
                <w:b/>
                <w:color w:val="000000"/>
                <w:sz w:val="24"/>
                <w:szCs w:val="24"/>
                <w:lang w:val="es-ES"/>
              </w:rPr>
            </w:pPr>
          </w:p>
          <w:p w14:paraId="6FD68B8C"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16664F">
              <w:rPr>
                <w:rFonts w:ascii="Arial" w:eastAsia="Arial" w:hAnsi="Arial" w:cs="Arial"/>
                <w:b/>
                <w:color w:val="000000"/>
                <w:sz w:val="24"/>
                <w:szCs w:val="24"/>
                <w:lang w:val="it-IT"/>
              </w:rPr>
              <w:t>MAGISTRADA PRESIDENTA</w:t>
            </w:r>
          </w:p>
          <w:p w14:paraId="14B479EA"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6AB5C9D1"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5B0C3F86"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7FEDE765"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64D30739"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0EC90787"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16664F">
              <w:rPr>
                <w:rFonts w:ascii="Arial" w:eastAsia="Arial" w:hAnsi="Arial" w:cs="Arial"/>
                <w:b/>
                <w:color w:val="000000"/>
                <w:sz w:val="24"/>
                <w:szCs w:val="24"/>
                <w:lang w:val="pt-PT"/>
              </w:rPr>
              <w:t>AMELÍ GISSEL NAVARRO LEPE</w:t>
            </w:r>
          </w:p>
        </w:tc>
      </w:tr>
      <w:tr w:rsidR="0016664F" w:rsidRPr="0016664F" w14:paraId="5304FCA6" w14:textId="77777777" w:rsidTr="00AA1099">
        <w:trPr>
          <w:jc w:val="center"/>
        </w:trPr>
        <w:tc>
          <w:tcPr>
            <w:tcW w:w="4241" w:type="dxa"/>
          </w:tcPr>
          <w:p w14:paraId="17EB5AD0"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3B078A38"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2B4E6A13"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7A482BAC"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3DC05E58"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17F02F5C"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16664F">
              <w:rPr>
                <w:rFonts w:ascii="Arial" w:eastAsia="Arial" w:hAnsi="Arial" w:cs="Arial"/>
                <w:b/>
                <w:color w:val="000000"/>
                <w:sz w:val="24"/>
                <w:szCs w:val="24"/>
                <w:lang w:val="es-ES"/>
              </w:rPr>
              <w:t>MAGISTRADA</w:t>
            </w:r>
          </w:p>
          <w:p w14:paraId="7455AAA5"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5806E0F"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B0B0180"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0457359"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367143F"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480728E"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16664F">
              <w:rPr>
                <w:rFonts w:ascii="Arial" w:eastAsia="Arial" w:hAnsi="Arial" w:cs="Arial"/>
                <w:b/>
                <w:color w:val="000000"/>
                <w:sz w:val="24"/>
                <w:szCs w:val="24"/>
                <w:lang w:val="es-ES"/>
              </w:rPr>
              <w:t>YURISHA ANDRADE MORALES</w:t>
            </w:r>
          </w:p>
        </w:tc>
        <w:tc>
          <w:tcPr>
            <w:tcW w:w="4407" w:type="dxa"/>
          </w:tcPr>
          <w:p w14:paraId="1EB777DF"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F7E6805"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F6988FE"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EB957CE"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76A6A61"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87FDE7C"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16664F">
              <w:rPr>
                <w:rFonts w:ascii="Arial" w:eastAsia="Arial" w:hAnsi="Arial" w:cs="Arial"/>
                <w:b/>
                <w:color w:val="000000"/>
                <w:sz w:val="24"/>
                <w:szCs w:val="24"/>
                <w:lang w:val="es-ES"/>
              </w:rPr>
              <w:t>MAGISTRADA</w:t>
            </w:r>
          </w:p>
          <w:p w14:paraId="1C870D52"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416C734"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8E4C325"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B1F578D"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C6EB8D3"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EB5798D" w14:textId="77777777" w:rsidR="0016664F" w:rsidRPr="0016664F" w:rsidRDefault="0016664F" w:rsidP="0016664F">
            <w:pPr>
              <w:pBdr>
                <w:top w:val="nil"/>
                <w:left w:val="nil"/>
                <w:bottom w:val="nil"/>
                <w:right w:val="nil"/>
                <w:between w:val="nil"/>
              </w:pBdr>
              <w:spacing w:after="0" w:line="240" w:lineRule="auto"/>
              <w:rPr>
                <w:rFonts w:ascii="Arial" w:eastAsia="Arial" w:hAnsi="Arial" w:cs="Arial"/>
                <w:b/>
                <w:color w:val="000000"/>
                <w:sz w:val="24"/>
                <w:szCs w:val="24"/>
                <w:lang w:val="es-ES"/>
              </w:rPr>
            </w:pPr>
            <w:r w:rsidRPr="0016664F">
              <w:rPr>
                <w:rFonts w:ascii="Arial" w:eastAsia="Arial" w:hAnsi="Arial" w:cs="Arial"/>
                <w:b/>
                <w:color w:val="000000"/>
                <w:sz w:val="24"/>
                <w:szCs w:val="24"/>
                <w:lang w:val="es-ES"/>
              </w:rPr>
              <w:t xml:space="preserve">ALMA ROSA BAHENA VILLALOBOS </w:t>
            </w:r>
          </w:p>
        </w:tc>
      </w:tr>
      <w:tr w:rsidR="0016664F" w:rsidRPr="0016664F" w14:paraId="5A88058D" w14:textId="77777777" w:rsidTr="00AA1099">
        <w:trPr>
          <w:jc w:val="center"/>
        </w:trPr>
        <w:tc>
          <w:tcPr>
            <w:tcW w:w="4241" w:type="dxa"/>
          </w:tcPr>
          <w:p w14:paraId="015D51C3"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4165711"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8170DFB"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7801D4A"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EA546EB"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59E8908"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16664F">
              <w:rPr>
                <w:rFonts w:ascii="Arial" w:eastAsia="Arial" w:hAnsi="Arial" w:cs="Arial"/>
                <w:b/>
                <w:color w:val="000000"/>
                <w:sz w:val="24"/>
                <w:szCs w:val="24"/>
                <w:lang w:val="es-ES"/>
              </w:rPr>
              <w:t>MAGISTRADO</w:t>
            </w:r>
          </w:p>
          <w:p w14:paraId="2DFB9B59"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8837BF3"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736F237"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1F7191F"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F8B9EBE"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A55A8D5"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16664F">
              <w:rPr>
                <w:rFonts w:ascii="Arial" w:eastAsia="Arial" w:hAnsi="Arial" w:cs="Arial"/>
                <w:b/>
                <w:color w:val="000000"/>
                <w:sz w:val="24"/>
                <w:szCs w:val="24"/>
                <w:lang w:val="es-ES"/>
              </w:rPr>
              <w:t xml:space="preserve">ADRIÁN HERNÁNDEZ PINEDO </w:t>
            </w:r>
          </w:p>
        </w:tc>
        <w:tc>
          <w:tcPr>
            <w:tcW w:w="4407" w:type="dxa"/>
          </w:tcPr>
          <w:p w14:paraId="633AA3A2"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5BA456CA"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555D1D28"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7034779F"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7DE04C7"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B69FD12"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16664F">
              <w:rPr>
                <w:rFonts w:ascii="Arial" w:eastAsia="Arial" w:hAnsi="Arial" w:cs="Arial"/>
                <w:b/>
                <w:color w:val="000000"/>
                <w:sz w:val="24"/>
                <w:szCs w:val="24"/>
                <w:lang w:val="pt-PT"/>
              </w:rPr>
              <w:t>MAGISTRADO</w:t>
            </w:r>
          </w:p>
          <w:p w14:paraId="7C1E468B"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30854CBD"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4DDCD73"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4C1F5FA3"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6AA4C628"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4E52D37B"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16664F">
              <w:rPr>
                <w:rFonts w:ascii="Arial" w:eastAsia="Arial" w:hAnsi="Arial" w:cs="Arial"/>
                <w:b/>
                <w:color w:val="000000"/>
                <w:sz w:val="24"/>
                <w:szCs w:val="24"/>
                <w:lang w:val="es-ES"/>
              </w:rPr>
              <w:t>ERIC LÓPEZ VILLASEÑOR</w:t>
            </w:r>
            <w:r w:rsidRPr="0016664F">
              <w:rPr>
                <w:rFonts w:ascii="Arial" w:eastAsia="Arial" w:hAnsi="Arial" w:cs="Arial"/>
                <w:b/>
                <w:color w:val="000000"/>
                <w:sz w:val="24"/>
                <w:szCs w:val="24"/>
                <w:lang w:val="pt-PT"/>
              </w:rPr>
              <w:t xml:space="preserve"> </w:t>
            </w:r>
          </w:p>
        </w:tc>
      </w:tr>
      <w:tr w:rsidR="0016664F" w:rsidRPr="0016664F" w14:paraId="23F616A7" w14:textId="77777777" w:rsidTr="00AA1099">
        <w:trPr>
          <w:jc w:val="center"/>
        </w:trPr>
        <w:tc>
          <w:tcPr>
            <w:tcW w:w="8648" w:type="dxa"/>
            <w:gridSpan w:val="2"/>
          </w:tcPr>
          <w:p w14:paraId="2F49D355"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3E3D26F1" w14:textId="77777777" w:rsidR="0016664F" w:rsidRPr="0016664F" w:rsidRDefault="0016664F" w:rsidP="0016664F">
            <w:pPr>
              <w:pBdr>
                <w:top w:val="nil"/>
                <w:left w:val="nil"/>
                <w:bottom w:val="nil"/>
                <w:right w:val="nil"/>
                <w:between w:val="nil"/>
              </w:pBdr>
              <w:spacing w:after="0" w:line="240" w:lineRule="auto"/>
              <w:rPr>
                <w:rFonts w:ascii="Arial" w:eastAsia="Arial" w:hAnsi="Arial" w:cs="Arial"/>
                <w:b/>
                <w:color w:val="000000"/>
                <w:sz w:val="24"/>
                <w:szCs w:val="24"/>
                <w:lang w:val="es-ES"/>
              </w:rPr>
            </w:pPr>
          </w:p>
          <w:p w14:paraId="4B0BB4D5"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B251B95" w14:textId="77777777" w:rsid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4BC31C0" w14:textId="77777777" w:rsidR="00671ED3" w:rsidRPr="0016664F" w:rsidRDefault="00671ED3"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99FF28D"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16664F">
              <w:rPr>
                <w:rFonts w:ascii="Arial" w:eastAsia="Arial" w:hAnsi="Arial" w:cs="Arial"/>
                <w:b/>
                <w:color w:val="000000"/>
                <w:sz w:val="24"/>
                <w:szCs w:val="24"/>
                <w:lang w:val="es-ES"/>
              </w:rPr>
              <w:t>SECRETARIO GENERAL DE ACUERDOS</w:t>
            </w:r>
          </w:p>
          <w:p w14:paraId="0828F9BF"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701C4DE"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9EA4022"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AAB16C3"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09542CF"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930BE5D"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16664F">
              <w:rPr>
                <w:rFonts w:ascii="Arial" w:eastAsia="Arial" w:hAnsi="Arial" w:cs="Arial"/>
                <w:b/>
                <w:color w:val="000000"/>
                <w:sz w:val="24"/>
                <w:szCs w:val="24"/>
                <w:lang w:val="es-ES"/>
              </w:rPr>
              <w:t>JESÚS RENATO GARCÍA RIVERA</w:t>
            </w:r>
          </w:p>
          <w:p w14:paraId="6E03D458" w14:textId="77777777" w:rsidR="0016664F" w:rsidRPr="0016664F" w:rsidRDefault="0016664F" w:rsidP="0016664F">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tc>
      </w:tr>
    </w:tbl>
    <w:bookmarkEnd w:id="16"/>
    <w:p w14:paraId="393D1640" w14:textId="33A4B1DD" w:rsidR="002068E8" w:rsidRDefault="0016664F" w:rsidP="002068E8">
      <w:pPr>
        <w:spacing w:after="0" w:line="240" w:lineRule="auto"/>
        <w:ind w:right="-35"/>
        <w:jc w:val="both"/>
        <w:rPr>
          <w:rFonts w:ascii="Arial Narrow" w:eastAsia="Arial Narrow" w:hAnsi="Arial Narrow" w:cs="Arial Narrow"/>
          <w:sz w:val="20"/>
          <w:szCs w:val="20"/>
          <w:lang w:val="es-ES_tradnl"/>
        </w:rPr>
      </w:pPr>
      <w:r w:rsidRPr="00663BCE">
        <w:rPr>
          <w:rFonts w:ascii="Arial Narrow" w:hAnsi="Arial Narrow" w:cs="Arial"/>
          <w:sz w:val="20"/>
          <w:szCs w:val="20"/>
        </w:rPr>
        <w:lastRenderedPageBreak/>
        <w:t>El suscrito Jesús Renato García Rivera, Secretario General de Acuerdos del Tribunal Electoral del Estado, con fundamento en los artículos 69 fracci</w:t>
      </w:r>
      <w:r>
        <w:rPr>
          <w:rFonts w:ascii="Arial Narrow" w:hAnsi="Arial Narrow" w:cs="Arial"/>
          <w:sz w:val="20"/>
          <w:szCs w:val="20"/>
        </w:rPr>
        <w:t>ón</w:t>
      </w:r>
      <w:r w:rsidRPr="00663BCE">
        <w:rPr>
          <w:rFonts w:ascii="Arial Narrow" w:hAnsi="Arial Narrow" w:cs="Arial"/>
          <w:sz w:val="20"/>
          <w:szCs w:val="20"/>
        </w:rPr>
        <w:t xml:space="preserve"> VII del Código Electoral del Estado de Michoacán de Ocampo y 66, fracciones I y II del Reglamento Interior del Tribunal Electoral del Estado, hago constar que las firmas que obran en el presente documento, corresponden a</w:t>
      </w:r>
      <w:r>
        <w:rPr>
          <w:rFonts w:ascii="Arial Narrow" w:hAnsi="Arial Narrow" w:cs="Arial"/>
          <w:sz w:val="20"/>
          <w:szCs w:val="20"/>
        </w:rPr>
        <w:t xml:space="preserve">l </w:t>
      </w:r>
      <w:r w:rsidR="00C059DB">
        <w:rPr>
          <w:rFonts w:ascii="Arial Narrow" w:hAnsi="Arial Narrow" w:cs="Arial"/>
          <w:sz w:val="20"/>
          <w:szCs w:val="20"/>
        </w:rPr>
        <w:t>a</w:t>
      </w:r>
      <w:r>
        <w:rPr>
          <w:rFonts w:ascii="Arial Narrow" w:hAnsi="Arial Narrow" w:cs="Arial"/>
          <w:sz w:val="20"/>
          <w:szCs w:val="20"/>
        </w:rPr>
        <w:t xml:space="preserve">cuerdo </w:t>
      </w:r>
      <w:r w:rsidR="00C059DB">
        <w:rPr>
          <w:rFonts w:ascii="Arial Narrow" w:hAnsi="Arial Narrow" w:cs="Arial"/>
          <w:sz w:val="20"/>
          <w:szCs w:val="20"/>
        </w:rPr>
        <w:t>pl</w:t>
      </w:r>
      <w:r>
        <w:rPr>
          <w:rFonts w:ascii="Arial Narrow" w:hAnsi="Arial Narrow" w:cs="Arial"/>
          <w:sz w:val="20"/>
          <w:szCs w:val="20"/>
        </w:rPr>
        <w:t xml:space="preserve">enario de </w:t>
      </w:r>
      <w:r w:rsidR="00C059DB">
        <w:rPr>
          <w:rFonts w:ascii="Arial Narrow" w:hAnsi="Arial Narrow" w:cs="Arial"/>
          <w:sz w:val="20"/>
          <w:szCs w:val="20"/>
        </w:rPr>
        <w:t>c</w:t>
      </w:r>
      <w:r>
        <w:rPr>
          <w:rFonts w:ascii="Arial Narrow" w:hAnsi="Arial Narrow" w:cs="Arial"/>
          <w:sz w:val="20"/>
          <w:szCs w:val="20"/>
        </w:rPr>
        <w:t>umplimiento</w:t>
      </w:r>
      <w:r w:rsidR="00C059DB">
        <w:rPr>
          <w:rFonts w:ascii="Arial Narrow" w:hAnsi="Arial Narrow" w:cs="Arial"/>
          <w:sz w:val="20"/>
          <w:szCs w:val="20"/>
        </w:rPr>
        <w:t xml:space="preserve">, </w:t>
      </w:r>
      <w:r w:rsidRPr="00663BCE">
        <w:rPr>
          <w:rFonts w:ascii="Arial Narrow" w:hAnsi="Arial Narrow" w:cs="Arial"/>
          <w:sz w:val="20"/>
          <w:szCs w:val="20"/>
        </w:rPr>
        <w:t>emitid</w:t>
      </w:r>
      <w:r>
        <w:rPr>
          <w:rFonts w:ascii="Arial Narrow" w:hAnsi="Arial Narrow" w:cs="Arial"/>
          <w:sz w:val="20"/>
          <w:szCs w:val="20"/>
        </w:rPr>
        <w:t>o</w:t>
      </w:r>
      <w:r w:rsidRPr="00663BCE">
        <w:rPr>
          <w:rFonts w:ascii="Arial Narrow" w:hAnsi="Arial Narrow" w:cs="Arial"/>
          <w:sz w:val="20"/>
          <w:szCs w:val="20"/>
        </w:rPr>
        <w:t xml:space="preserve"> por el Pleno del Tribunal Electoral del Estado</w:t>
      </w:r>
      <w:r>
        <w:rPr>
          <w:rFonts w:ascii="Arial Narrow" w:hAnsi="Arial Narrow" w:cs="Arial"/>
          <w:sz w:val="20"/>
          <w:szCs w:val="20"/>
        </w:rPr>
        <w:t xml:space="preserve">, </w:t>
      </w:r>
      <w:r w:rsidRPr="00663BCE">
        <w:rPr>
          <w:rFonts w:ascii="Arial Narrow" w:hAnsi="Arial Narrow" w:cs="Arial"/>
          <w:sz w:val="20"/>
          <w:szCs w:val="20"/>
        </w:rPr>
        <w:t xml:space="preserve">en </w:t>
      </w:r>
      <w:r>
        <w:rPr>
          <w:rFonts w:ascii="Arial Narrow" w:hAnsi="Arial Narrow" w:cs="Arial"/>
          <w:sz w:val="20"/>
          <w:szCs w:val="20"/>
        </w:rPr>
        <w:t xml:space="preserve">reunión interna jurisdiccional </w:t>
      </w:r>
      <w:r w:rsidRPr="00663BCE">
        <w:rPr>
          <w:rFonts w:ascii="Arial Narrow" w:hAnsi="Arial Narrow" w:cs="Arial"/>
          <w:sz w:val="20"/>
          <w:szCs w:val="20"/>
        </w:rPr>
        <w:t>celebrada el veint</w:t>
      </w:r>
      <w:r>
        <w:rPr>
          <w:rFonts w:ascii="Arial Narrow" w:hAnsi="Arial Narrow" w:cs="Arial"/>
          <w:sz w:val="20"/>
          <w:szCs w:val="20"/>
        </w:rPr>
        <w:t>icinco</w:t>
      </w:r>
      <w:r w:rsidRPr="00663BCE">
        <w:rPr>
          <w:rFonts w:ascii="Arial Narrow" w:hAnsi="Arial Narrow" w:cs="Arial"/>
          <w:sz w:val="20"/>
          <w:szCs w:val="20"/>
        </w:rPr>
        <w:t xml:space="preserve"> de noviembre de dos mil veinticinco, en el </w:t>
      </w:r>
      <w:r>
        <w:rPr>
          <w:rFonts w:ascii="Arial Narrow" w:hAnsi="Arial Narrow" w:cs="Arial"/>
          <w:sz w:val="20"/>
          <w:szCs w:val="20"/>
        </w:rPr>
        <w:t>Procedimiento Especial Sancionador</w:t>
      </w:r>
      <w:r w:rsidRPr="00663BCE">
        <w:rPr>
          <w:rFonts w:ascii="Arial Narrow" w:hAnsi="Arial Narrow" w:cs="Arial"/>
          <w:sz w:val="20"/>
          <w:szCs w:val="20"/>
        </w:rPr>
        <w:t xml:space="preserve"> </w:t>
      </w:r>
      <w:r w:rsidRPr="00663BCE">
        <w:rPr>
          <w:rFonts w:ascii="Arial Narrow" w:hAnsi="Arial Narrow" w:cs="Arial"/>
          <w:b/>
          <w:bCs/>
          <w:sz w:val="20"/>
          <w:szCs w:val="20"/>
        </w:rPr>
        <w:t>TEEM-</w:t>
      </w:r>
      <w:r>
        <w:rPr>
          <w:rFonts w:ascii="Arial Narrow" w:hAnsi="Arial Narrow" w:cs="Arial"/>
          <w:b/>
          <w:bCs/>
          <w:sz w:val="20"/>
          <w:szCs w:val="20"/>
        </w:rPr>
        <w:t>PES</w:t>
      </w:r>
      <w:r w:rsidRPr="00663BCE">
        <w:rPr>
          <w:rFonts w:ascii="Arial Narrow" w:hAnsi="Arial Narrow" w:cs="Arial"/>
          <w:b/>
          <w:bCs/>
          <w:sz w:val="20"/>
          <w:szCs w:val="20"/>
        </w:rPr>
        <w:t>-</w:t>
      </w:r>
      <w:r>
        <w:rPr>
          <w:rFonts w:ascii="Arial Narrow" w:hAnsi="Arial Narrow" w:cs="Arial"/>
          <w:b/>
          <w:bCs/>
          <w:sz w:val="20"/>
          <w:szCs w:val="20"/>
        </w:rPr>
        <w:t>VPMG-199</w:t>
      </w:r>
      <w:r w:rsidRPr="00663BCE">
        <w:rPr>
          <w:rFonts w:ascii="Arial Narrow" w:hAnsi="Arial Narrow" w:cs="Arial"/>
          <w:b/>
          <w:bCs/>
          <w:sz w:val="20"/>
          <w:szCs w:val="20"/>
        </w:rPr>
        <w:t>/202</w:t>
      </w:r>
      <w:r>
        <w:rPr>
          <w:rFonts w:ascii="Arial Narrow" w:hAnsi="Arial Narrow" w:cs="Arial"/>
          <w:b/>
          <w:bCs/>
          <w:sz w:val="20"/>
          <w:szCs w:val="20"/>
        </w:rPr>
        <w:t>4</w:t>
      </w:r>
      <w:r>
        <w:rPr>
          <w:rFonts w:ascii="Arial Narrow" w:hAnsi="Arial Narrow" w:cs="Arial"/>
          <w:sz w:val="20"/>
          <w:szCs w:val="20"/>
        </w:rPr>
        <w:t xml:space="preserve">; </w:t>
      </w:r>
      <w:r w:rsidRPr="002068E8">
        <w:rPr>
          <w:rFonts w:ascii="Arial Narrow" w:eastAsia="Arial Narrow" w:hAnsi="Arial Narrow" w:cs="Arial Narrow"/>
          <w:sz w:val="20"/>
          <w:szCs w:val="20"/>
          <w:lang w:val="es-ES_tradnl"/>
        </w:rPr>
        <w:t xml:space="preserve">documento que consta de veintisiete páginas, incluida la presente. </w:t>
      </w:r>
      <w:r w:rsidRPr="002068E8">
        <w:rPr>
          <w:rFonts w:ascii="Arial Narrow" w:eastAsia="Arial Narrow" w:hAnsi="Arial Narrow" w:cs="Arial Narrow"/>
          <w:b/>
          <w:bCs/>
          <w:sz w:val="20"/>
          <w:szCs w:val="20"/>
          <w:lang w:val="es-ES_tradnl"/>
        </w:rPr>
        <w:t>Doy fe.</w:t>
      </w:r>
    </w:p>
    <w:p w14:paraId="5C1247A1" w14:textId="77777777" w:rsidR="002068E8" w:rsidRPr="002068E8" w:rsidRDefault="002068E8" w:rsidP="002068E8">
      <w:pPr>
        <w:spacing w:after="0" w:line="240" w:lineRule="auto"/>
        <w:ind w:right="-35"/>
        <w:jc w:val="both"/>
        <w:rPr>
          <w:rFonts w:ascii="Arial Narrow" w:eastAsia="Arial Narrow" w:hAnsi="Arial Narrow" w:cs="Arial Narrow"/>
          <w:sz w:val="20"/>
          <w:szCs w:val="20"/>
          <w:lang w:val="es-ES_tradnl"/>
        </w:rPr>
      </w:pPr>
    </w:p>
    <w:p w14:paraId="1F476A83" w14:textId="6C52A2D1" w:rsidR="0016664F" w:rsidRPr="002068E8" w:rsidRDefault="0016664F" w:rsidP="002068E8">
      <w:pPr>
        <w:spacing w:after="0" w:line="240" w:lineRule="auto"/>
        <w:ind w:right="-35"/>
        <w:jc w:val="both"/>
        <w:rPr>
          <w:rFonts w:ascii="Arial Narrow" w:eastAsia="Arial Narrow" w:hAnsi="Arial Narrow" w:cs="Arial Narrow"/>
          <w:sz w:val="20"/>
          <w:szCs w:val="20"/>
          <w:lang w:val="es-ES_tradnl"/>
        </w:rPr>
      </w:pPr>
      <w:r w:rsidRPr="002068E8">
        <w:rPr>
          <w:rFonts w:ascii="Arial Narrow" w:eastAsia="Arial Narrow" w:hAnsi="Arial Narrow" w:cs="Arial Narrow"/>
          <w:sz w:val="20"/>
          <w:szCs w:val="20"/>
          <w:lang w:val="es-ES_tradnl"/>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468F3C33" w14:textId="77777777" w:rsidR="0016664F" w:rsidRDefault="0016664F">
      <w:pPr>
        <w:spacing w:after="0"/>
        <w:jc w:val="both"/>
        <w:rPr>
          <w:rFonts w:ascii="Arial" w:eastAsia="Arial" w:hAnsi="Arial" w:cs="Arial"/>
          <w:sz w:val="18"/>
          <w:szCs w:val="18"/>
        </w:rPr>
      </w:pPr>
    </w:p>
    <w:p w14:paraId="655371B5" w14:textId="77777777" w:rsidR="0016664F" w:rsidRDefault="0016664F">
      <w:pPr>
        <w:spacing w:after="0"/>
        <w:jc w:val="both"/>
        <w:rPr>
          <w:rFonts w:ascii="Arial" w:eastAsia="Arial" w:hAnsi="Arial" w:cs="Arial"/>
          <w:sz w:val="18"/>
          <w:szCs w:val="18"/>
        </w:rPr>
      </w:pPr>
    </w:p>
    <w:p w14:paraId="62AC10ED" w14:textId="77777777" w:rsidR="0016664F" w:rsidRDefault="0016664F">
      <w:pPr>
        <w:spacing w:after="0"/>
        <w:jc w:val="both"/>
        <w:rPr>
          <w:rFonts w:ascii="Arial" w:eastAsia="Arial" w:hAnsi="Arial" w:cs="Arial"/>
          <w:sz w:val="18"/>
          <w:szCs w:val="18"/>
        </w:rPr>
      </w:pPr>
    </w:p>
    <w:p w14:paraId="4363062A" w14:textId="2BAE3EB3" w:rsidR="009E02A1" w:rsidRDefault="009E02A1">
      <w:pPr>
        <w:jc w:val="both"/>
        <w:rPr>
          <w:rFonts w:ascii="Arial" w:eastAsia="Arial" w:hAnsi="Arial" w:cs="Arial"/>
          <w:b/>
          <w:bCs/>
          <w:sz w:val="18"/>
          <w:szCs w:val="18"/>
        </w:rPr>
      </w:pPr>
    </w:p>
    <w:sectPr w:rsidR="009E02A1" w:rsidSect="0016664F">
      <w:headerReference w:type="default" r:id="rId13"/>
      <w:footerReference w:type="default" r:id="rId14"/>
      <w:headerReference w:type="first" r:id="rId15"/>
      <w:pgSz w:w="12240" w:h="18720"/>
      <w:pgMar w:top="1418" w:right="1134" w:bottom="1418" w:left="2268" w:header="425" w:footer="23"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FC14E" w14:textId="77777777" w:rsidR="00B33E3A" w:rsidRDefault="00B33E3A">
      <w:pPr>
        <w:spacing w:after="0" w:line="240" w:lineRule="auto"/>
      </w:pPr>
      <w:r>
        <w:separator/>
      </w:r>
    </w:p>
  </w:endnote>
  <w:endnote w:type="continuationSeparator" w:id="0">
    <w:p w14:paraId="0808C8EF" w14:textId="77777777" w:rsidR="00B33E3A" w:rsidRDefault="00B33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embedRegular r:id="rId1" w:fontKey="{4F2A47DF-E100-4B5E-8FAC-1315E3B579A3}"/>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B3EBD79D-98E9-4BB1-9F83-6D81115ACE3C}"/>
    <w:embedBold r:id="rId3" w:fontKey="{9D578C7C-9B86-4CA0-AF8A-7F6B9B2976DB}"/>
  </w:font>
  <w:font w:name="Segoe UI">
    <w:panose1 w:val="020B0502040204020203"/>
    <w:charset w:val="00"/>
    <w:family w:val="swiss"/>
    <w:pitch w:val="variable"/>
    <w:sig w:usb0="E4002EFF" w:usb1="C000E47F" w:usb2="00000009" w:usb3="00000000" w:csb0="000001FF" w:csb1="00000000"/>
    <w:embedRegular r:id="rId4" w:fontKey="{EF93314E-3090-4A4F-AC7F-BE0D9B00D3E7}"/>
  </w:font>
  <w:font w:name="Calibri Light">
    <w:panose1 w:val="020F0302020204030204"/>
    <w:charset w:val="00"/>
    <w:family w:val="swiss"/>
    <w:pitch w:val="variable"/>
    <w:sig w:usb0="E4002EFF" w:usb1="C200247B" w:usb2="00000009" w:usb3="00000000" w:csb0="000001FF" w:csb1="00000000"/>
    <w:embedRegular r:id="rId5" w:fontKey="{D7C49D88-B645-4ECD-92B9-6286DA25A6A1}"/>
  </w:font>
  <w:font w:name="Georgia">
    <w:panose1 w:val="02040502050405020303"/>
    <w:charset w:val="00"/>
    <w:family w:val="roman"/>
    <w:pitch w:val="variable"/>
    <w:sig w:usb0="00000287" w:usb1="00000000" w:usb2="00000000" w:usb3="00000000" w:csb0="0000009F" w:csb1="00000000"/>
    <w:embedItalic r:id="rId6" w:fontKey="{58515725-7579-4FCA-BA03-C2224023B368}"/>
  </w:font>
  <w:font w:name="Arial Narrow">
    <w:panose1 w:val="020B0606020202030204"/>
    <w:charset w:val="00"/>
    <w:family w:val="swiss"/>
    <w:pitch w:val="variable"/>
    <w:sig w:usb0="00000287" w:usb1="00000800" w:usb2="00000000" w:usb3="00000000" w:csb0="0000009F" w:csb1="00000000"/>
    <w:embedRegular r:id="rId7" w:fontKey="{D5C0EE4C-6E32-4428-B9B9-AEB1DD03FF14}"/>
    <w:embedBold r:id="rId8" w:fontKey="{EABDD574-3E4E-4DC5-A6AA-D5E6E0E1DC07}"/>
    <w:embedItalic r:id="rId9" w:fontKey="{D6D43086-5585-4A06-A39A-B1F85ECB3CD8}"/>
    <w:embedBoldItalic r:id="rId10" w:fontKey="{30BF346A-BE0E-44A5-B734-459D6C19096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81AFD" w14:textId="77777777" w:rsidR="009E02A1" w:rsidRDefault="00000000">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sidR="0016664F">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152037ED" w14:textId="77777777" w:rsidR="009E02A1" w:rsidRDefault="009E02A1">
    <w:pPr>
      <w:pBdr>
        <w:top w:val="nil"/>
        <w:left w:val="nil"/>
        <w:bottom w:val="nil"/>
        <w:right w:val="nil"/>
        <w:between w:val="nil"/>
      </w:pBdr>
      <w:tabs>
        <w:tab w:val="center" w:pos="4419"/>
        <w:tab w:val="right" w:pos="8838"/>
      </w:tabs>
      <w:spacing w:after="0" w:line="240" w:lineRule="auto"/>
      <w:rPr>
        <w:color w:val="000000"/>
      </w:rPr>
    </w:pPr>
  </w:p>
  <w:p w14:paraId="100E34AD" w14:textId="77777777" w:rsidR="009E02A1" w:rsidRDefault="009E02A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AFED7" w14:textId="77777777" w:rsidR="00B33E3A" w:rsidRDefault="00B33E3A">
      <w:pPr>
        <w:spacing w:after="0" w:line="240" w:lineRule="auto"/>
      </w:pPr>
      <w:r>
        <w:separator/>
      </w:r>
    </w:p>
  </w:footnote>
  <w:footnote w:type="continuationSeparator" w:id="0">
    <w:p w14:paraId="3A66AB9F" w14:textId="77777777" w:rsidR="00B33E3A" w:rsidRDefault="00B33E3A">
      <w:pPr>
        <w:spacing w:after="0" w:line="240" w:lineRule="auto"/>
      </w:pPr>
      <w:r>
        <w:continuationSeparator/>
      </w:r>
    </w:p>
  </w:footnote>
  <w:footnote w:id="1">
    <w:p w14:paraId="34AFABC4"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Todas las fechas corresponden al año dos mil veinticinco, salvo señalamiento expreso. </w:t>
      </w:r>
    </w:p>
  </w:footnote>
  <w:footnote w:id="2">
    <w:p w14:paraId="525D4E4D"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iCs/>
          <w:color w:val="000000"/>
          <w:sz w:val="20"/>
          <w:szCs w:val="20"/>
        </w:rPr>
        <w:t xml:space="preserve">Órgano jurisdiccional </w:t>
      </w:r>
      <w:r>
        <w:rPr>
          <w:rFonts w:ascii="Arial" w:eastAsia="Arial" w:hAnsi="Arial" w:cs="Arial"/>
          <w:color w:val="000000"/>
          <w:sz w:val="20"/>
          <w:szCs w:val="20"/>
        </w:rPr>
        <w:t>y/o</w:t>
      </w:r>
      <w:r>
        <w:rPr>
          <w:rFonts w:ascii="Arial" w:eastAsia="Arial" w:hAnsi="Arial" w:cs="Arial"/>
          <w:i/>
          <w:iCs/>
          <w:color w:val="000000"/>
          <w:sz w:val="20"/>
          <w:szCs w:val="20"/>
        </w:rPr>
        <w:t xml:space="preserve"> Tribunal Electoral.</w:t>
      </w:r>
      <w:r>
        <w:rPr>
          <w:rFonts w:ascii="Arial" w:eastAsia="Arial" w:hAnsi="Arial" w:cs="Arial"/>
          <w:color w:val="000000"/>
          <w:sz w:val="20"/>
          <w:szCs w:val="20"/>
        </w:rPr>
        <w:t xml:space="preserve"> </w:t>
      </w:r>
    </w:p>
  </w:footnote>
  <w:footnote w:id="3">
    <w:p w14:paraId="6091C07B"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de la foja 481a la 510 del Tomo V.</w:t>
      </w:r>
    </w:p>
  </w:footnote>
  <w:footnote w:id="4">
    <w:p w14:paraId="529206B9"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de la foja 511 a la 520 del Tomo V.</w:t>
      </w:r>
    </w:p>
  </w:footnote>
  <w:footnote w:id="5">
    <w:p w14:paraId="4718D175"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en la foja 11 del Tomo VI.</w:t>
      </w:r>
    </w:p>
  </w:footnote>
  <w:footnote w:id="6">
    <w:p w14:paraId="1E283EB6"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iCs/>
          <w:color w:val="000000"/>
          <w:sz w:val="20"/>
          <w:szCs w:val="20"/>
        </w:rPr>
        <w:t>INE.</w:t>
      </w:r>
    </w:p>
  </w:footnote>
  <w:footnote w:id="7">
    <w:p w14:paraId="08FA915B"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iCs/>
          <w:color w:val="000000"/>
          <w:sz w:val="20"/>
          <w:szCs w:val="20"/>
        </w:rPr>
        <w:t xml:space="preserve">IEM. </w:t>
      </w:r>
    </w:p>
  </w:footnote>
  <w:footnote w:id="8">
    <w:p w14:paraId="0FA6FD3E"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iCs/>
          <w:color w:val="000000"/>
          <w:sz w:val="20"/>
          <w:szCs w:val="20"/>
        </w:rPr>
        <w:t>denunciado.</w:t>
      </w:r>
      <w:r>
        <w:rPr>
          <w:rFonts w:ascii="Arial" w:eastAsia="Arial" w:hAnsi="Arial" w:cs="Arial"/>
          <w:color w:val="000000"/>
          <w:sz w:val="20"/>
          <w:szCs w:val="20"/>
        </w:rPr>
        <w:t xml:space="preserve"> </w:t>
      </w:r>
    </w:p>
  </w:footnote>
  <w:footnote w:id="9">
    <w:p w14:paraId="144DFB4F"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iCs/>
          <w:color w:val="000000"/>
          <w:sz w:val="20"/>
          <w:szCs w:val="20"/>
        </w:rPr>
        <w:t>Registro Nacional</w:t>
      </w:r>
      <w:r>
        <w:rPr>
          <w:rFonts w:ascii="Arial" w:eastAsia="Arial" w:hAnsi="Arial" w:cs="Arial"/>
          <w:color w:val="000000"/>
          <w:sz w:val="20"/>
          <w:szCs w:val="20"/>
        </w:rPr>
        <w:t>.</w:t>
      </w:r>
    </w:p>
  </w:footnote>
  <w:footnote w:id="10">
    <w:p w14:paraId="0EAEB9A1"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iCs/>
          <w:color w:val="000000"/>
          <w:sz w:val="20"/>
          <w:szCs w:val="20"/>
        </w:rPr>
        <w:t>Registro Estatal</w:t>
      </w:r>
      <w:r>
        <w:rPr>
          <w:rFonts w:ascii="Arial" w:eastAsia="Arial" w:hAnsi="Arial" w:cs="Arial"/>
          <w:color w:val="000000"/>
          <w:sz w:val="20"/>
          <w:szCs w:val="20"/>
        </w:rPr>
        <w:t xml:space="preserve">. </w:t>
      </w:r>
    </w:p>
  </w:footnote>
  <w:footnote w:id="11">
    <w:p w14:paraId="6014043E"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en la foja 21 del Tomo VI.</w:t>
      </w:r>
    </w:p>
  </w:footnote>
  <w:footnote w:id="12">
    <w:p w14:paraId="7AF3A58C"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en la foja 31 del Tomo VI.</w:t>
      </w:r>
    </w:p>
  </w:footnote>
  <w:footnote w:id="13">
    <w:p w14:paraId="7022E2B1"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iCs/>
          <w:color w:val="000000"/>
          <w:sz w:val="20"/>
          <w:szCs w:val="20"/>
        </w:rPr>
        <w:t>SMRT.</w:t>
      </w:r>
    </w:p>
  </w:footnote>
  <w:footnote w:id="14">
    <w:p w14:paraId="055FA3CE"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Visibles en la foja 47, 51, 60, 64 y 87, respectivamente, del Tomo VI.</w:t>
      </w:r>
    </w:p>
  </w:footnote>
  <w:footnote w:id="15">
    <w:p w14:paraId="411BC0EC"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91 del Tomo VI. </w:t>
      </w:r>
    </w:p>
  </w:footnote>
  <w:footnote w:id="16">
    <w:p w14:paraId="60C4E238"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en foja 105 del Tomo VI.</w:t>
      </w:r>
    </w:p>
  </w:footnote>
  <w:footnote w:id="17">
    <w:p w14:paraId="7C2758EE"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120 del Tomo VI. </w:t>
      </w:r>
    </w:p>
  </w:footnote>
  <w:footnote w:id="18">
    <w:p w14:paraId="0C8B9375"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en foja 105 del Tomo VI.</w:t>
      </w:r>
    </w:p>
  </w:footnote>
  <w:footnote w:id="19">
    <w:p w14:paraId="61A49FAE"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149 del Tomo VI. </w:t>
      </w:r>
    </w:p>
  </w:footnote>
  <w:footnote w:id="20">
    <w:p w14:paraId="038ECE8D"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164 del Tomo VI.</w:t>
      </w:r>
    </w:p>
  </w:footnote>
  <w:footnote w:id="21">
    <w:p w14:paraId="18969FC3"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172 del Tomo VI.</w:t>
      </w:r>
    </w:p>
  </w:footnote>
  <w:footnote w:id="22">
    <w:p w14:paraId="657BB994"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182 del Tomo VI.</w:t>
      </w:r>
    </w:p>
  </w:footnote>
  <w:footnote w:id="23">
    <w:p w14:paraId="568B5661"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en foja 187 del Tomo VI.</w:t>
      </w:r>
    </w:p>
  </w:footnote>
  <w:footnote w:id="24">
    <w:p w14:paraId="3A7DAB7E"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191 del Tomo VI.</w:t>
      </w:r>
    </w:p>
  </w:footnote>
  <w:footnote w:id="25">
    <w:p w14:paraId="0228DBF7"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207 del Tomo VI.</w:t>
      </w:r>
    </w:p>
  </w:footnote>
  <w:footnote w:id="26">
    <w:p w14:paraId="748B4860"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w:t>
      </w:r>
      <w:r>
        <w:rPr>
          <w:rFonts w:ascii="Arial" w:eastAsia="Arial" w:hAnsi="Arial" w:cs="Arial"/>
          <w:i/>
          <w:iCs/>
          <w:color w:val="000000"/>
          <w:sz w:val="20"/>
          <w:szCs w:val="20"/>
        </w:rPr>
        <w:t xml:space="preserve"> Constitución Federal.</w:t>
      </w:r>
      <w:r>
        <w:rPr>
          <w:rFonts w:ascii="Arial" w:eastAsia="Arial" w:hAnsi="Arial" w:cs="Arial"/>
          <w:color w:val="000000"/>
          <w:sz w:val="20"/>
          <w:szCs w:val="20"/>
        </w:rPr>
        <w:t xml:space="preserve"> </w:t>
      </w:r>
    </w:p>
  </w:footnote>
  <w:footnote w:id="27">
    <w:p w14:paraId="1E648D2E"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iCs/>
          <w:color w:val="000000"/>
          <w:sz w:val="20"/>
          <w:szCs w:val="20"/>
        </w:rPr>
        <w:t>Código Electoral.</w:t>
      </w:r>
      <w:r>
        <w:rPr>
          <w:rFonts w:ascii="Arial" w:eastAsia="Arial" w:hAnsi="Arial" w:cs="Arial"/>
          <w:color w:val="000000"/>
          <w:sz w:val="20"/>
          <w:szCs w:val="20"/>
        </w:rPr>
        <w:t xml:space="preserve"> </w:t>
      </w:r>
    </w:p>
  </w:footnote>
  <w:footnote w:id="28">
    <w:p w14:paraId="1288E353"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iCs/>
          <w:color w:val="000000"/>
          <w:sz w:val="20"/>
          <w:szCs w:val="20"/>
        </w:rPr>
        <w:t>Sala Superior.</w:t>
      </w:r>
      <w:r>
        <w:rPr>
          <w:rFonts w:ascii="Arial" w:eastAsia="Arial" w:hAnsi="Arial" w:cs="Arial"/>
          <w:color w:val="000000"/>
          <w:sz w:val="20"/>
          <w:szCs w:val="20"/>
        </w:rPr>
        <w:t xml:space="preserve"> </w:t>
      </w:r>
    </w:p>
  </w:footnote>
  <w:footnote w:id="29">
    <w:p w14:paraId="288590D0"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cumplimiento del artículo 116 fracción IV inciso C) en el 5º punto de la Constitución Política de los Estados Unidos Mexicanos.</w:t>
      </w:r>
    </w:p>
  </w:footnote>
  <w:footnote w:id="30">
    <w:p w14:paraId="2711551B"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5 del Tomo VI. </w:t>
      </w:r>
    </w:p>
  </w:footnote>
  <w:footnote w:id="31">
    <w:p w14:paraId="5EFAA29B"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8 del Tomo VI.</w:t>
      </w:r>
    </w:p>
  </w:footnote>
  <w:footnote w:id="32">
    <w:p w14:paraId="503CFE2E"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9 del Tomo VI.</w:t>
      </w:r>
    </w:p>
  </w:footnote>
  <w:footnote w:id="33">
    <w:p w14:paraId="4EF01DCD"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98 del Tomo VI.</w:t>
      </w:r>
    </w:p>
  </w:footnote>
  <w:footnote w:id="34">
    <w:p w14:paraId="6CB41B4F"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adelante, </w:t>
      </w:r>
      <w:r>
        <w:rPr>
          <w:rFonts w:ascii="Arial" w:eastAsia="Arial" w:hAnsi="Arial" w:cs="Arial"/>
          <w:i/>
          <w:iCs/>
          <w:color w:val="000000"/>
          <w:sz w:val="20"/>
          <w:szCs w:val="20"/>
        </w:rPr>
        <w:t>Director de Prerrogativas.</w:t>
      </w:r>
    </w:p>
  </w:footnote>
  <w:footnote w:id="35">
    <w:p w14:paraId="54889DBC"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100 del Tomo VI.</w:t>
      </w:r>
    </w:p>
  </w:footnote>
  <w:footnote w:id="36">
    <w:p w14:paraId="18180ED7"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102 del Tomo VI. </w:t>
      </w:r>
    </w:p>
  </w:footnote>
  <w:footnote w:id="37">
    <w:p w14:paraId="6DFE03E7"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103 del Tomo VI. </w:t>
      </w:r>
    </w:p>
  </w:footnote>
  <w:footnote w:id="38">
    <w:p w14:paraId="44E89ECB"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17 del Tomo VI.</w:t>
      </w:r>
    </w:p>
    <w:bookmarkStart w:id="9" w:name="_heading=h.qwdxoa1xa0pm" w:colFirst="0" w:colLast="0"/>
    <w:bookmarkEnd w:id="9"/>
  </w:footnote>
  <w:footnote w:id="39">
    <w:p w14:paraId="2B209E8D"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bookmarkStart w:id="11" w:name="_heading=h.qwdxoa1xa0pm" w:colFirst="0" w:colLast="0"/>
      <w:bookmarkEnd w:id="11"/>
      <w:r>
        <w:rPr>
          <w:vertAlign w:val="superscript"/>
        </w:rPr>
        <w:footnoteRef/>
      </w:r>
      <w:r>
        <w:rPr>
          <w:rFonts w:ascii="Arial" w:eastAsia="Arial" w:hAnsi="Arial" w:cs="Arial"/>
          <w:color w:val="000000"/>
          <w:sz w:val="20"/>
          <w:szCs w:val="20"/>
        </w:rPr>
        <w:t xml:space="preserve"> Visible a foja 19 del Tomo VI. </w:t>
      </w:r>
    </w:p>
  </w:footnote>
  <w:footnote w:id="40">
    <w:p w14:paraId="1D6F41AB"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124 del Tomo VI.</w:t>
      </w:r>
    </w:p>
  </w:footnote>
  <w:footnote w:id="41">
    <w:p w14:paraId="50370AAC"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152 del Tomo VI.</w:t>
      </w:r>
    </w:p>
  </w:footnote>
  <w:footnote w:id="42">
    <w:p w14:paraId="6AA1423F"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153 a 155 del Tomo VI. </w:t>
      </w:r>
    </w:p>
  </w:footnote>
  <w:footnote w:id="43">
    <w:p w14:paraId="47775BF4"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180 del Tomo VI.</w:t>
      </w:r>
    </w:p>
  </w:footnote>
  <w:footnote w:id="44">
    <w:p w14:paraId="490F7D27"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185 del Tomo VI.</w:t>
      </w:r>
    </w:p>
  </w:footnote>
  <w:footnote w:id="45">
    <w:p w14:paraId="72410F04"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203 del Tomo VI.</w:t>
      </w:r>
    </w:p>
  </w:footnote>
  <w:footnote w:id="46">
    <w:p w14:paraId="44EA0217"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204 a 206 del Tomo VI. </w:t>
      </w:r>
    </w:p>
  </w:footnote>
  <w:footnote w:id="47">
    <w:p w14:paraId="605F0D16"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30 del Tomo VI. </w:t>
      </w:r>
    </w:p>
  </w:footnote>
  <w:footnote w:id="48">
    <w:p w14:paraId="3985F1F0"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95 del Tomo VI.</w:t>
      </w:r>
    </w:p>
  </w:footnote>
  <w:footnote w:id="49">
    <w:p w14:paraId="629F6212"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Conforme con los artículos 16, fracción I, 17, fracción III, y 22, fracción II, de la Ley de Justicia en Materia Electoral y de Participación Ciudadana del Estado de Michoacán de Ocampo. En adelante, </w:t>
      </w:r>
      <w:r>
        <w:rPr>
          <w:rFonts w:ascii="Arial" w:eastAsia="Arial" w:hAnsi="Arial" w:cs="Arial"/>
          <w:i/>
          <w:iCs/>
          <w:color w:val="000000"/>
          <w:sz w:val="20"/>
          <w:szCs w:val="20"/>
        </w:rPr>
        <w:t>Ley de Justicia Electoral.</w:t>
      </w:r>
      <w:r>
        <w:rPr>
          <w:rFonts w:ascii="Arial" w:eastAsia="Arial" w:hAnsi="Arial" w:cs="Arial"/>
          <w:color w:val="000000"/>
          <w:sz w:val="20"/>
          <w:szCs w:val="20"/>
        </w:rPr>
        <w:t xml:space="preserve"> </w:t>
      </w:r>
    </w:p>
  </w:footnote>
  <w:footnote w:id="50">
    <w:p w14:paraId="17823D3C"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Conforme con los artículos 16, fracción II y 22, fracción I y IV, de la </w:t>
      </w:r>
      <w:r>
        <w:rPr>
          <w:rFonts w:ascii="Arial" w:eastAsia="Arial" w:hAnsi="Arial" w:cs="Arial"/>
          <w:i/>
          <w:iCs/>
          <w:color w:val="000000"/>
          <w:sz w:val="20"/>
          <w:szCs w:val="20"/>
        </w:rPr>
        <w:t>Ley de Justicia Electoral.</w:t>
      </w:r>
    </w:p>
  </w:footnote>
  <w:footnote w:id="51">
    <w:p w14:paraId="7A73E176"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En términos del artículo 16, fracción III y 19, con relación al 22, fracciones I y IV de la </w:t>
      </w:r>
      <w:r>
        <w:rPr>
          <w:rFonts w:ascii="Arial" w:eastAsia="Arial" w:hAnsi="Arial" w:cs="Arial"/>
          <w:i/>
          <w:iCs/>
          <w:color w:val="000000"/>
          <w:sz w:val="20"/>
          <w:szCs w:val="20"/>
        </w:rPr>
        <w:t>Ley de Justicia Electoral.</w:t>
      </w:r>
    </w:p>
  </w:footnote>
  <w:footnote w:id="52">
    <w:p w14:paraId="4A9D74B0"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Se hace la precisión, de que si bien en el reporte aportado por la </w:t>
      </w:r>
      <w:r>
        <w:rPr>
          <w:rFonts w:ascii="Arial" w:eastAsia="Arial" w:hAnsi="Arial" w:cs="Arial"/>
          <w:i/>
          <w:iCs/>
          <w:color w:val="000000"/>
          <w:sz w:val="20"/>
          <w:szCs w:val="20"/>
        </w:rPr>
        <w:t>Secretaría de Igualdad</w:t>
      </w:r>
      <w:r>
        <w:rPr>
          <w:rFonts w:ascii="Arial" w:eastAsia="Arial" w:hAnsi="Arial" w:cs="Arial"/>
          <w:color w:val="000000"/>
          <w:sz w:val="20"/>
          <w:szCs w:val="20"/>
        </w:rPr>
        <w:t xml:space="preserve">, se hizo constar que las capacitaciones programadas fueron impartidas el tres, cuatro, seis, siete y nueve de octubre, este </w:t>
      </w:r>
      <w:r>
        <w:rPr>
          <w:rFonts w:ascii="Arial" w:eastAsia="Arial" w:hAnsi="Arial" w:cs="Arial"/>
          <w:i/>
          <w:iCs/>
          <w:color w:val="000000"/>
          <w:sz w:val="20"/>
          <w:szCs w:val="20"/>
        </w:rPr>
        <w:t>Tribunal Electoral</w:t>
      </w:r>
      <w:r>
        <w:rPr>
          <w:rFonts w:ascii="Arial" w:eastAsia="Arial" w:hAnsi="Arial" w:cs="Arial"/>
          <w:color w:val="000000"/>
          <w:sz w:val="20"/>
          <w:szCs w:val="20"/>
        </w:rPr>
        <w:t xml:space="preserve"> considera que ello se debió a un error involuntario, toda vez que la Apodera Jurídica informó que las capacitaciones serian impartidas del tres al siete de noviembre, lo que se corrobora con las capturas de pantallas anexas al reporte de donde se advierten las fechas de cuatro, seis y siete de noviembre. </w:t>
      </w:r>
    </w:p>
  </w:footnote>
  <w:footnote w:id="53">
    <w:p w14:paraId="1592517E"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105 del Tomo VI.  </w:t>
      </w:r>
    </w:p>
  </w:footnote>
  <w:footnote w:id="54">
    <w:p w14:paraId="294D022D"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Acta de verificación visible a foja 107 del Tomo VI.</w:t>
      </w:r>
    </w:p>
  </w:footnote>
  <w:footnote w:id="55">
    <w:p w14:paraId="0A59430E"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Visible a foja 83 del Tomo VI. </w:t>
      </w:r>
    </w:p>
  </w:footnote>
  <w:footnote w:id="56">
    <w:p w14:paraId="1D6E273C"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Acta de verificación visible de la foja 84 a la 86 del Tomo VI. </w:t>
      </w:r>
    </w:p>
  </w:footnote>
  <w:footnote w:id="57">
    <w:p w14:paraId="25E3F6A6" w14:textId="77777777" w:rsidR="009E02A1" w:rsidRDefault="00000000">
      <w:pPr>
        <w:pBdr>
          <w:top w:val="nil"/>
          <w:left w:val="nil"/>
          <w:bottom w:val="nil"/>
          <w:right w:val="nil"/>
          <w:between w:val="nil"/>
        </w:pBdr>
        <w:spacing w:after="0" w:line="240" w:lineRule="auto"/>
        <w:jc w:val="both"/>
        <w:rPr>
          <w:rFonts w:ascii="Arial" w:eastAsia="Arial" w:hAnsi="Arial" w:cs="Arial"/>
          <w:i/>
          <w:iCs/>
          <w:color w:val="000000"/>
          <w:sz w:val="20"/>
          <w:szCs w:val="20"/>
        </w:rPr>
      </w:pPr>
      <w:r>
        <w:rPr>
          <w:vertAlign w:val="superscript"/>
        </w:rPr>
        <w:footnoteRef/>
      </w:r>
      <w:r>
        <w:rPr>
          <w:rFonts w:ascii="Arial" w:eastAsia="Arial" w:hAnsi="Arial" w:cs="Arial"/>
          <w:color w:val="000000"/>
          <w:sz w:val="20"/>
          <w:szCs w:val="20"/>
        </w:rPr>
        <w:t xml:space="preserve"> Los cuales, al tratarse se documentales públicas adquieren pleno valor probatorio en cuanto a la veracidad de su contenido, de conformidad con el artículo 17 fracciones II y III de la </w:t>
      </w:r>
      <w:r>
        <w:rPr>
          <w:rFonts w:ascii="Arial" w:eastAsia="Arial" w:hAnsi="Arial" w:cs="Arial"/>
          <w:i/>
          <w:iCs/>
          <w:color w:val="000000"/>
          <w:sz w:val="20"/>
          <w:szCs w:val="20"/>
        </w:rPr>
        <w:t>Ley de Justicia.</w:t>
      </w:r>
    </w:p>
  </w:footnote>
  <w:footnote w:id="58">
    <w:p w14:paraId="357A0D94"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Lo cual se invoca como hechos notorios de conformidad con lo establecido en el artículo 21 de la </w:t>
      </w:r>
      <w:r>
        <w:rPr>
          <w:rFonts w:ascii="Arial" w:eastAsia="Arial" w:hAnsi="Arial" w:cs="Arial"/>
          <w:i/>
          <w:iCs/>
          <w:color w:val="000000"/>
          <w:sz w:val="20"/>
          <w:szCs w:val="20"/>
        </w:rPr>
        <w:t>Ley Electoral</w:t>
      </w:r>
      <w:r>
        <w:rPr>
          <w:rFonts w:ascii="Arial" w:eastAsia="Arial" w:hAnsi="Arial" w:cs="Arial"/>
          <w:color w:val="000000"/>
          <w:sz w:val="20"/>
          <w:szCs w:val="20"/>
        </w:rPr>
        <w:t xml:space="preserve">. Además, resulta aplicable la tesis de jurisprudencia I.3o.C.35 K (10a.), de rubro </w:t>
      </w:r>
      <w:r>
        <w:rPr>
          <w:rFonts w:ascii="Arial" w:eastAsia="Arial" w:hAnsi="Arial" w:cs="Arial"/>
          <w:b/>
          <w:bCs/>
          <w:i/>
          <w:iCs/>
          <w:color w:val="000000"/>
          <w:sz w:val="20"/>
          <w:szCs w:val="20"/>
        </w:rPr>
        <w:t>“PÁGINAS WEB O ELECTRÓNICAS. SU CONTENIDO ES UN HECHO NOTORIO Y SUSCEPTIBLE DE SER VALORADO EN UNA DECISIÓN JUDICIAL”</w:t>
      </w:r>
      <w:r>
        <w:rPr>
          <w:rFonts w:ascii="Arial" w:eastAsia="Arial" w:hAnsi="Arial" w:cs="Arial"/>
          <w:b/>
          <w:bCs/>
          <w:color w:val="000000"/>
          <w:sz w:val="20"/>
          <w:szCs w:val="20"/>
        </w:rPr>
        <w:t>,</w:t>
      </w:r>
      <w:r>
        <w:rPr>
          <w:rFonts w:ascii="Arial" w:eastAsia="Arial" w:hAnsi="Arial" w:cs="Arial"/>
          <w:color w:val="000000"/>
          <w:sz w:val="20"/>
          <w:szCs w:val="20"/>
        </w:rPr>
        <w:t xml:space="preserve"> emitida por la Suprema Corte de Justicia de la Nación.</w:t>
      </w:r>
    </w:p>
  </w:footnote>
  <w:footnote w:id="59">
    <w:p w14:paraId="2667C75A" w14:textId="77777777" w:rsidR="009E02A1" w:rsidRDefault="00000000">
      <w:pPr>
        <w:spacing w:after="0" w:line="240" w:lineRule="auto"/>
        <w:jc w:val="both"/>
        <w:rPr>
          <w:rFonts w:ascii="Arial" w:eastAsia="Arial" w:hAnsi="Arial" w:cs="Arial"/>
          <w:sz w:val="20"/>
          <w:szCs w:val="20"/>
        </w:rPr>
      </w:pPr>
      <w:r>
        <w:rPr>
          <w:vertAlign w:val="superscript"/>
        </w:rPr>
        <w:footnoteRef/>
      </w:r>
      <w:r>
        <w:rPr>
          <w:rFonts w:ascii="Arial" w:eastAsia="Arial" w:hAnsi="Arial" w:cs="Arial"/>
          <w:sz w:val="20"/>
          <w:szCs w:val="20"/>
        </w:rPr>
        <w:t xml:space="preserve"> Consultable en los siguientes enlaces electrónicos: </w:t>
      </w:r>
      <w:hyperlink r:id="rId1">
        <w:r w:rsidR="009E02A1">
          <w:rPr>
            <w:rFonts w:ascii="Arial" w:eastAsia="Arial" w:hAnsi="Arial" w:cs="Arial"/>
            <w:color w:val="0563C1"/>
            <w:sz w:val="20"/>
            <w:szCs w:val="20"/>
            <w:u w:val="single"/>
          </w:rPr>
          <w:t>https://www.ine.mx/actores-politicos/registro-nacional-de-personas-sancionadas/</w:t>
        </w:r>
      </w:hyperlink>
      <w:r>
        <w:rPr>
          <w:rFonts w:ascii="Arial" w:eastAsia="Arial" w:hAnsi="Arial" w:cs="Arial"/>
          <w:sz w:val="20"/>
          <w:szCs w:val="20"/>
        </w:rPr>
        <w:t xml:space="preserve"> y </w:t>
      </w:r>
      <w:hyperlink r:id="rId2">
        <w:r w:rsidR="009E02A1">
          <w:rPr>
            <w:rFonts w:ascii="Arial" w:eastAsia="Arial" w:hAnsi="Arial" w:cs="Arial"/>
            <w:color w:val="0563C1"/>
            <w:sz w:val="20"/>
            <w:szCs w:val="20"/>
            <w:u w:val="single"/>
          </w:rPr>
          <w:t>http://187.190.44.90:81/index.php/publicaciones/registro-estatal-de-personas-sancionadas-por-violencia-politica-contra-las-mujeres-en-razon-de-genero</w:t>
        </w:r>
      </w:hyperlink>
      <w:r>
        <w:rPr>
          <w:rFonts w:ascii="Arial" w:eastAsia="Arial" w:hAnsi="Arial" w:cs="Arial"/>
          <w:sz w:val="20"/>
          <w:szCs w:val="20"/>
        </w:rPr>
        <w:t>.</w:t>
      </w:r>
    </w:p>
  </w:footnote>
  <w:footnote w:id="60">
    <w:p w14:paraId="76578057"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Criterio adoptado por el Pleno de este Tribunal Electoral, al determinar el cumplimiento de la sentencia del diverso Procedimiento Especial Sancionador TEEM-PES-VPMG-219/2024.</w:t>
      </w:r>
    </w:p>
  </w:footnote>
  <w:footnote w:id="61">
    <w:p w14:paraId="15E36FBC"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Notificación visible a foja 581 del Tomo V. </w:t>
      </w:r>
    </w:p>
  </w:footnote>
  <w:footnote w:id="62">
    <w:p w14:paraId="514248F3" w14:textId="77777777" w:rsidR="009E02A1"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Notificación visible a foja 579 del Tomo 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D8795" w14:textId="77777777" w:rsidR="009E02A1" w:rsidRDefault="00000000">
    <w:pPr>
      <w:pBdr>
        <w:top w:val="nil"/>
        <w:left w:val="nil"/>
        <w:bottom w:val="nil"/>
        <w:right w:val="nil"/>
        <w:between w:val="nil"/>
      </w:pBdr>
      <w:tabs>
        <w:tab w:val="center" w:pos="4419"/>
        <w:tab w:val="right" w:pos="8838"/>
      </w:tabs>
      <w:spacing w:after="0" w:line="240" w:lineRule="auto"/>
      <w:rPr>
        <w:color w:val="000000"/>
      </w:rPr>
    </w:pPr>
    <w:r>
      <w:rPr>
        <w:color w:val="000000"/>
      </w:rPr>
      <w:tab/>
      <w:t xml:space="preserve">                                                       </w:t>
    </w:r>
    <w:r>
      <w:rPr>
        <w:noProof/>
      </w:rPr>
      <w:drawing>
        <wp:anchor distT="0" distB="0" distL="114300" distR="114300" simplePos="0" relativeHeight="251658240" behindDoc="0" locked="0" layoutInCell="1" hidden="0" allowOverlap="1" wp14:anchorId="45BE0C7A" wp14:editId="26F16CED">
          <wp:simplePos x="0" y="0"/>
          <wp:positionH relativeFrom="column">
            <wp:posOffset>1</wp:posOffset>
          </wp:positionH>
          <wp:positionV relativeFrom="paragraph">
            <wp:posOffset>114300</wp:posOffset>
          </wp:positionV>
          <wp:extent cx="1723390" cy="572135"/>
          <wp:effectExtent l="0" t="0" r="0" b="0"/>
          <wp:wrapSquare wrapText="bothSides" distT="0" distB="0" distL="114300" distR="114300"/>
          <wp:docPr id="1904357516" name="image3.jpg" descr="Texto&#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0" name="image3.jpg" descr="Texto&#10;&#10;Descripción generada automáticamente con confianza baja"/>
                  <pic:cNvPicPr preferRelativeResize="0"/>
                </pic:nvPicPr>
                <pic:blipFill>
                  <a:blip r:embed="rId1"/>
                  <a:srcRect l="6431" t="10615" r="6432" b="12957"/>
                  <a:stretch>
                    <a:fillRect/>
                  </a:stretch>
                </pic:blipFill>
                <pic:spPr>
                  <a:xfrm>
                    <a:off x="0" y="0"/>
                    <a:ext cx="1723390" cy="572135"/>
                  </a:xfrm>
                  <a:prstGeom prst="rect">
                    <a:avLst/>
                  </a:prstGeom>
                  <a:ln/>
                </pic:spPr>
              </pic:pic>
            </a:graphicData>
          </a:graphic>
        </wp:anchor>
      </w:drawing>
    </w:r>
  </w:p>
  <w:p w14:paraId="3827501F" w14:textId="77777777" w:rsidR="009E02A1" w:rsidRDefault="00000000">
    <w:pPr>
      <w:spacing w:after="0" w:line="240" w:lineRule="auto"/>
      <w:jc w:val="right"/>
      <w:rPr>
        <w:rFonts w:ascii="Arial" w:eastAsia="Arial" w:hAnsi="Arial" w:cs="Arial"/>
        <w:sz w:val="10"/>
        <w:szCs w:val="10"/>
      </w:rPr>
    </w:pPr>
    <w:r>
      <w:rPr>
        <w:rFonts w:ascii="Arial" w:eastAsia="Arial" w:hAnsi="Arial" w:cs="Arial"/>
        <w:sz w:val="20"/>
        <w:szCs w:val="20"/>
      </w:rPr>
      <w:t>ACUERDO PLENARIO DE CUMPLIMIENTO</w:t>
    </w:r>
    <w:r>
      <w:rPr>
        <w:rFonts w:ascii="Arial" w:eastAsia="Arial" w:hAnsi="Arial" w:cs="Arial"/>
        <w:sz w:val="20"/>
        <w:szCs w:val="20"/>
      </w:rPr>
      <w:br/>
      <w:t>TEEM-PES-VPMG-199/2024</w:t>
    </w:r>
  </w:p>
  <w:p w14:paraId="57398BCE" w14:textId="77777777" w:rsidR="009E02A1" w:rsidRDefault="009E02A1">
    <w:pPr>
      <w:spacing w:after="0" w:line="240" w:lineRule="auto"/>
      <w:jc w:val="right"/>
      <w:rPr>
        <w:rFonts w:ascii="Arial" w:eastAsia="Arial" w:hAnsi="Arial" w:cs="Arial"/>
        <w:sz w:val="10"/>
        <w:szCs w:val="10"/>
      </w:rPr>
    </w:pPr>
  </w:p>
  <w:p w14:paraId="55B52FCE" w14:textId="77777777" w:rsidR="009E02A1" w:rsidRDefault="009E02A1">
    <w:pPr>
      <w:spacing w:after="0" w:line="240" w:lineRule="auto"/>
      <w:jc w:val="right"/>
      <w:rPr>
        <w:rFonts w:ascii="Arial" w:eastAsia="Arial" w:hAnsi="Arial" w:cs="Arial"/>
        <w:sz w:val="10"/>
        <w:szCs w:val="10"/>
      </w:rPr>
    </w:pPr>
  </w:p>
  <w:p w14:paraId="22F7E71A" w14:textId="77777777" w:rsidR="009E02A1" w:rsidRDefault="009E02A1">
    <w:pPr>
      <w:spacing w:after="0" w:line="240" w:lineRule="auto"/>
      <w:jc w:val="right"/>
      <w:rPr>
        <w:rFonts w:ascii="Arial" w:eastAsia="Arial" w:hAnsi="Arial" w:cs="Arial"/>
        <w:sz w:val="10"/>
        <w:szCs w:val="10"/>
      </w:rPr>
    </w:pPr>
  </w:p>
  <w:p w14:paraId="1B698E30" w14:textId="77777777" w:rsidR="009E02A1" w:rsidRDefault="009E02A1">
    <w:pPr>
      <w:spacing w:after="0" w:line="240" w:lineRule="auto"/>
      <w:jc w:val="right"/>
      <w:rPr>
        <w:rFonts w:ascii="Arial" w:eastAsia="Arial" w:hAnsi="Arial" w:cs="Arial"/>
        <w:sz w:val="10"/>
        <w:szCs w:val="10"/>
      </w:rPr>
    </w:pPr>
  </w:p>
  <w:p w14:paraId="3B8094B0" w14:textId="77777777" w:rsidR="009E02A1" w:rsidRDefault="009E02A1">
    <w:pPr>
      <w:spacing w:after="0" w:line="240" w:lineRule="auto"/>
      <w:jc w:val="right"/>
      <w:rPr>
        <w:sz w:val="10"/>
        <w:szCs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15E3C" w14:textId="77777777" w:rsidR="009E02A1"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9264" behindDoc="0" locked="0" layoutInCell="1" hidden="0" allowOverlap="1" wp14:anchorId="16EC9A50" wp14:editId="0DE8BD37">
          <wp:simplePos x="0" y="0"/>
          <wp:positionH relativeFrom="column">
            <wp:posOffset>-47624</wp:posOffset>
          </wp:positionH>
          <wp:positionV relativeFrom="paragraph">
            <wp:posOffset>93345</wp:posOffset>
          </wp:positionV>
          <wp:extent cx="1748790" cy="580390"/>
          <wp:effectExtent l="0" t="0" r="0" b="0"/>
          <wp:wrapSquare wrapText="bothSides" distT="0" distB="0" distL="114300" distR="114300"/>
          <wp:docPr id="1904357520"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996" t="10541" r="6060" b="12458"/>
                  <a:stretch>
                    <a:fillRect/>
                  </a:stretch>
                </pic:blipFill>
                <pic:spPr>
                  <a:xfrm>
                    <a:off x="0" y="0"/>
                    <a:ext cx="1748790" cy="58039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52C54"/>
    <w:multiLevelType w:val="multilevel"/>
    <w:tmpl w:val="A28C72E8"/>
    <w:lvl w:ilvl="0">
      <w:start w:val="1"/>
      <w:numFmt w:val="decimal"/>
      <w:lvlText w:val="%1."/>
      <w:lvlJc w:val="left"/>
      <w:pPr>
        <w:ind w:left="720" w:hanging="360"/>
      </w:pPr>
    </w:lvl>
    <w:lvl w:ilvl="1">
      <w:start w:val="1"/>
      <w:numFmt w:val="decimal"/>
      <w:lvlText w:val="%1.%2."/>
      <w:lvlJc w:val="left"/>
      <w:pPr>
        <w:ind w:left="1080" w:hanging="720"/>
      </w:pPr>
      <w:rPr>
        <w:b/>
        <w:bCs/>
        <w:i w:val="0"/>
        <w:iCs w:val="0"/>
      </w:rPr>
    </w:lvl>
    <w:lvl w:ilvl="2">
      <w:start w:val="1"/>
      <w:numFmt w:val="decimal"/>
      <w:lvlText w:val="%1.%2.%3."/>
      <w:lvlJc w:val="left"/>
      <w:pPr>
        <w:ind w:left="1080" w:hanging="720"/>
      </w:pPr>
      <w:rPr>
        <w:i w:val="0"/>
        <w:iCs w:val="0"/>
      </w:rPr>
    </w:lvl>
    <w:lvl w:ilvl="3">
      <w:start w:val="1"/>
      <w:numFmt w:val="decimal"/>
      <w:lvlText w:val="%1.%2.%3.%4."/>
      <w:lvlJc w:val="left"/>
      <w:pPr>
        <w:ind w:left="1440" w:hanging="1080"/>
      </w:pPr>
      <w:rPr>
        <w:i w:val="0"/>
        <w:iCs w:val="0"/>
      </w:rPr>
    </w:lvl>
    <w:lvl w:ilvl="4">
      <w:start w:val="1"/>
      <w:numFmt w:val="decimal"/>
      <w:lvlText w:val="%1.%2.%3.%4.%5."/>
      <w:lvlJc w:val="left"/>
      <w:pPr>
        <w:ind w:left="1440" w:hanging="1080"/>
      </w:pPr>
      <w:rPr>
        <w:i w:val="0"/>
        <w:iCs w:val="0"/>
      </w:rPr>
    </w:lvl>
    <w:lvl w:ilvl="5">
      <w:start w:val="1"/>
      <w:numFmt w:val="decimal"/>
      <w:lvlText w:val="%1.%2.%3.%4.%5.%6."/>
      <w:lvlJc w:val="left"/>
      <w:pPr>
        <w:ind w:left="1800" w:hanging="1440"/>
      </w:pPr>
      <w:rPr>
        <w:i w:val="0"/>
        <w:iCs w:val="0"/>
      </w:rPr>
    </w:lvl>
    <w:lvl w:ilvl="6">
      <w:start w:val="1"/>
      <w:numFmt w:val="decimal"/>
      <w:lvlText w:val="%1.%2.%3.%4.%5.%6.%7."/>
      <w:lvlJc w:val="left"/>
      <w:pPr>
        <w:ind w:left="1800" w:hanging="1440"/>
      </w:pPr>
      <w:rPr>
        <w:i w:val="0"/>
        <w:iCs w:val="0"/>
      </w:rPr>
    </w:lvl>
    <w:lvl w:ilvl="7">
      <w:start w:val="1"/>
      <w:numFmt w:val="decimal"/>
      <w:lvlText w:val="%1.%2.%3.%4.%5.%6.%7.%8."/>
      <w:lvlJc w:val="left"/>
      <w:pPr>
        <w:ind w:left="2160" w:hanging="1800"/>
      </w:pPr>
      <w:rPr>
        <w:i w:val="0"/>
        <w:iCs w:val="0"/>
      </w:rPr>
    </w:lvl>
    <w:lvl w:ilvl="8">
      <w:start w:val="1"/>
      <w:numFmt w:val="decimal"/>
      <w:lvlText w:val="%1.%2.%3.%4.%5.%6.%7.%8.%9."/>
      <w:lvlJc w:val="left"/>
      <w:pPr>
        <w:ind w:left="2520" w:hanging="2160"/>
      </w:pPr>
      <w:rPr>
        <w:i w:val="0"/>
        <w:iCs w:val="0"/>
      </w:rPr>
    </w:lvl>
  </w:abstractNum>
  <w:abstractNum w:abstractNumId="1" w15:restartNumberingAfterBreak="0">
    <w:nsid w:val="083B7D47"/>
    <w:multiLevelType w:val="multilevel"/>
    <w:tmpl w:val="C2EA14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97978AC"/>
    <w:multiLevelType w:val="multilevel"/>
    <w:tmpl w:val="5E5A0C6A"/>
    <w:lvl w:ilvl="0">
      <w:start w:val="1"/>
      <w:numFmt w:val="decimal"/>
      <w:lvlText w:val="%1."/>
      <w:lvlJc w:val="left"/>
      <w:pPr>
        <w:ind w:left="720" w:hanging="360"/>
      </w:pPr>
      <w:rPr>
        <w:b/>
        <w:bCs/>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EDA4982"/>
    <w:multiLevelType w:val="multilevel"/>
    <w:tmpl w:val="8AFED45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93B7207"/>
    <w:multiLevelType w:val="multilevel"/>
    <w:tmpl w:val="A3FA3694"/>
    <w:lvl w:ilvl="0">
      <w:start w:val="2"/>
      <w:numFmt w:val="bullet"/>
      <w:lvlText w:val="-"/>
      <w:lvlJc w:val="left"/>
      <w:pPr>
        <w:ind w:left="720" w:hanging="360"/>
      </w:pPr>
      <w:rPr>
        <w:rFonts w:ascii="Arial" w:eastAsia="Arial" w:hAnsi="Arial" w:cs="Arial"/>
        <w:i w:val="0"/>
        <w:iCs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D86201E"/>
    <w:multiLevelType w:val="multilevel"/>
    <w:tmpl w:val="A5C05C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7380271"/>
    <w:multiLevelType w:val="multilevel"/>
    <w:tmpl w:val="D1E0F794"/>
    <w:lvl w:ilvl="0">
      <w:start w:val="1"/>
      <w:numFmt w:val="decimal"/>
      <w:lvlText w:val="%1."/>
      <w:lvlJc w:val="left"/>
      <w:pPr>
        <w:ind w:left="720" w:hanging="360"/>
      </w:pPr>
      <w:rPr>
        <w:b/>
        <w:bCs/>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C63E9"/>
    <w:multiLevelType w:val="multilevel"/>
    <w:tmpl w:val="7C2064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C4040BD"/>
    <w:multiLevelType w:val="multilevel"/>
    <w:tmpl w:val="95B01AF4"/>
    <w:lvl w:ilvl="0">
      <w:start w:val="1"/>
      <w:numFmt w:val="decimal"/>
      <w:lvlText w:val="%1."/>
      <w:lvlJc w:val="left"/>
      <w:pPr>
        <w:ind w:left="720" w:hanging="360"/>
      </w:pPr>
    </w:lvl>
    <w:lvl w:ilvl="1">
      <w:start w:val="1"/>
      <w:numFmt w:val="decimal"/>
      <w:lvlText w:val="%1.%2."/>
      <w:lvlJc w:val="left"/>
      <w:pPr>
        <w:ind w:left="1146" w:hanging="720"/>
      </w:pPr>
      <w:rPr>
        <w:b/>
        <w:bCs/>
        <w:i w:val="0"/>
        <w:iCs w:val="0"/>
      </w:rPr>
    </w:lvl>
    <w:lvl w:ilvl="2">
      <w:start w:val="1"/>
      <w:numFmt w:val="decimal"/>
      <w:lvlText w:val="%1.%2.%3."/>
      <w:lvlJc w:val="left"/>
      <w:pPr>
        <w:ind w:left="1212" w:hanging="720"/>
      </w:pPr>
    </w:lvl>
    <w:lvl w:ilvl="3">
      <w:start w:val="1"/>
      <w:numFmt w:val="decimal"/>
      <w:lvlText w:val="%1.%2.%3.%4."/>
      <w:lvlJc w:val="left"/>
      <w:pPr>
        <w:ind w:left="1638" w:hanging="1080"/>
      </w:pPr>
    </w:lvl>
    <w:lvl w:ilvl="4">
      <w:start w:val="1"/>
      <w:numFmt w:val="decimal"/>
      <w:lvlText w:val="%1.%2.%3.%4.%5."/>
      <w:lvlJc w:val="left"/>
      <w:pPr>
        <w:ind w:left="1704" w:hanging="1080"/>
      </w:pPr>
    </w:lvl>
    <w:lvl w:ilvl="5">
      <w:start w:val="1"/>
      <w:numFmt w:val="decimal"/>
      <w:lvlText w:val="%1.%2.%3.%4.%5.%6."/>
      <w:lvlJc w:val="left"/>
      <w:pPr>
        <w:ind w:left="2130" w:hanging="1440"/>
      </w:pPr>
    </w:lvl>
    <w:lvl w:ilvl="6">
      <w:start w:val="1"/>
      <w:numFmt w:val="decimal"/>
      <w:lvlText w:val="%1.%2.%3.%4.%5.%6.%7."/>
      <w:lvlJc w:val="left"/>
      <w:pPr>
        <w:ind w:left="2196" w:hanging="1440"/>
      </w:pPr>
    </w:lvl>
    <w:lvl w:ilvl="7">
      <w:start w:val="1"/>
      <w:numFmt w:val="decimal"/>
      <w:lvlText w:val="%1.%2.%3.%4.%5.%6.%7.%8."/>
      <w:lvlJc w:val="left"/>
      <w:pPr>
        <w:ind w:left="2622" w:hanging="1800"/>
      </w:pPr>
    </w:lvl>
    <w:lvl w:ilvl="8">
      <w:start w:val="1"/>
      <w:numFmt w:val="decimal"/>
      <w:lvlText w:val="%1.%2.%3.%4.%5.%6.%7.%8.%9."/>
      <w:lvlJc w:val="left"/>
      <w:pPr>
        <w:ind w:left="3048" w:hanging="2160"/>
      </w:pPr>
    </w:lvl>
  </w:abstractNum>
  <w:abstractNum w:abstractNumId="9" w15:restartNumberingAfterBreak="0">
    <w:nsid w:val="68123DF7"/>
    <w:multiLevelType w:val="multilevel"/>
    <w:tmpl w:val="F2B6C5B6"/>
    <w:lvl w:ilvl="0">
      <w:start w:val="2"/>
      <w:numFmt w:val="bullet"/>
      <w:lvlText w:val="-"/>
      <w:lvlJc w:val="left"/>
      <w:pPr>
        <w:ind w:left="720" w:hanging="360"/>
      </w:pPr>
      <w:rPr>
        <w:rFonts w:ascii="Arial" w:eastAsia="Arial" w:hAnsi="Arial" w:cs="Arial"/>
        <w:i w:val="0"/>
        <w:iCs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C124DE4"/>
    <w:multiLevelType w:val="multilevel"/>
    <w:tmpl w:val="D3307162"/>
    <w:lvl w:ilvl="0">
      <w:start w:val="1"/>
      <w:numFmt w:val="upp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F9A2BB2"/>
    <w:multiLevelType w:val="multilevel"/>
    <w:tmpl w:val="0CFA3D5C"/>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4122882"/>
    <w:multiLevelType w:val="multilevel"/>
    <w:tmpl w:val="826017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62749994">
    <w:abstractNumId w:val="10"/>
  </w:num>
  <w:num w:numId="2" w16cid:durableId="1822961815">
    <w:abstractNumId w:val="0"/>
  </w:num>
  <w:num w:numId="3" w16cid:durableId="483814644">
    <w:abstractNumId w:val="4"/>
  </w:num>
  <w:num w:numId="4" w16cid:durableId="736706742">
    <w:abstractNumId w:val="5"/>
  </w:num>
  <w:num w:numId="5" w16cid:durableId="427383314">
    <w:abstractNumId w:val="9"/>
  </w:num>
  <w:num w:numId="6" w16cid:durableId="791940975">
    <w:abstractNumId w:val="2"/>
  </w:num>
  <w:num w:numId="7" w16cid:durableId="1146623153">
    <w:abstractNumId w:val="1"/>
  </w:num>
  <w:num w:numId="8" w16cid:durableId="829717137">
    <w:abstractNumId w:val="6"/>
  </w:num>
  <w:num w:numId="9" w16cid:durableId="1464886821">
    <w:abstractNumId w:val="11"/>
  </w:num>
  <w:num w:numId="10" w16cid:durableId="593318000">
    <w:abstractNumId w:val="7"/>
  </w:num>
  <w:num w:numId="11" w16cid:durableId="649335866">
    <w:abstractNumId w:val="3"/>
  </w:num>
  <w:num w:numId="12" w16cid:durableId="134641102">
    <w:abstractNumId w:val="8"/>
  </w:num>
  <w:num w:numId="13" w16cid:durableId="71134686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02A1"/>
    <w:rsid w:val="000B454C"/>
    <w:rsid w:val="0016664F"/>
    <w:rsid w:val="002068E8"/>
    <w:rsid w:val="00374C15"/>
    <w:rsid w:val="005D2868"/>
    <w:rsid w:val="00671ED3"/>
    <w:rsid w:val="0070471A"/>
    <w:rsid w:val="00766441"/>
    <w:rsid w:val="008755BD"/>
    <w:rsid w:val="00996028"/>
    <w:rsid w:val="009B505E"/>
    <w:rsid w:val="009E02A1"/>
    <w:rsid w:val="00B33E3A"/>
    <w:rsid w:val="00C059DB"/>
    <w:rsid w:val="00F413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1A590"/>
  <w15:docId w15:val="{6CE3FA38-DE8E-43E9-AF0E-4955B53B4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outlineLvl w:val="0"/>
    </w:pPr>
    <w:rPr>
      <w:color w:val="2E75B5"/>
      <w:sz w:val="32"/>
      <w:szCs w:val="32"/>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angradetextonormal">
    <w:name w:val="Body Text Indent"/>
    <w:basedOn w:val="Normal"/>
    <w:link w:val="SangradetextonormalCar"/>
    <w:unhideWhenUsed/>
    <w:rsid w:val="00093F2A"/>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093F2A"/>
    <w:rPr>
      <w:rFonts w:ascii="Times New Roman" w:eastAsia="Times New Roman" w:hAnsi="Times New Roman" w:cs="Times New Roman"/>
      <w:sz w:val="24"/>
      <w:szCs w:val="24"/>
      <w:lang w:val="es-ES" w:eastAsia="es-ES"/>
    </w:rPr>
  </w:style>
  <w:style w:type="paragraph" w:styleId="Sinespaciado">
    <w:name w:val="No Spacing"/>
    <w:aliases w:val="RESOLUTIVOS"/>
    <w:link w:val="SinespaciadoCar"/>
    <w:uiPriority w:val="1"/>
    <w:qFormat/>
    <w:rsid w:val="00093F2A"/>
    <w:pPr>
      <w:spacing w:after="0" w:line="360" w:lineRule="auto"/>
      <w:jc w:val="both"/>
    </w:pPr>
    <w:rPr>
      <w:rFonts w:ascii="Arial" w:hAnsi="Arial" w:cs="Arial"/>
      <w:sz w:val="28"/>
      <w:szCs w:val="28"/>
    </w:rPr>
  </w:style>
  <w:style w:type="paragraph" w:styleId="Encabezado">
    <w:name w:val="header"/>
    <w:basedOn w:val="Normal"/>
    <w:link w:val="EncabezadoCar"/>
    <w:uiPriority w:val="99"/>
    <w:unhideWhenUsed/>
    <w:rsid w:val="00093F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93F2A"/>
    <w:rPr>
      <w:rFonts w:ascii="Calibri" w:eastAsia="Calibri" w:hAnsi="Calibri" w:cs="Times New Roman"/>
    </w:rPr>
  </w:style>
  <w:style w:type="paragraph" w:styleId="Piedepgina">
    <w:name w:val="footer"/>
    <w:basedOn w:val="Normal"/>
    <w:link w:val="PiedepginaCar"/>
    <w:uiPriority w:val="99"/>
    <w:unhideWhenUsed/>
    <w:rsid w:val="00093F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93F2A"/>
    <w:rPr>
      <w:rFonts w:ascii="Calibri" w:eastAsia="Calibri" w:hAnsi="Calibri" w:cs="Times New Roman"/>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6E2A1D"/>
    <w:pPr>
      <w:ind w:left="720"/>
      <w:contextualSpacing/>
    </w:p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712F24"/>
    <w:pPr>
      <w:spacing w:after="0" w:line="240" w:lineRule="auto"/>
    </w:pPr>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basedOn w:val="Fuentedeprrafopredeter"/>
    <w:link w:val="Textonotapie"/>
    <w:uiPriority w:val="99"/>
    <w:qFormat/>
    <w:rsid w:val="00712F24"/>
    <w:rPr>
      <w:rFonts w:ascii="Calibri" w:eastAsia="Calibri" w:hAnsi="Calibri" w:cs="Times New Roman"/>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basedOn w:val="Fuentedeprrafopredeter"/>
    <w:link w:val="4GChar"/>
    <w:uiPriority w:val="99"/>
    <w:unhideWhenUsed/>
    <w:qFormat/>
    <w:rsid w:val="00712F24"/>
    <w:rPr>
      <w:vertAlign w:val="superscript"/>
    </w:rPr>
  </w:style>
  <w:style w:type="paragraph" w:styleId="Textodeglobo">
    <w:name w:val="Balloon Text"/>
    <w:basedOn w:val="Normal"/>
    <w:link w:val="TextodegloboCar"/>
    <w:uiPriority w:val="99"/>
    <w:semiHidden/>
    <w:unhideWhenUsed/>
    <w:rsid w:val="00EE010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E0104"/>
    <w:rPr>
      <w:rFonts w:ascii="Segoe UI" w:eastAsia="Calibri" w:hAnsi="Segoe UI" w:cs="Segoe UI"/>
      <w:sz w:val="18"/>
      <w:szCs w:val="18"/>
    </w:rPr>
  </w:style>
  <w:style w:type="paragraph" w:styleId="Textoindependiente">
    <w:name w:val="Body Text"/>
    <w:basedOn w:val="Normal"/>
    <w:link w:val="TextoindependienteCar"/>
    <w:uiPriority w:val="99"/>
    <w:unhideWhenUsed/>
    <w:rsid w:val="001949F3"/>
    <w:pPr>
      <w:spacing w:after="120"/>
    </w:pPr>
  </w:style>
  <w:style w:type="character" w:customStyle="1" w:styleId="TextoindependienteCar">
    <w:name w:val="Texto independiente Car"/>
    <w:basedOn w:val="Fuentedeprrafopredeter"/>
    <w:link w:val="Textoindependiente"/>
    <w:uiPriority w:val="99"/>
    <w:rsid w:val="001949F3"/>
    <w:rPr>
      <w:rFonts w:ascii="Calibri" w:eastAsia="Calibri" w:hAnsi="Calibri" w:cs="Times New Roman"/>
    </w:rPr>
  </w:style>
  <w:style w:type="table" w:styleId="Tablaconcuadrcula">
    <w:name w:val="Table Grid"/>
    <w:basedOn w:val="Tablanormal"/>
    <w:uiPriority w:val="39"/>
    <w:rsid w:val="0088022E"/>
    <w:pPr>
      <w:spacing w:after="120" w:line="360" w:lineRule="auto"/>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rsid w:val="0088022E"/>
    <w:rPr>
      <w:rFonts w:ascii="Arial" w:hAnsi="Arial" w:cs="Arial"/>
      <w:sz w:val="28"/>
      <w:szCs w:val="28"/>
    </w:rPr>
  </w:style>
  <w:style w:type="character" w:styleId="Hipervnculo">
    <w:name w:val="Hyperlink"/>
    <w:basedOn w:val="Fuentedeprrafopredeter"/>
    <w:uiPriority w:val="99"/>
    <w:unhideWhenUsed/>
    <w:rsid w:val="0062066B"/>
    <w:rPr>
      <w:color w:val="0563C1" w:themeColor="hyperlink"/>
      <w:u w:val="single"/>
    </w:rPr>
  </w:style>
  <w:style w:type="character" w:customStyle="1" w:styleId="Ttulo1Car">
    <w:name w:val="Título 1 Car"/>
    <w:basedOn w:val="Fuentedeprrafopredeter"/>
    <w:uiPriority w:val="9"/>
    <w:rsid w:val="0062066B"/>
    <w:rPr>
      <w:rFonts w:asciiTheme="majorHAnsi" w:eastAsiaTheme="majorEastAsia" w:hAnsiTheme="majorHAnsi" w:cstheme="majorBidi"/>
      <w:color w:val="2E74B5" w:themeColor="accent1" w:themeShade="BF"/>
      <w:sz w:val="32"/>
      <w:szCs w:val="32"/>
    </w:rPr>
  </w:style>
  <w:style w:type="paragraph" w:styleId="TtuloTDC">
    <w:name w:val="TOC Heading"/>
    <w:next w:val="Normal"/>
    <w:uiPriority w:val="39"/>
    <w:unhideWhenUsed/>
    <w:qFormat/>
    <w:rsid w:val="0062066B"/>
    <w:pPr>
      <w:spacing w:line="259" w:lineRule="auto"/>
    </w:pPr>
  </w:style>
  <w:style w:type="paragraph" w:styleId="TDC1">
    <w:name w:val="toc 1"/>
    <w:basedOn w:val="Normal"/>
    <w:next w:val="Normal"/>
    <w:autoRedefine/>
    <w:uiPriority w:val="39"/>
    <w:unhideWhenUsed/>
    <w:rsid w:val="0062066B"/>
    <w:pPr>
      <w:tabs>
        <w:tab w:val="right" w:leader="dot" w:pos="7979"/>
      </w:tabs>
      <w:spacing w:after="100"/>
    </w:p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F69CF"/>
    <w:pPr>
      <w:spacing w:after="0" w:line="240" w:lineRule="auto"/>
      <w:jc w:val="both"/>
    </w:pPr>
    <w:rPr>
      <w:rFonts w:asciiTheme="minorHAnsi" w:eastAsiaTheme="minorHAnsi" w:hAnsiTheme="minorHAnsi" w:cstheme="minorBid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FF69CF"/>
    <w:pPr>
      <w:spacing w:before="100" w:beforeAutospacing="1" w:after="100" w:afterAutospacing="1" w:line="240" w:lineRule="auto"/>
    </w:pPr>
    <w:rPr>
      <w:rFonts w:ascii="Times New Roman" w:eastAsia="Times New Roman" w:hAnsi="Times New Roman"/>
      <w:sz w:val="24"/>
      <w:szCs w:val="24"/>
      <w:lang w:eastAsia="es-ES_tradn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0179A4"/>
    <w:rPr>
      <w:rFonts w:ascii="Calibri" w:eastAsia="Calibri" w:hAnsi="Calibri" w:cs="Times New Roman"/>
    </w:rPr>
  </w:style>
  <w:style w:type="paragraph" w:customStyle="1" w:styleId="Default">
    <w:name w:val="Default"/>
    <w:qFormat/>
    <w:rsid w:val="000179A4"/>
    <w:pPr>
      <w:autoSpaceDE w:val="0"/>
      <w:autoSpaceDN w:val="0"/>
      <w:adjustRightInd w:val="0"/>
      <w:spacing w:after="0" w:line="240" w:lineRule="auto"/>
    </w:pPr>
    <w:rPr>
      <w:rFonts w:ascii="Arial" w:hAnsi="Arial" w:cs="Arial"/>
      <w:color w:val="000000"/>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3A71DD"/>
    <w:rPr>
      <w:rFonts w:ascii="Times New Roman" w:eastAsia="Times New Roman" w:hAnsi="Times New Roman" w:cs="Times New Roman"/>
      <w:sz w:val="24"/>
      <w:szCs w:val="24"/>
      <w:lang w:eastAsia="es-ES_tradnl"/>
    </w:rPr>
  </w:style>
  <w:style w:type="character" w:styleId="Nmerodepgina">
    <w:name w:val="page number"/>
    <w:basedOn w:val="Fuentedeprrafopredeter"/>
    <w:uiPriority w:val="99"/>
    <w:rsid w:val="00F62804"/>
    <w:rPr>
      <w:rFonts w:cs="Times New Roman"/>
    </w:rPr>
  </w:style>
  <w:style w:type="table" w:styleId="Tablaconcuadrcula1clara-nfasis5">
    <w:name w:val="Grid Table 1 Light Accent 5"/>
    <w:basedOn w:val="Tablanormal"/>
    <w:uiPriority w:val="46"/>
    <w:rsid w:val="00537B67"/>
    <w:pPr>
      <w:spacing w:after="0" w:line="240" w:lineRule="auto"/>
    </w:pPr>
    <w:rPr>
      <w:kern w:val="2"/>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corte4fondoCarCar1">
    <w:name w:val="corte4 fondo Car Car1"/>
    <w:link w:val="corte4fondoCar"/>
    <w:locked/>
    <w:rsid w:val="00B22E50"/>
    <w:rPr>
      <w:rFonts w:ascii="Arial" w:hAnsi="Arial" w:cs="Arial"/>
      <w:sz w:val="30"/>
      <w:lang w:val="es-ES_tradnl"/>
    </w:rPr>
  </w:style>
  <w:style w:type="paragraph" w:customStyle="1" w:styleId="corte4fondoCar">
    <w:name w:val="corte4 fondo Car"/>
    <w:basedOn w:val="Normal"/>
    <w:link w:val="corte4fondoCarCar1"/>
    <w:rsid w:val="00B22E50"/>
    <w:pPr>
      <w:spacing w:after="0" w:line="360" w:lineRule="auto"/>
      <w:ind w:firstLine="709"/>
      <w:jc w:val="both"/>
    </w:pPr>
    <w:rPr>
      <w:rFonts w:ascii="Arial" w:eastAsiaTheme="minorHAnsi" w:hAnsi="Arial" w:cs="Arial"/>
      <w:sz w:val="30"/>
      <w:lang w:val="es-ES_tradnl"/>
    </w:rPr>
  </w:style>
  <w:style w:type="table" w:styleId="Tablaconcuadrcula5oscura-nfasis1">
    <w:name w:val="Grid Table 5 Dark Accent 1"/>
    <w:basedOn w:val="Tablanormal"/>
    <w:uiPriority w:val="50"/>
    <w:rsid w:val="002D1964"/>
    <w:pPr>
      <w:spacing w:after="0" w:line="240" w:lineRule="auto"/>
    </w:pPr>
    <w:rPr>
      <w:kern w:val="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delista4-nfasis4">
    <w:name w:val="List Table 4 Accent 4"/>
    <w:basedOn w:val="Tablanormal"/>
    <w:uiPriority w:val="49"/>
    <w:rsid w:val="002D196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2">
    <w:name w:val="List Table 4 Accent 2"/>
    <w:basedOn w:val="Tablanormal"/>
    <w:uiPriority w:val="49"/>
    <w:rsid w:val="002D196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6">
    <w:name w:val="List Table 4 Accent 6"/>
    <w:basedOn w:val="Tablanormal"/>
    <w:uiPriority w:val="49"/>
    <w:rsid w:val="002D196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1clara-nfasis1">
    <w:name w:val="Grid Table 1 Light Accent 1"/>
    <w:basedOn w:val="Tablanormal"/>
    <w:uiPriority w:val="46"/>
    <w:rsid w:val="001F387B"/>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styleId="TDC2">
    <w:name w:val="toc 2"/>
    <w:basedOn w:val="Normal"/>
    <w:next w:val="Normal"/>
    <w:autoRedefine/>
    <w:uiPriority w:val="39"/>
    <w:unhideWhenUsed/>
    <w:rsid w:val="00367391"/>
    <w:pPr>
      <w:tabs>
        <w:tab w:val="right" w:leader="dot" w:pos="7696"/>
      </w:tabs>
      <w:spacing w:after="0" w:line="259" w:lineRule="auto"/>
      <w:ind w:left="220"/>
    </w:pPr>
    <w:rPr>
      <w:rFonts w:asciiTheme="minorHAnsi" w:eastAsiaTheme="minorHAnsi" w:hAnsiTheme="minorHAnsi" w:cstheme="minorBidi"/>
    </w:rPr>
  </w:style>
  <w:style w:type="table" w:customStyle="1" w:styleId="Tablaconcuadrcula1clara-nfasis51">
    <w:name w:val="Tabla con cuadrícula 1 clara - Énfasis 51"/>
    <w:basedOn w:val="Tablanormal"/>
    <w:next w:val="Tablaconcuadrcula1clara-nfasis5"/>
    <w:uiPriority w:val="46"/>
    <w:rsid w:val="006767AD"/>
    <w:pPr>
      <w:spacing w:after="0" w:line="240" w:lineRule="auto"/>
    </w:pPr>
    <w:rPr>
      <w:kern w:val="2"/>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paragraph" w:styleId="TDC3">
    <w:name w:val="toc 3"/>
    <w:basedOn w:val="Normal"/>
    <w:next w:val="Normal"/>
    <w:autoRedefine/>
    <w:uiPriority w:val="39"/>
    <w:unhideWhenUsed/>
    <w:rsid w:val="002D642C"/>
    <w:pPr>
      <w:spacing w:after="100" w:line="259" w:lineRule="auto"/>
      <w:ind w:left="440"/>
    </w:pPr>
    <w:rPr>
      <w:rFonts w:asciiTheme="minorHAnsi" w:eastAsiaTheme="minorEastAsia" w:hAnsiTheme="minorHAnsi"/>
      <w:lang w:val="es-ES" w:eastAsia="es-ES"/>
    </w:rPr>
  </w:style>
  <w:style w:type="character" w:styleId="Mencinsinresolver">
    <w:name w:val="Unresolved Mention"/>
    <w:basedOn w:val="Fuentedeprrafopredeter"/>
    <w:uiPriority w:val="99"/>
    <w:semiHidden/>
    <w:unhideWhenUsed/>
    <w:rsid w:val="006F5439"/>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rPr>
      <w:tblPr/>
      <w:tcPr>
        <w:tcBorders>
          <w:bottom w:val="single" w:sz="12" w:space="0" w:color="9CC3E5"/>
        </w:tcBorders>
      </w:tcPr>
    </w:tblStylePr>
    <w:tblStylePr w:type="lastRow">
      <w:rPr>
        <w:b/>
        <w:bCs/>
      </w:rPr>
      <w:tblPr/>
      <w:tcPr>
        <w:tcBorders>
          <w:top w:val="single" w:sz="4" w:space="0" w:color="9CC3E5"/>
        </w:tcBorders>
      </w:tcPr>
    </w:tblStylePr>
    <w:tblStylePr w:type="firstCol">
      <w:rPr>
        <w:b/>
        <w:bCs/>
      </w:rPr>
    </w:tblStylePr>
    <w:tblStylePr w:type="lastCol">
      <w:rPr>
        <w:b/>
        <w:bCs/>
      </w:rPr>
    </w:tblStylePr>
  </w:style>
  <w:style w:type="table" w:customStyle="1" w:styleId="a0">
    <w:basedOn w:val="TableNormal"/>
    <w:pPr>
      <w:spacing w:after="120" w:line="360" w:lineRule="auto"/>
    </w:pPr>
    <w:rPr>
      <w:sz w:val="24"/>
      <w:szCs w:val="24"/>
    </w:rPr>
    <w:tblPr>
      <w:tblStyleRowBandSize w:val="1"/>
      <w:tblStyleColBandSize w:val="1"/>
      <w:tblCellMar>
        <w:top w:w="0" w:type="dxa"/>
        <w:left w:w="108" w:type="dxa"/>
        <w:bottom w:w="0" w:type="dxa"/>
        <w:right w:w="108" w:type="dxa"/>
      </w:tblCellMar>
    </w:tblPr>
  </w:style>
  <w:style w:type="table" w:customStyle="1" w:styleId="a1">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rPr>
      <w:tblPr/>
      <w:tcPr>
        <w:tcBorders>
          <w:bottom w:val="single" w:sz="12" w:space="0" w:color="9CC3E5"/>
        </w:tcBorders>
      </w:tcPr>
    </w:tblStylePr>
    <w:tblStylePr w:type="lastRow">
      <w:rPr>
        <w:b/>
        <w:bCs/>
      </w:rPr>
      <w:tblPr/>
      <w:tcPr>
        <w:tcBorders>
          <w:top w:val="single" w:sz="4" w:space="0" w:color="9CC3E5"/>
        </w:tcBorders>
      </w:tcPr>
    </w:tblStylePr>
    <w:tblStylePr w:type="firstCol">
      <w:rPr>
        <w:b/>
        <w:bCs/>
      </w:rPr>
    </w:tblStylePr>
    <w:tblStylePr w:type="lastCol">
      <w:rPr>
        <w:b/>
        <w:bCs/>
      </w:rPr>
    </w:tblStylePr>
  </w:style>
  <w:style w:type="table" w:customStyle="1" w:styleId="a2">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2" Type="http://schemas.openxmlformats.org/officeDocument/2006/relationships/hyperlink" Target="http://187.190.44.90:81/index.php/publicaciones/registro-estatal-de-personas-sancionadas-por-violencia-politica-contra-las-mujeres-en-razon-de-genero" TargetMode="External"/><Relationship Id="rId1" Type="http://schemas.openxmlformats.org/officeDocument/2006/relationships/hyperlink" Target="https://www.ine.mx/actores-politicos/registro-nacional-de-personas-sancionad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k8JztcTI39QiSAjiATlygXsZCQ==">CgMxLjAyDmguc2Eyb2pzdzdkYXpnMg5oLmpnZGwzZ29jZWNzdDIOaC5kMXZscTZubmx0ODcyDmgueXl5emg0aWFpcTMyMg5oLmExdTE1bnU5MXI3dzIOaC4zYjJ6YnZyZG5qODUyDmgudDVicHhmYWN4M2liMg5oLjJ2MHdnczVscDVvbjIOaC55ZzBpeXM5YWlmZGMyDmguajQzYmp2eXN6eTE1Mg5oLmRwam90bnRraXBwbzIOaC5rZXM3ZjRjamI5d3AyDmguYXJrNWluMjFjcTI3Mg5oLjZtb3FpdXpkbW03cTIOaC5xd2R4b2ExeGEwcG04AHIhMXdZVWlJUHhUZHNJajFpM04yOFliaV9xOHNJNDZ4MHN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27</Pages>
  <Words>7411</Words>
  <Characters>40173</Characters>
  <Application>Microsoft Office Word</Application>
  <DocSecurity>0</DocSecurity>
  <Lines>1339</Lines>
  <Paragraphs>371</Paragraphs>
  <ScaleCrop>false</ScaleCrop>
  <Company/>
  <LinksUpToDate>false</LinksUpToDate>
  <CharactersWithSpaces>47213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052</dc:creator>
  <cp:lastModifiedBy>JESÚS RENATO GARCÍA RIVERA</cp:lastModifiedBy>
  <cp:revision>7</cp:revision>
  <dcterms:created xsi:type="dcterms:W3CDTF">2025-11-18T21:15:00Z</dcterms:created>
  <dcterms:modified xsi:type="dcterms:W3CDTF">2025-11-26T01:12:00Z</dcterms:modified>
</cp:coreProperties>
</file>