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CFA81" w14:textId="77777777" w:rsidR="0012716D" w:rsidRPr="00311C72" w:rsidRDefault="001E741F" w:rsidP="00311C72">
      <w:pPr>
        <w:spacing w:before="100" w:beforeAutospacing="1" w:after="100" w:afterAutospacing="1"/>
        <w:ind w:left="3969" w:right="-91"/>
        <w:jc w:val="center"/>
        <w:rPr>
          <w:rFonts w:ascii="Arial" w:hAnsi="Arial" w:cs="Arial"/>
          <w:b/>
          <w:bCs/>
          <w:sz w:val="24"/>
          <w:szCs w:val="24"/>
          <w:lang w:val="es-ES_tradnl"/>
        </w:rPr>
      </w:pPr>
      <w:r w:rsidRPr="00311C72">
        <w:rPr>
          <w:rFonts w:ascii="Arial" w:hAnsi="Arial" w:cs="Arial"/>
          <w:b/>
          <w:bCs/>
          <w:sz w:val="24"/>
          <w:szCs w:val="24"/>
          <w:lang w:val="es-ES_tradnl"/>
        </w:rPr>
        <w:t>JUICIO PARA LA PROTECCIÓN DE LOS DERECHOS POLÍTICO-ELECTORALES DEL CIUDADANO</w:t>
      </w:r>
    </w:p>
    <w:p w14:paraId="404CFA82" w14:textId="77777777" w:rsidR="0012716D" w:rsidRDefault="0012716D">
      <w:pPr>
        <w:ind w:left="3544"/>
        <w:contextualSpacing/>
        <w:jc w:val="both"/>
        <w:rPr>
          <w:rFonts w:cs="Arial"/>
          <w:b/>
          <w:sz w:val="24"/>
          <w:szCs w:val="24"/>
          <w:lang w:eastAsia="es-ES"/>
        </w:rPr>
      </w:pPr>
      <w:bookmarkStart w:id="0" w:name="_Hlk48065489"/>
    </w:p>
    <w:p w14:paraId="404CFA83" w14:textId="77777777" w:rsidR="0012716D" w:rsidRPr="008E5B0F" w:rsidRDefault="001E741F">
      <w:pPr>
        <w:spacing w:before="100" w:beforeAutospacing="1" w:after="100" w:afterAutospacing="1"/>
        <w:ind w:left="3969" w:right="-91"/>
        <w:jc w:val="both"/>
        <w:rPr>
          <w:rFonts w:ascii="Arial" w:hAnsi="Arial" w:cs="Arial"/>
          <w:b/>
          <w:bCs/>
          <w:sz w:val="24"/>
          <w:szCs w:val="24"/>
          <w:lang w:val="es-ES_tradnl"/>
        </w:rPr>
      </w:pPr>
      <w:r w:rsidRPr="008E5B0F">
        <w:rPr>
          <w:rFonts w:ascii="Arial" w:hAnsi="Arial" w:cs="Arial"/>
          <w:b/>
          <w:bCs/>
          <w:sz w:val="24"/>
          <w:szCs w:val="24"/>
          <w:lang w:val="es-ES_tradnl"/>
        </w:rPr>
        <w:t xml:space="preserve">EXPEDIENTE: </w:t>
      </w:r>
      <w:r w:rsidRPr="008E5B0F">
        <w:rPr>
          <w:rFonts w:ascii="Arial" w:hAnsi="Arial" w:cs="Arial"/>
          <w:sz w:val="24"/>
          <w:szCs w:val="24"/>
          <w:lang w:val="es-ES_tradnl"/>
        </w:rPr>
        <w:t>TEEM-JDC-226/2025.</w:t>
      </w:r>
    </w:p>
    <w:p w14:paraId="404CFA84" w14:textId="77777777" w:rsidR="0012716D" w:rsidRPr="008E5B0F" w:rsidRDefault="001E741F">
      <w:pPr>
        <w:spacing w:before="100" w:beforeAutospacing="1" w:after="100" w:afterAutospacing="1"/>
        <w:ind w:left="3969" w:right="-91"/>
        <w:jc w:val="both"/>
        <w:rPr>
          <w:rFonts w:ascii="Arial" w:hAnsi="Arial" w:cs="Arial"/>
          <w:sz w:val="24"/>
          <w:szCs w:val="24"/>
          <w:lang w:val="es-ES_tradnl"/>
        </w:rPr>
      </w:pPr>
      <w:r w:rsidRPr="008E5B0F">
        <w:rPr>
          <w:rFonts w:ascii="Arial" w:hAnsi="Arial" w:cs="Arial"/>
          <w:b/>
          <w:bCs/>
          <w:sz w:val="24"/>
          <w:szCs w:val="24"/>
          <w:lang w:val="es-ES_tradnl"/>
        </w:rPr>
        <w:t xml:space="preserve">PARTE ACTORA: </w:t>
      </w:r>
      <w:r w:rsidRPr="008E5B0F">
        <w:rPr>
          <w:rFonts w:ascii="Arial" w:hAnsi="Arial" w:cs="Arial"/>
          <w:sz w:val="24"/>
          <w:szCs w:val="24"/>
          <w:lang w:val="es-ES_tradnl"/>
        </w:rPr>
        <w:t>JUAN MANUEL MEDINA AYALA.</w:t>
      </w:r>
    </w:p>
    <w:p w14:paraId="404CFA85" w14:textId="77777777" w:rsidR="0012716D" w:rsidRPr="008E5B0F" w:rsidRDefault="001E741F">
      <w:pPr>
        <w:spacing w:before="100" w:beforeAutospacing="1" w:after="100" w:afterAutospacing="1"/>
        <w:ind w:left="3969" w:right="-91"/>
        <w:jc w:val="both"/>
        <w:rPr>
          <w:rFonts w:ascii="Arial" w:hAnsi="Arial" w:cs="Arial"/>
          <w:sz w:val="24"/>
          <w:szCs w:val="24"/>
          <w:lang w:val="es-ES_tradnl"/>
        </w:rPr>
      </w:pPr>
      <w:r w:rsidRPr="008E5B0F">
        <w:rPr>
          <w:rFonts w:ascii="Arial" w:hAnsi="Arial" w:cs="Arial"/>
          <w:b/>
          <w:bCs/>
          <w:sz w:val="24"/>
          <w:szCs w:val="24"/>
          <w:lang w:val="es-ES_tradnl"/>
        </w:rPr>
        <w:t xml:space="preserve">AUTORIDADES RESPONSABLES: </w:t>
      </w:r>
      <w:r w:rsidRPr="008E5B0F">
        <w:rPr>
          <w:rFonts w:ascii="Arial" w:hAnsi="Arial" w:cs="Arial"/>
          <w:sz w:val="24"/>
          <w:szCs w:val="24"/>
          <w:lang w:val="es-ES_tradnl"/>
        </w:rPr>
        <w:t>PRESIDENTE MUNICIPAL   DE TANGANCÍCUARO, MICHOACÁN Y OTROS.</w:t>
      </w:r>
    </w:p>
    <w:p w14:paraId="404CFA86" w14:textId="77777777" w:rsidR="0012716D" w:rsidRPr="008E5B0F" w:rsidRDefault="001E741F">
      <w:pPr>
        <w:spacing w:before="100" w:beforeAutospacing="1" w:after="100" w:afterAutospacing="1"/>
        <w:ind w:left="3969" w:right="-91"/>
        <w:jc w:val="both"/>
        <w:rPr>
          <w:rFonts w:ascii="Arial" w:hAnsi="Arial" w:cs="Arial"/>
          <w:sz w:val="24"/>
          <w:szCs w:val="24"/>
          <w:lang w:val="es-ES_tradnl"/>
        </w:rPr>
      </w:pPr>
      <w:r w:rsidRPr="008E5B0F">
        <w:rPr>
          <w:rFonts w:ascii="Arial" w:hAnsi="Arial" w:cs="Arial"/>
          <w:b/>
          <w:bCs/>
          <w:sz w:val="24"/>
          <w:szCs w:val="24"/>
          <w:lang w:val="es-ES_tradnl"/>
        </w:rPr>
        <w:t>TERCERO INTERESADO:</w:t>
      </w:r>
      <w:r w:rsidRPr="008E5B0F">
        <w:rPr>
          <w:rFonts w:ascii="Arial" w:hAnsi="Arial" w:cs="Arial"/>
          <w:sz w:val="24"/>
          <w:szCs w:val="24"/>
          <w:lang w:val="es-ES_tradnl"/>
        </w:rPr>
        <w:t xml:space="preserve"> LUIS OMAR REYES CHÁVEZ.</w:t>
      </w:r>
    </w:p>
    <w:bookmarkEnd w:id="0"/>
    <w:p w14:paraId="404CFA87" w14:textId="77777777" w:rsidR="0012716D" w:rsidRPr="008E5B0F" w:rsidRDefault="001E741F">
      <w:pPr>
        <w:spacing w:before="100" w:beforeAutospacing="1" w:after="100" w:afterAutospacing="1"/>
        <w:ind w:left="3969" w:right="-91"/>
        <w:jc w:val="both"/>
        <w:rPr>
          <w:sz w:val="24"/>
          <w:szCs w:val="24"/>
        </w:rPr>
      </w:pPr>
      <w:r w:rsidRPr="008E5B0F">
        <w:rPr>
          <w:rFonts w:ascii="Arial" w:hAnsi="Arial" w:cs="Arial"/>
          <w:b/>
          <w:bCs/>
          <w:sz w:val="24"/>
          <w:szCs w:val="24"/>
          <w:lang w:val="es-ES_tradnl"/>
        </w:rPr>
        <w:t xml:space="preserve">MAGISTRADA PONENTE: </w:t>
      </w:r>
      <w:r w:rsidRPr="008E5B0F">
        <w:rPr>
          <w:rFonts w:ascii="Arial" w:hAnsi="Arial" w:cs="Arial"/>
          <w:sz w:val="24"/>
          <w:szCs w:val="24"/>
          <w:lang w:val="es-ES_tradnl"/>
        </w:rPr>
        <w:t>ALMA ROSA BAHENA VILLALOBOS.</w:t>
      </w:r>
    </w:p>
    <w:p w14:paraId="404CFA88" w14:textId="77777777" w:rsidR="0012716D" w:rsidRPr="008E5B0F" w:rsidRDefault="001E741F">
      <w:pPr>
        <w:spacing w:before="100" w:beforeAutospacing="1" w:after="100" w:afterAutospacing="1"/>
        <w:ind w:left="3969" w:right="-91"/>
        <w:jc w:val="both"/>
        <w:rPr>
          <w:rFonts w:ascii="Arial" w:hAnsi="Arial" w:cs="Arial"/>
          <w:bCs/>
          <w:sz w:val="24"/>
          <w:szCs w:val="24"/>
        </w:rPr>
      </w:pPr>
      <w:r w:rsidRPr="008E5B0F">
        <w:rPr>
          <w:rFonts w:ascii="Arial" w:hAnsi="Arial" w:cs="Arial"/>
          <w:b/>
          <w:sz w:val="24"/>
          <w:szCs w:val="24"/>
        </w:rPr>
        <w:t xml:space="preserve">SECRETARIA INSTRUCTORA Y PROYECTISTA: </w:t>
      </w:r>
      <w:r w:rsidRPr="008E5B0F">
        <w:rPr>
          <w:rFonts w:ascii="Arial" w:hAnsi="Arial" w:cs="Arial"/>
          <w:bCs/>
          <w:sz w:val="24"/>
          <w:szCs w:val="24"/>
        </w:rPr>
        <w:t>SANDRA YÉPEZ CARRANZA.</w:t>
      </w:r>
    </w:p>
    <w:p w14:paraId="404CFA8A" w14:textId="0A9E1908" w:rsidR="0012716D" w:rsidRPr="008A1466" w:rsidRDefault="001E741F" w:rsidP="008A1466">
      <w:pPr>
        <w:spacing w:before="100" w:beforeAutospacing="1" w:after="100" w:afterAutospacing="1"/>
        <w:ind w:left="3969" w:right="-91"/>
        <w:jc w:val="both"/>
        <w:rPr>
          <w:rFonts w:ascii="Arial" w:hAnsi="Arial" w:cs="Arial"/>
          <w:bCs/>
          <w:sz w:val="24"/>
          <w:szCs w:val="24"/>
        </w:rPr>
      </w:pPr>
      <w:r w:rsidRPr="008E5B0F">
        <w:rPr>
          <w:rFonts w:ascii="Arial" w:hAnsi="Arial" w:cs="Arial"/>
          <w:b/>
          <w:sz w:val="24"/>
          <w:szCs w:val="24"/>
        </w:rPr>
        <w:t>COLABORÓ:</w:t>
      </w:r>
      <w:r w:rsidRPr="008E5B0F">
        <w:rPr>
          <w:rFonts w:ascii="Arial" w:hAnsi="Arial" w:cs="Arial"/>
          <w:bCs/>
          <w:sz w:val="24"/>
          <w:szCs w:val="24"/>
        </w:rPr>
        <w:t xml:space="preserve"> CARLOS ROBERTO VILLASEÑOR ZARATE.</w:t>
      </w:r>
    </w:p>
    <w:p w14:paraId="404CFA8B" w14:textId="3C3D55DB" w:rsidR="0012716D" w:rsidRPr="008E5B0F" w:rsidRDefault="001E741F">
      <w:pPr>
        <w:spacing w:before="100" w:beforeAutospacing="1" w:after="100" w:afterAutospacing="1" w:line="360" w:lineRule="auto"/>
        <w:jc w:val="right"/>
        <w:rPr>
          <w:rFonts w:ascii="Arial" w:hAnsi="Arial" w:cs="Arial"/>
          <w:sz w:val="24"/>
          <w:szCs w:val="24"/>
        </w:rPr>
      </w:pPr>
      <w:r w:rsidRPr="008E5B0F">
        <w:rPr>
          <w:rFonts w:ascii="Arial" w:hAnsi="Arial" w:cs="Arial"/>
          <w:sz w:val="24"/>
          <w:szCs w:val="24"/>
        </w:rPr>
        <w:t xml:space="preserve">Morelia, Michoacán, a </w:t>
      </w:r>
      <w:r w:rsidR="00E04CAB">
        <w:rPr>
          <w:rFonts w:ascii="Arial" w:hAnsi="Arial" w:cs="Arial"/>
          <w:sz w:val="24"/>
          <w:szCs w:val="24"/>
        </w:rPr>
        <w:t>treinta</w:t>
      </w:r>
      <w:r w:rsidRPr="008E5B0F">
        <w:rPr>
          <w:rFonts w:ascii="Arial" w:hAnsi="Arial" w:cs="Arial"/>
          <w:sz w:val="24"/>
          <w:szCs w:val="24"/>
        </w:rPr>
        <w:t xml:space="preserve"> de octubre de dos mil veinticinco</w:t>
      </w:r>
      <w:r w:rsidRPr="008E5B0F">
        <w:rPr>
          <w:rStyle w:val="Refdenotaalpie"/>
          <w:rFonts w:ascii="Arial" w:hAnsi="Arial" w:cs="Arial"/>
          <w:sz w:val="24"/>
          <w:szCs w:val="24"/>
        </w:rPr>
        <w:footnoteReference w:id="1"/>
      </w:r>
      <w:r w:rsidRPr="008E5B0F">
        <w:rPr>
          <w:rFonts w:ascii="Arial" w:hAnsi="Arial" w:cs="Arial"/>
          <w:sz w:val="24"/>
          <w:szCs w:val="24"/>
        </w:rPr>
        <w:t>.</w:t>
      </w:r>
    </w:p>
    <w:p w14:paraId="404CFA8C" w14:textId="3DE77A4B" w:rsidR="0012716D" w:rsidRPr="008E5B0F" w:rsidRDefault="001E741F">
      <w:pPr>
        <w:spacing w:line="360" w:lineRule="auto"/>
        <w:jc w:val="both"/>
        <w:rPr>
          <w:rFonts w:ascii="Arial" w:eastAsia="Arial" w:hAnsi="Arial" w:cs="Arial"/>
          <w:b/>
          <w:bCs/>
          <w:sz w:val="24"/>
          <w:szCs w:val="24"/>
        </w:rPr>
      </w:pPr>
      <w:r w:rsidRPr="008E5B0F">
        <w:rPr>
          <w:rFonts w:ascii="Arial" w:hAnsi="Arial" w:cs="Arial"/>
          <w:b/>
          <w:bCs/>
          <w:sz w:val="24"/>
          <w:szCs w:val="24"/>
        </w:rPr>
        <w:t xml:space="preserve">Sentencia </w:t>
      </w:r>
      <w:r w:rsidRPr="008E5B0F">
        <w:rPr>
          <w:rFonts w:ascii="Arial" w:hAnsi="Arial" w:cs="Arial"/>
          <w:sz w:val="24"/>
          <w:szCs w:val="24"/>
        </w:rPr>
        <w:t xml:space="preserve">que determina: </w:t>
      </w:r>
      <w:r w:rsidRPr="008E5B0F">
        <w:rPr>
          <w:rFonts w:ascii="Arial" w:eastAsia="Arial" w:hAnsi="Arial" w:cs="Arial"/>
          <w:b/>
          <w:bCs/>
          <w:sz w:val="24"/>
          <w:szCs w:val="24"/>
        </w:rPr>
        <w:t xml:space="preserve">I. </w:t>
      </w:r>
      <w:r w:rsidRPr="008E5B0F">
        <w:rPr>
          <w:rFonts w:ascii="Arial" w:eastAsia="Arial" w:hAnsi="Arial" w:cs="Arial"/>
          <w:sz w:val="24"/>
          <w:szCs w:val="24"/>
        </w:rPr>
        <w:t xml:space="preserve">La </w:t>
      </w:r>
      <w:r w:rsidRPr="008E5B0F">
        <w:rPr>
          <w:rFonts w:ascii="Arial" w:eastAsia="Arial" w:hAnsi="Arial" w:cs="Arial"/>
          <w:b/>
          <w:sz w:val="24"/>
          <w:szCs w:val="24"/>
        </w:rPr>
        <w:t xml:space="preserve">inexistencia </w:t>
      </w:r>
      <w:r w:rsidRPr="008E5B0F">
        <w:rPr>
          <w:rFonts w:ascii="Arial" w:eastAsia="Arial" w:hAnsi="Arial" w:cs="Arial"/>
          <w:sz w:val="24"/>
          <w:szCs w:val="24"/>
        </w:rPr>
        <w:t>de la vulneración al derecho político-electoral de votar y ser votada en su vertiente del ejercicio del cargo de la parte actora</w:t>
      </w:r>
      <w:r w:rsidR="00C07B57" w:rsidRPr="008E5B0F">
        <w:rPr>
          <w:rFonts w:ascii="Arial" w:eastAsia="Arial" w:hAnsi="Arial" w:cs="Arial"/>
          <w:sz w:val="24"/>
          <w:szCs w:val="24"/>
        </w:rPr>
        <w:t>,</w:t>
      </w:r>
      <w:r w:rsidR="00812D85" w:rsidRPr="008E5B0F">
        <w:rPr>
          <w:rFonts w:ascii="Arial" w:eastAsia="Arial" w:hAnsi="Arial" w:cs="Arial"/>
          <w:sz w:val="24"/>
          <w:szCs w:val="24"/>
        </w:rPr>
        <w:t xml:space="preserve"> en consecuencia</w:t>
      </w:r>
      <w:r w:rsidR="00C07B57" w:rsidRPr="008E5B0F">
        <w:rPr>
          <w:rFonts w:ascii="Arial" w:eastAsia="Arial" w:hAnsi="Arial" w:cs="Arial"/>
          <w:sz w:val="24"/>
          <w:szCs w:val="24"/>
        </w:rPr>
        <w:t>,</w:t>
      </w:r>
      <w:r w:rsidR="00812D85" w:rsidRPr="008E5B0F">
        <w:rPr>
          <w:rFonts w:ascii="Arial" w:eastAsia="Arial" w:hAnsi="Arial" w:cs="Arial"/>
          <w:sz w:val="24"/>
          <w:szCs w:val="24"/>
        </w:rPr>
        <w:t xml:space="preserve"> confirma el oficio sin número de cinco de septiembre, signado por la Secretaria del Ayuntamiento de Tangancícuaro, Michoacán</w:t>
      </w:r>
      <w:r w:rsidRPr="008E5B0F">
        <w:rPr>
          <w:rFonts w:ascii="Arial" w:eastAsia="Arial" w:hAnsi="Arial" w:cs="Arial"/>
          <w:sz w:val="24"/>
          <w:szCs w:val="24"/>
        </w:rPr>
        <w:t xml:space="preserve">. II. </w:t>
      </w:r>
      <w:r w:rsidRPr="008E5B0F">
        <w:rPr>
          <w:rFonts w:ascii="Arial" w:eastAsia="Arial" w:hAnsi="Arial" w:cs="Arial"/>
          <w:b/>
          <w:bCs/>
          <w:sz w:val="24"/>
          <w:szCs w:val="24"/>
        </w:rPr>
        <w:t>Dar vista</w:t>
      </w:r>
      <w:r w:rsidRPr="008E5B0F">
        <w:rPr>
          <w:rFonts w:ascii="Arial" w:eastAsia="Arial" w:hAnsi="Arial" w:cs="Arial"/>
          <w:sz w:val="24"/>
          <w:szCs w:val="24"/>
        </w:rPr>
        <w:t xml:space="preserve"> </w:t>
      </w:r>
      <w:r w:rsidRPr="008E5B0F">
        <w:rPr>
          <w:rFonts w:ascii="Arial" w:hAnsi="Arial" w:cs="Arial"/>
          <w:sz w:val="24"/>
          <w:szCs w:val="24"/>
        </w:rPr>
        <w:t>al Órgano Interno de Control del Instituto Electoral de Michoacán.</w:t>
      </w:r>
    </w:p>
    <w:sdt>
      <w:sdtPr>
        <w:rPr>
          <w:rFonts w:asciiTheme="minorHAnsi" w:eastAsiaTheme="minorEastAsia" w:hAnsiTheme="minorHAnsi" w:cstheme="minorBidi"/>
          <w:color w:val="auto"/>
          <w:sz w:val="21"/>
          <w:szCs w:val="21"/>
        </w:rPr>
        <w:id w:val="592590259"/>
        <w:docPartObj>
          <w:docPartGallery w:val="Table of Contents"/>
          <w:docPartUnique/>
        </w:docPartObj>
      </w:sdtPr>
      <w:sdtContent>
        <w:p w14:paraId="404CFA8D" w14:textId="77777777" w:rsidR="0012716D" w:rsidRPr="008E5B0F" w:rsidRDefault="001E741F">
          <w:pPr>
            <w:pStyle w:val="TtuloTDC"/>
            <w:jc w:val="center"/>
            <w:rPr>
              <w:rFonts w:ascii="Arial" w:hAnsi="Arial" w:cs="Arial"/>
              <w:b/>
              <w:bCs/>
              <w:color w:val="000000" w:themeColor="text1"/>
              <w:sz w:val="24"/>
              <w:szCs w:val="24"/>
            </w:rPr>
          </w:pPr>
          <w:r w:rsidRPr="008E5B0F">
            <w:rPr>
              <w:rFonts w:ascii="Arial" w:hAnsi="Arial" w:cs="Arial"/>
              <w:b/>
              <w:bCs/>
              <w:color w:val="000000" w:themeColor="text1"/>
              <w:sz w:val="24"/>
              <w:szCs w:val="24"/>
              <w:lang w:val="es-ES"/>
            </w:rPr>
            <w:t>ÍNDICE</w:t>
          </w:r>
        </w:p>
        <w:p w14:paraId="404CFA8E" w14:textId="4F39BA03" w:rsidR="00D973BC" w:rsidRPr="008E5B0F" w:rsidRDefault="001E741F">
          <w:pPr>
            <w:pStyle w:val="TDC1"/>
            <w:tabs>
              <w:tab w:val="right" w:leader="dot" w:pos="8544"/>
            </w:tabs>
            <w:rPr>
              <w:noProof/>
              <w:sz w:val="22"/>
              <w:szCs w:val="22"/>
              <w:lang w:eastAsia="es-MX"/>
            </w:rPr>
          </w:pPr>
          <w:r w:rsidRPr="008E5B0F">
            <w:fldChar w:fldCharType="begin"/>
          </w:r>
          <w:r w:rsidRPr="008E5B0F">
            <w:instrText>TOC \o "1-3" \z \u \h</w:instrText>
          </w:r>
          <w:r w:rsidRPr="008E5B0F">
            <w:fldChar w:fldCharType="separate"/>
          </w:r>
          <w:hyperlink w:anchor="_Toc211690205" w:history="1">
            <w:r w:rsidR="00D973BC" w:rsidRPr="008E5B0F">
              <w:rPr>
                <w:rStyle w:val="Hipervnculo"/>
                <w:rFonts w:ascii="Arial" w:hAnsi="Arial" w:cs="Arial"/>
                <w:b/>
                <w:bCs/>
                <w:noProof/>
              </w:rPr>
              <w:t>GLOSARIO</w:t>
            </w:r>
            <w:r w:rsidR="00D973BC" w:rsidRPr="008E5B0F">
              <w:rPr>
                <w:noProof/>
                <w:webHidden/>
              </w:rPr>
              <w:tab/>
            </w:r>
            <w:r w:rsidR="00D973BC" w:rsidRPr="008E5B0F">
              <w:rPr>
                <w:noProof/>
                <w:webHidden/>
              </w:rPr>
              <w:fldChar w:fldCharType="begin"/>
            </w:r>
            <w:r w:rsidR="00D973BC" w:rsidRPr="008E5B0F">
              <w:rPr>
                <w:noProof/>
                <w:webHidden/>
              </w:rPr>
              <w:instrText xml:space="preserve"> PAGEREF _Toc211690205 \h </w:instrText>
            </w:r>
            <w:r w:rsidR="00D973BC" w:rsidRPr="008E5B0F">
              <w:rPr>
                <w:noProof/>
                <w:webHidden/>
              </w:rPr>
            </w:r>
            <w:r w:rsidR="00D973BC" w:rsidRPr="008E5B0F">
              <w:rPr>
                <w:noProof/>
                <w:webHidden/>
              </w:rPr>
              <w:fldChar w:fldCharType="separate"/>
            </w:r>
            <w:r w:rsidR="00807988">
              <w:rPr>
                <w:noProof/>
                <w:webHidden/>
              </w:rPr>
              <w:t>2</w:t>
            </w:r>
            <w:r w:rsidR="00D973BC" w:rsidRPr="008E5B0F">
              <w:rPr>
                <w:noProof/>
                <w:webHidden/>
              </w:rPr>
              <w:fldChar w:fldCharType="end"/>
            </w:r>
          </w:hyperlink>
        </w:p>
        <w:p w14:paraId="404CFA8F" w14:textId="7FF7E0F2" w:rsidR="00D973BC" w:rsidRPr="008E5B0F" w:rsidRDefault="00D973BC">
          <w:pPr>
            <w:pStyle w:val="TDC1"/>
            <w:tabs>
              <w:tab w:val="left" w:pos="660"/>
              <w:tab w:val="right" w:leader="dot" w:pos="8544"/>
            </w:tabs>
            <w:rPr>
              <w:rFonts w:ascii="Arial Narrow" w:hAnsi="Arial Narrow"/>
              <w:noProof/>
              <w:sz w:val="20"/>
              <w:szCs w:val="20"/>
              <w:lang w:eastAsia="es-MX"/>
            </w:rPr>
          </w:pPr>
          <w:hyperlink w:anchor="_Toc211690206" w:history="1">
            <w:r w:rsidRPr="008E5B0F">
              <w:rPr>
                <w:rStyle w:val="Hipervnculo"/>
                <w:rFonts w:ascii="Arial Narrow" w:hAnsi="Arial Narrow" w:cs="Arial"/>
                <w:b/>
                <w:bCs/>
                <w:noProof/>
                <w:sz w:val="20"/>
                <w:szCs w:val="20"/>
              </w:rPr>
              <w:t>I.</w:t>
            </w:r>
            <w:r w:rsidR="00DF50BF" w:rsidRPr="008E5B0F">
              <w:rPr>
                <w:rFonts w:ascii="Arial Narrow" w:hAnsi="Arial Narrow"/>
                <w:noProof/>
                <w:sz w:val="20"/>
                <w:szCs w:val="20"/>
                <w:lang w:eastAsia="es-MX"/>
              </w:rPr>
              <w:t xml:space="preserve"> </w:t>
            </w:r>
            <w:r w:rsidRPr="008E5B0F">
              <w:rPr>
                <w:rStyle w:val="Hipervnculo"/>
                <w:rFonts w:ascii="Arial Narrow" w:hAnsi="Arial Narrow" w:cs="Arial"/>
                <w:b/>
                <w:bCs/>
                <w:noProof/>
                <w:sz w:val="20"/>
                <w:szCs w:val="20"/>
              </w:rPr>
              <w:t>ANTECEDENTES</w:t>
            </w:r>
            <w:r w:rsidRPr="008E5B0F">
              <w:rPr>
                <w:rFonts w:ascii="Arial Narrow" w:hAnsi="Arial Narrow"/>
                <w:noProof/>
                <w:webHidden/>
                <w:sz w:val="20"/>
                <w:szCs w:val="20"/>
              </w:rPr>
              <w:tab/>
            </w:r>
            <w:r w:rsidRPr="008E5B0F">
              <w:rPr>
                <w:rFonts w:ascii="Arial Narrow" w:hAnsi="Arial Narrow"/>
                <w:noProof/>
                <w:webHidden/>
                <w:sz w:val="20"/>
                <w:szCs w:val="20"/>
              </w:rPr>
              <w:fldChar w:fldCharType="begin"/>
            </w:r>
            <w:r w:rsidRPr="008E5B0F">
              <w:rPr>
                <w:rFonts w:ascii="Arial Narrow" w:hAnsi="Arial Narrow"/>
                <w:noProof/>
                <w:webHidden/>
                <w:sz w:val="20"/>
                <w:szCs w:val="20"/>
              </w:rPr>
              <w:instrText xml:space="preserve"> PAGEREF _Toc211690206 \h </w:instrText>
            </w:r>
            <w:r w:rsidRPr="008E5B0F">
              <w:rPr>
                <w:rFonts w:ascii="Arial Narrow" w:hAnsi="Arial Narrow"/>
                <w:noProof/>
                <w:webHidden/>
                <w:sz w:val="20"/>
                <w:szCs w:val="20"/>
              </w:rPr>
            </w:r>
            <w:r w:rsidRPr="008E5B0F">
              <w:rPr>
                <w:rFonts w:ascii="Arial Narrow" w:hAnsi="Arial Narrow"/>
                <w:noProof/>
                <w:webHidden/>
                <w:sz w:val="20"/>
                <w:szCs w:val="20"/>
              </w:rPr>
              <w:fldChar w:fldCharType="separate"/>
            </w:r>
            <w:r w:rsidR="00807988">
              <w:rPr>
                <w:rFonts w:ascii="Arial Narrow" w:hAnsi="Arial Narrow"/>
                <w:noProof/>
                <w:webHidden/>
                <w:sz w:val="20"/>
                <w:szCs w:val="20"/>
              </w:rPr>
              <w:t>3</w:t>
            </w:r>
            <w:r w:rsidRPr="008E5B0F">
              <w:rPr>
                <w:rFonts w:ascii="Arial Narrow" w:hAnsi="Arial Narrow"/>
                <w:noProof/>
                <w:webHidden/>
                <w:sz w:val="20"/>
                <w:szCs w:val="20"/>
              </w:rPr>
              <w:fldChar w:fldCharType="end"/>
            </w:r>
          </w:hyperlink>
        </w:p>
        <w:p w14:paraId="404CFA90" w14:textId="6347E483" w:rsidR="00D973BC" w:rsidRPr="008E5B0F" w:rsidRDefault="00D973BC">
          <w:pPr>
            <w:pStyle w:val="TDC1"/>
            <w:tabs>
              <w:tab w:val="left" w:pos="660"/>
              <w:tab w:val="right" w:leader="dot" w:pos="8544"/>
            </w:tabs>
            <w:rPr>
              <w:rFonts w:ascii="Arial Narrow" w:hAnsi="Arial Narrow"/>
              <w:noProof/>
              <w:sz w:val="20"/>
              <w:szCs w:val="20"/>
              <w:lang w:eastAsia="es-MX"/>
            </w:rPr>
          </w:pPr>
          <w:hyperlink w:anchor="_Toc211690207" w:history="1">
            <w:r w:rsidRPr="008E5B0F">
              <w:rPr>
                <w:rStyle w:val="Hipervnculo"/>
                <w:rFonts w:ascii="Arial Narrow" w:eastAsia="Arial" w:hAnsi="Arial Narrow" w:cs="Arial"/>
                <w:b/>
                <w:noProof/>
                <w:sz w:val="20"/>
                <w:szCs w:val="20"/>
              </w:rPr>
              <w:t>II.</w:t>
            </w:r>
            <w:r w:rsidR="00DF50BF" w:rsidRPr="008E5B0F">
              <w:rPr>
                <w:rFonts w:ascii="Arial Narrow" w:hAnsi="Arial Narrow"/>
                <w:noProof/>
                <w:sz w:val="20"/>
                <w:szCs w:val="20"/>
                <w:lang w:eastAsia="es-MX"/>
              </w:rPr>
              <w:t xml:space="preserve"> </w:t>
            </w:r>
            <w:r w:rsidRPr="008E5B0F">
              <w:rPr>
                <w:rStyle w:val="Hipervnculo"/>
                <w:rFonts w:ascii="Arial Narrow" w:eastAsia="Arial" w:hAnsi="Arial Narrow" w:cs="Arial"/>
                <w:b/>
                <w:noProof/>
                <w:sz w:val="20"/>
                <w:szCs w:val="20"/>
              </w:rPr>
              <w:t>TRÁMITE</w:t>
            </w:r>
            <w:r w:rsidRPr="008E5B0F">
              <w:rPr>
                <w:rFonts w:ascii="Arial Narrow" w:hAnsi="Arial Narrow"/>
                <w:noProof/>
                <w:webHidden/>
                <w:sz w:val="20"/>
                <w:szCs w:val="20"/>
              </w:rPr>
              <w:tab/>
            </w:r>
            <w:r w:rsidRPr="008E5B0F">
              <w:rPr>
                <w:rFonts w:ascii="Arial Narrow" w:hAnsi="Arial Narrow"/>
                <w:noProof/>
                <w:webHidden/>
                <w:sz w:val="20"/>
                <w:szCs w:val="20"/>
              </w:rPr>
              <w:fldChar w:fldCharType="begin"/>
            </w:r>
            <w:r w:rsidRPr="008E5B0F">
              <w:rPr>
                <w:rFonts w:ascii="Arial Narrow" w:hAnsi="Arial Narrow"/>
                <w:noProof/>
                <w:webHidden/>
                <w:sz w:val="20"/>
                <w:szCs w:val="20"/>
              </w:rPr>
              <w:instrText xml:space="preserve"> PAGEREF _Toc211690207 \h </w:instrText>
            </w:r>
            <w:r w:rsidRPr="008E5B0F">
              <w:rPr>
                <w:rFonts w:ascii="Arial Narrow" w:hAnsi="Arial Narrow"/>
                <w:noProof/>
                <w:webHidden/>
                <w:sz w:val="20"/>
                <w:szCs w:val="20"/>
              </w:rPr>
            </w:r>
            <w:r w:rsidRPr="008E5B0F">
              <w:rPr>
                <w:rFonts w:ascii="Arial Narrow" w:hAnsi="Arial Narrow"/>
                <w:noProof/>
                <w:webHidden/>
                <w:sz w:val="20"/>
                <w:szCs w:val="20"/>
              </w:rPr>
              <w:fldChar w:fldCharType="separate"/>
            </w:r>
            <w:r w:rsidR="00807988">
              <w:rPr>
                <w:rFonts w:ascii="Arial Narrow" w:hAnsi="Arial Narrow"/>
                <w:noProof/>
                <w:webHidden/>
                <w:sz w:val="20"/>
                <w:szCs w:val="20"/>
              </w:rPr>
              <w:t>5</w:t>
            </w:r>
            <w:r w:rsidRPr="008E5B0F">
              <w:rPr>
                <w:rFonts w:ascii="Arial Narrow" w:hAnsi="Arial Narrow"/>
                <w:noProof/>
                <w:webHidden/>
                <w:sz w:val="20"/>
                <w:szCs w:val="20"/>
              </w:rPr>
              <w:fldChar w:fldCharType="end"/>
            </w:r>
          </w:hyperlink>
        </w:p>
        <w:p w14:paraId="404CFA91" w14:textId="6DF17E1A" w:rsidR="00D973BC" w:rsidRPr="008E5B0F" w:rsidRDefault="00D973BC" w:rsidP="00DF50BF">
          <w:pPr>
            <w:pStyle w:val="TDC2"/>
            <w:rPr>
              <w:noProof/>
              <w:lang w:eastAsia="es-MX"/>
            </w:rPr>
          </w:pPr>
          <w:hyperlink w:anchor="_Toc211690208" w:history="1">
            <w:r w:rsidRPr="008E5B0F">
              <w:rPr>
                <w:rStyle w:val="Hipervnculo"/>
                <w:rFonts w:ascii="Arial Narrow" w:eastAsia="Arial" w:hAnsi="Arial Narrow" w:cs="Arial"/>
                <w:b/>
                <w:noProof/>
                <w:sz w:val="20"/>
                <w:szCs w:val="20"/>
              </w:rPr>
              <w:t xml:space="preserve">III. </w:t>
            </w:r>
            <w:r w:rsidRPr="008E5B0F">
              <w:rPr>
                <w:rStyle w:val="Hipervnculo"/>
                <w:rFonts w:ascii="Arial Narrow" w:hAnsi="Arial Narrow" w:cs="Arial"/>
                <w:b/>
                <w:bCs/>
                <w:noProof/>
                <w:sz w:val="20"/>
                <w:szCs w:val="20"/>
              </w:rPr>
              <w:t>COMPETENCIA</w:t>
            </w:r>
            <w:r w:rsidRPr="008E5B0F">
              <w:rPr>
                <w:noProof/>
                <w:webHidden/>
              </w:rPr>
              <w:tab/>
            </w:r>
            <w:r w:rsidRPr="008E5B0F">
              <w:rPr>
                <w:noProof/>
                <w:webHidden/>
              </w:rPr>
              <w:fldChar w:fldCharType="begin"/>
            </w:r>
            <w:r w:rsidRPr="008E5B0F">
              <w:rPr>
                <w:noProof/>
                <w:webHidden/>
              </w:rPr>
              <w:instrText xml:space="preserve"> PAGEREF _Toc211690208 \h </w:instrText>
            </w:r>
            <w:r w:rsidRPr="008E5B0F">
              <w:rPr>
                <w:noProof/>
                <w:webHidden/>
              </w:rPr>
            </w:r>
            <w:r w:rsidRPr="008E5B0F">
              <w:rPr>
                <w:noProof/>
                <w:webHidden/>
              </w:rPr>
              <w:fldChar w:fldCharType="separate"/>
            </w:r>
            <w:r w:rsidR="00807988">
              <w:rPr>
                <w:noProof/>
                <w:webHidden/>
              </w:rPr>
              <w:t>6</w:t>
            </w:r>
            <w:r w:rsidRPr="008E5B0F">
              <w:rPr>
                <w:noProof/>
                <w:webHidden/>
              </w:rPr>
              <w:fldChar w:fldCharType="end"/>
            </w:r>
          </w:hyperlink>
        </w:p>
        <w:p w14:paraId="404CFA92" w14:textId="0CEC5EE4" w:rsidR="00D973BC" w:rsidRPr="008E5B0F" w:rsidRDefault="00D973BC">
          <w:pPr>
            <w:pStyle w:val="TDC1"/>
            <w:tabs>
              <w:tab w:val="left" w:pos="660"/>
              <w:tab w:val="right" w:leader="dot" w:pos="8544"/>
            </w:tabs>
            <w:rPr>
              <w:rFonts w:ascii="Arial Narrow" w:hAnsi="Arial Narrow"/>
              <w:noProof/>
              <w:sz w:val="20"/>
              <w:szCs w:val="20"/>
              <w:lang w:eastAsia="es-MX"/>
            </w:rPr>
          </w:pPr>
          <w:hyperlink w:anchor="_Toc211690209" w:history="1">
            <w:r w:rsidRPr="008E5B0F">
              <w:rPr>
                <w:rStyle w:val="Hipervnculo"/>
                <w:rFonts w:ascii="Arial Narrow" w:hAnsi="Arial Narrow" w:cs="Arial"/>
                <w:b/>
                <w:bCs/>
                <w:noProof/>
                <w:sz w:val="20"/>
                <w:szCs w:val="20"/>
              </w:rPr>
              <w:t>IV.</w:t>
            </w:r>
            <w:r w:rsidR="00DF50BF" w:rsidRPr="008E5B0F">
              <w:rPr>
                <w:rFonts w:ascii="Arial Narrow" w:hAnsi="Arial Narrow"/>
                <w:noProof/>
                <w:sz w:val="20"/>
                <w:szCs w:val="20"/>
                <w:lang w:eastAsia="es-MX"/>
              </w:rPr>
              <w:t xml:space="preserve"> </w:t>
            </w:r>
            <w:r w:rsidRPr="008E5B0F">
              <w:rPr>
                <w:rStyle w:val="Hipervnculo"/>
                <w:rFonts w:ascii="Arial Narrow" w:hAnsi="Arial Narrow" w:cs="Arial"/>
                <w:b/>
                <w:bCs/>
                <w:noProof/>
                <w:sz w:val="20"/>
                <w:szCs w:val="20"/>
              </w:rPr>
              <w:t>TERCERO INTERESADO</w:t>
            </w:r>
            <w:r w:rsidRPr="008E5B0F">
              <w:rPr>
                <w:rFonts w:ascii="Arial Narrow" w:hAnsi="Arial Narrow"/>
                <w:noProof/>
                <w:webHidden/>
                <w:sz w:val="20"/>
                <w:szCs w:val="20"/>
              </w:rPr>
              <w:tab/>
            </w:r>
            <w:r w:rsidRPr="008E5B0F">
              <w:rPr>
                <w:rFonts w:ascii="Arial Narrow" w:hAnsi="Arial Narrow"/>
                <w:noProof/>
                <w:webHidden/>
                <w:sz w:val="20"/>
                <w:szCs w:val="20"/>
              </w:rPr>
              <w:fldChar w:fldCharType="begin"/>
            </w:r>
            <w:r w:rsidRPr="008E5B0F">
              <w:rPr>
                <w:rFonts w:ascii="Arial Narrow" w:hAnsi="Arial Narrow"/>
                <w:noProof/>
                <w:webHidden/>
                <w:sz w:val="20"/>
                <w:szCs w:val="20"/>
              </w:rPr>
              <w:instrText xml:space="preserve"> PAGEREF _Toc211690209 \h </w:instrText>
            </w:r>
            <w:r w:rsidRPr="008E5B0F">
              <w:rPr>
                <w:rFonts w:ascii="Arial Narrow" w:hAnsi="Arial Narrow"/>
                <w:noProof/>
                <w:webHidden/>
                <w:sz w:val="20"/>
                <w:szCs w:val="20"/>
              </w:rPr>
            </w:r>
            <w:r w:rsidRPr="008E5B0F">
              <w:rPr>
                <w:rFonts w:ascii="Arial Narrow" w:hAnsi="Arial Narrow"/>
                <w:noProof/>
                <w:webHidden/>
                <w:sz w:val="20"/>
                <w:szCs w:val="20"/>
              </w:rPr>
              <w:fldChar w:fldCharType="separate"/>
            </w:r>
            <w:r w:rsidR="00807988">
              <w:rPr>
                <w:rFonts w:ascii="Arial Narrow" w:hAnsi="Arial Narrow"/>
                <w:noProof/>
                <w:webHidden/>
                <w:sz w:val="20"/>
                <w:szCs w:val="20"/>
              </w:rPr>
              <w:t>6</w:t>
            </w:r>
            <w:r w:rsidRPr="008E5B0F">
              <w:rPr>
                <w:rFonts w:ascii="Arial Narrow" w:hAnsi="Arial Narrow"/>
                <w:noProof/>
                <w:webHidden/>
                <w:sz w:val="20"/>
                <w:szCs w:val="20"/>
              </w:rPr>
              <w:fldChar w:fldCharType="end"/>
            </w:r>
          </w:hyperlink>
        </w:p>
        <w:p w14:paraId="404CFA93" w14:textId="39C40DDC" w:rsidR="00D973BC" w:rsidRPr="008E5B0F" w:rsidRDefault="00D973BC">
          <w:pPr>
            <w:pStyle w:val="TDC1"/>
            <w:tabs>
              <w:tab w:val="right" w:leader="dot" w:pos="8544"/>
            </w:tabs>
            <w:rPr>
              <w:rFonts w:ascii="Arial Narrow" w:hAnsi="Arial Narrow"/>
              <w:noProof/>
              <w:sz w:val="20"/>
              <w:szCs w:val="20"/>
              <w:lang w:eastAsia="es-MX"/>
            </w:rPr>
          </w:pPr>
          <w:hyperlink w:anchor="_Toc211690210" w:history="1">
            <w:r w:rsidRPr="008E5B0F">
              <w:rPr>
                <w:rStyle w:val="Hipervnculo"/>
                <w:rFonts w:ascii="Arial Narrow" w:hAnsi="Arial Narrow" w:cs="Arial"/>
                <w:b/>
                <w:bCs/>
                <w:noProof/>
                <w:sz w:val="20"/>
                <w:szCs w:val="20"/>
              </w:rPr>
              <w:t>V. CAUSALES DE IMPROCEDENCIA</w:t>
            </w:r>
            <w:r w:rsidRPr="008E5B0F">
              <w:rPr>
                <w:rFonts w:ascii="Arial Narrow" w:hAnsi="Arial Narrow"/>
                <w:noProof/>
                <w:webHidden/>
                <w:sz w:val="20"/>
                <w:szCs w:val="20"/>
              </w:rPr>
              <w:tab/>
            </w:r>
            <w:r w:rsidRPr="008E5B0F">
              <w:rPr>
                <w:rFonts w:ascii="Arial Narrow" w:hAnsi="Arial Narrow"/>
                <w:noProof/>
                <w:webHidden/>
                <w:sz w:val="20"/>
                <w:szCs w:val="20"/>
              </w:rPr>
              <w:fldChar w:fldCharType="begin"/>
            </w:r>
            <w:r w:rsidRPr="008E5B0F">
              <w:rPr>
                <w:rFonts w:ascii="Arial Narrow" w:hAnsi="Arial Narrow"/>
                <w:noProof/>
                <w:webHidden/>
                <w:sz w:val="20"/>
                <w:szCs w:val="20"/>
              </w:rPr>
              <w:instrText xml:space="preserve"> PAGEREF _Toc211690210 \h </w:instrText>
            </w:r>
            <w:r w:rsidRPr="008E5B0F">
              <w:rPr>
                <w:rFonts w:ascii="Arial Narrow" w:hAnsi="Arial Narrow"/>
                <w:noProof/>
                <w:webHidden/>
                <w:sz w:val="20"/>
                <w:szCs w:val="20"/>
              </w:rPr>
            </w:r>
            <w:r w:rsidRPr="008E5B0F">
              <w:rPr>
                <w:rFonts w:ascii="Arial Narrow" w:hAnsi="Arial Narrow"/>
                <w:noProof/>
                <w:webHidden/>
                <w:sz w:val="20"/>
                <w:szCs w:val="20"/>
              </w:rPr>
              <w:fldChar w:fldCharType="separate"/>
            </w:r>
            <w:r w:rsidR="00807988">
              <w:rPr>
                <w:rFonts w:ascii="Arial Narrow" w:hAnsi="Arial Narrow"/>
                <w:noProof/>
                <w:webHidden/>
                <w:sz w:val="20"/>
                <w:szCs w:val="20"/>
              </w:rPr>
              <w:t>7</w:t>
            </w:r>
            <w:r w:rsidRPr="008E5B0F">
              <w:rPr>
                <w:rFonts w:ascii="Arial Narrow" w:hAnsi="Arial Narrow"/>
                <w:noProof/>
                <w:webHidden/>
                <w:sz w:val="20"/>
                <w:szCs w:val="20"/>
              </w:rPr>
              <w:fldChar w:fldCharType="end"/>
            </w:r>
          </w:hyperlink>
        </w:p>
        <w:p w14:paraId="404CFA94" w14:textId="14A0FDE7" w:rsidR="00D973BC" w:rsidRPr="008E5B0F" w:rsidRDefault="00D973BC">
          <w:pPr>
            <w:pStyle w:val="TDC1"/>
            <w:tabs>
              <w:tab w:val="left" w:pos="660"/>
              <w:tab w:val="right" w:leader="dot" w:pos="8544"/>
            </w:tabs>
            <w:rPr>
              <w:rFonts w:ascii="Arial Narrow" w:hAnsi="Arial Narrow"/>
              <w:noProof/>
              <w:sz w:val="20"/>
              <w:szCs w:val="20"/>
              <w:lang w:eastAsia="es-MX"/>
            </w:rPr>
          </w:pPr>
          <w:hyperlink w:anchor="_Toc211690211" w:history="1">
            <w:r w:rsidRPr="008E5B0F">
              <w:rPr>
                <w:rStyle w:val="Hipervnculo"/>
                <w:rFonts w:ascii="Arial Narrow" w:hAnsi="Arial Narrow" w:cs="Arial"/>
                <w:b/>
                <w:noProof/>
                <w:sz w:val="20"/>
                <w:szCs w:val="20"/>
              </w:rPr>
              <w:t>VI.</w:t>
            </w:r>
            <w:r w:rsidR="00DF50BF" w:rsidRPr="008E5B0F">
              <w:rPr>
                <w:rFonts w:ascii="Arial Narrow" w:hAnsi="Arial Narrow"/>
                <w:noProof/>
                <w:sz w:val="20"/>
                <w:szCs w:val="20"/>
                <w:lang w:eastAsia="es-MX"/>
              </w:rPr>
              <w:t xml:space="preserve"> </w:t>
            </w:r>
            <w:r w:rsidRPr="008E5B0F">
              <w:rPr>
                <w:rStyle w:val="Hipervnculo"/>
                <w:rFonts w:ascii="Arial Narrow" w:hAnsi="Arial Narrow" w:cs="Arial"/>
                <w:b/>
                <w:bCs/>
                <w:noProof/>
                <w:sz w:val="20"/>
                <w:szCs w:val="20"/>
              </w:rPr>
              <w:t>PROCEDENCIA</w:t>
            </w:r>
            <w:r w:rsidRPr="008E5B0F">
              <w:rPr>
                <w:rFonts w:ascii="Arial Narrow" w:hAnsi="Arial Narrow"/>
                <w:noProof/>
                <w:webHidden/>
                <w:sz w:val="20"/>
                <w:szCs w:val="20"/>
              </w:rPr>
              <w:tab/>
            </w:r>
            <w:r w:rsidRPr="008E5B0F">
              <w:rPr>
                <w:rFonts w:ascii="Arial Narrow" w:hAnsi="Arial Narrow"/>
                <w:noProof/>
                <w:webHidden/>
                <w:sz w:val="20"/>
                <w:szCs w:val="20"/>
              </w:rPr>
              <w:fldChar w:fldCharType="begin"/>
            </w:r>
            <w:r w:rsidRPr="008E5B0F">
              <w:rPr>
                <w:rFonts w:ascii="Arial Narrow" w:hAnsi="Arial Narrow"/>
                <w:noProof/>
                <w:webHidden/>
                <w:sz w:val="20"/>
                <w:szCs w:val="20"/>
              </w:rPr>
              <w:instrText xml:space="preserve"> PAGEREF _Toc211690211 \h </w:instrText>
            </w:r>
            <w:r w:rsidRPr="008E5B0F">
              <w:rPr>
                <w:rFonts w:ascii="Arial Narrow" w:hAnsi="Arial Narrow"/>
                <w:noProof/>
                <w:webHidden/>
                <w:sz w:val="20"/>
                <w:szCs w:val="20"/>
              </w:rPr>
            </w:r>
            <w:r w:rsidRPr="008E5B0F">
              <w:rPr>
                <w:rFonts w:ascii="Arial Narrow" w:hAnsi="Arial Narrow"/>
                <w:noProof/>
                <w:webHidden/>
                <w:sz w:val="20"/>
                <w:szCs w:val="20"/>
              </w:rPr>
              <w:fldChar w:fldCharType="separate"/>
            </w:r>
            <w:r w:rsidR="00807988">
              <w:rPr>
                <w:rFonts w:ascii="Arial Narrow" w:hAnsi="Arial Narrow"/>
                <w:noProof/>
                <w:webHidden/>
                <w:sz w:val="20"/>
                <w:szCs w:val="20"/>
              </w:rPr>
              <w:t>9</w:t>
            </w:r>
            <w:r w:rsidRPr="008E5B0F">
              <w:rPr>
                <w:rFonts w:ascii="Arial Narrow" w:hAnsi="Arial Narrow"/>
                <w:noProof/>
                <w:webHidden/>
                <w:sz w:val="20"/>
                <w:szCs w:val="20"/>
              </w:rPr>
              <w:fldChar w:fldCharType="end"/>
            </w:r>
          </w:hyperlink>
        </w:p>
        <w:p w14:paraId="404CFA95" w14:textId="50A4B052" w:rsidR="00D973BC" w:rsidRPr="008E5B0F" w:rsidRDefault="00D973BC" w:rsidP="00DF50BF">
          <w:pPr>
            <w:pStyle w:val="TDC2"/>
            <w:rPr>
              <w:noProof/>
              <w:lang w:eastAsia="es-MX"/>
            </w:rPr>
          </w:pPr>
          <w:hyperlink w:anchor="_Toc211690212" w:history="1">
            <w:r w:rsidRPr="008E5B0F">
              <w:rPr>
                <w:rStyle w:val="Hipervnculo"/>
                <w:rFonts w:ascii="Arial Narrow" w:hAnsi="Arial Narrow" w:cs="Arial"/>
                <w:b/>
                <w:bCs/>
                <w:noProof/>
                <w:sz w:val="20"/>
                <w:szCs w:val="20"/>
                <w:lang w:eastAsia="es-MX"/>
              </w:rPr>
              <w:t>VII. ESTUDIO DE FONDO</w:t>
            </w:r>
            <w:r w:rsidRPr="008E5B0F">
              <w:rPr>
                <w:noProof/>
                <w:webHidden/>
              </w:rPr>
              <w:tab/>
            </w:r>
            <w:r w:rsidRPr="008E5B0F">
              <w:rPr>
                <w:noProof/>
                <w:webHidden/>
              </w:rPr>
              <w:fldChar w:fldCharType="begin"/>
            </w:r>
            <w:r w:rsidRPr="008E5B0F">
              <w:rPr>
                <w:noProof/>
                <w:webHidden/>
              </w:rPr>
              <w:instrText xml:space="preserve"> PAGEREF _Toc211690212 \h </w:instrText>
            </w:r>
            <w:r w:rsidRPr="008E5B0F">
              <w:rPr>
                <w:noProof/>
                <w:webHidden/>
              </w:rPr>
            </w:r>
            <w:r w:rsidRPr="008E5B0F">
              <w:rPr>
                <w:noProof/>
                <w:webHidden/>
              </w:rPr>
              <w:fldChar w:fldCharType="separate"/>
            </w:r>
            <w:r w:rsidR="00807988">
              <w:rPr>
                <w:noProof/>
                <w:webHidden/>
              </w:rPr>
              <w:t>10</w:t>
            </w:r>
            <w:r w:rsidRPr="008E5B0F">
              <w:rPr>
                <w:noProof/>
                <w:webHidden/>
              </w:rPr>
              <w:fldChar w:fldCharType="end"/>
            </w:r>
          </w:hyperlink>
        </w:p>
        <w:p w14:paraId="404CFA96" w14:textId="673807D4" w:rsidR="00D973BC" w:rsidRPr="008E5B0F" w:rsidRDefault="00D973BC" w:rsidP="00DF50BF">
          <w:pPr>
            <w:pStyle w:val="TDC2"/>
            <w:rPr>
              <w:noProof/>
              <w:lang w:eastAsia="es-MX"/>
            </w:rPr>
          </w:pPr>
          <w:hyperlink w:anchor="_Toc211690213" w:history="1">
            <w:r w:rsidRPr="008E5B0F">
              <w:rPr>
                <w:rStyle w:val="Hipervnculo"/>
                <w:rFonts w:ascii="Arial Narrow" w:hAnsi="Arial Narrow" w:cs="Arial"/>
                <w:b/>
                <w:bCs/>
                <w:noProof/>
                <w:sz w:val="20"/>
                <w:szCs w:val="20"/>
                <w:lang w:eastAsia="es-MX"/>
              </w:rPr>
              <w:t>7.1. Contexto del caso concreto</w:t>
            </w:r>
            <w:r w:rsidRPr="008E5B0F">
              <w:rPr>
                <w:noProof/>
                <w:webHidden/>
              </w:rPr>
              <w:tab/>
            </w:r>
            <w:r w:rsidRPr="008E5B0F">
              <w:rPr>
                <w:noProof/>
                <w:webHidden/>
              </w:rPr>
              <w:fldChar w:fldCharType="begin"/>
            </w:r>
            <w:r w:rsidRPr="008E5B0F">
              <w:rPr>
                <w:noProof/>
                <w:webHidden/>
              </w:rPr>
              <w:instrText xml:space="preserve"> PAGEREF _Toc211690213 \h </w:instrText>
            </w:r>
            <w:r w:rsidRPr="008E5B0F">
              <w:rPr>
                <w:noProof/>
                <w:webHidden/>
              </w:rPr>
            </w:r>
            <w:r w:rsidRPr="008E5B0F">
              <w:rPr>
                <w:noProof/>
                <w:webHidden/>
              </w:rPr>
              <w:fldChar w:fldCharType="separate"/>
            </w:r>
            <w:r w:rsidR="00807988">
              <w:rPr>
                <w:noProof/>
                <w:webHidden/>
              </w:rPr>
              <w:t>10</w:t>
            </w:r>
            <w:r w:rsidRPr="008E5B0F">
              <w:rPr>
                <w:noProof/>
                <w:webHidden/>
              </w:rPr>
              <w:fldChar w:fldCharType="end"/>
            </w:r>
          </w:hyperlink>
        </w:p>
        <w:p w14:paraId="404CFA97" w14:textId="3E6960EA" w:rsidR="00D973BC" w:rsidRPr="008E5B0F" w:rsidRDefault="00D973BC" w:rsidP="00DF50BF">
          <w:pPr>
            <w:pStyle w:val="TDC2"/>
            <w:rPr>
              <w:noProof/>
              <w:lang w:eastAsia="es-MX"/>
            </w:rPr>
          </w:pPr>
          <w:hyperlink w:anchor="_Toc211690214" w:history="1">
            <w:r w:rsidRPr="008E5B0F">
              <w:rPr>
                <w:rStyle w:val="Hipervnculo"/>
                <w:rFonts w:ascii="Arial Narrow" w:hAnsi="Arial Narrow" w:cs="Arial"/>
                <w:b/>
                <w:bCs/>
                <w:noProof/>
                <w:sz w:val="20"/>
                <w:szCs w:val="20"/>
                <w:lang w:eastAsia="es-MX"/>
              </w:rPr>
              <w:t>7.2. Agravios</w:t>
            </w:r>
            <w:r w:rsidRPr="008E5B0F">
              <w:rPr>
                <w:noProof/>
                <w:webHidden/>
              </w:rPr>
              <w:tab/>
            </w:r>
            <w:r w:rsidRPr="008E5B0F">
              <w:rPr>
                <w:noProof/>
                <w:webHidden/>
              </w:rPr>
              <w:fldChar w:fldCharType="begin"/>
            </w:r>
            <w:r w:rsidRPr="008E5B0F">
              <w:rPr>
                <w:noProof/>
                <w:webHidden/>
              </w:rPr>
              <w:instrText xml:space="preserve"> PAGEREF _Toc211690214 \h </w:instrText>
            </w:r>
            <w:r w:rsidRPr="008E5B0F">
              <w:rPr>
                <w:noProof/>
                <w:webHidden/>
              </w:rPr>
            </w:r>
            <w:r w:rsidRPr="008E5B0F">
              <w:rPr>
                <w:noProof/>
                <w:webHidden/>
              </w:rPr>
              <w:fldChar w:fldCharType="separate"/>
            </w:r>
            <w:r w:rsidR="00807988">
              <w:rPr>
                <w:noProof/>
                <w:webHidden/>
              </w:rPr>
              <w:t>10</w:t>
            </w:r>
            <w:r w:rsidRPr="008E5B0F">
              <w:rPr>
                <w:noProof/>
                <w:webHidden/>
              </w:rPr>
              <w:fldChar w:fldCharType="end"/>
            </w:r>
          </w:hyperlink>
        </w:p>
        <w:p w14:paraId="404CFA98" w14:textId="06DC2243" w:rsidR="00D973BC" w:rsidRPr="008E5B0F" w:rsidRDefault="00D973BC" w:rsidP="00DF50BF">
          <w:pPr>
            <w:pStyle w:val="TDC2"/>
            <w:rPr>
              <w:noProof/>
              <w:lang w:eastAsia="es-MX"/>
            </w:rPr>
          </w:pPr>
          <w:hyperlink w:anchor="_Toc211690215" w:history="1">
            <w:r w:rsidRPr="008E5B0F">
              <w:rPr>
                <w:rStyle w:val="Hipervnculo"/>
                <w:rFonts w:ascii="Arial Narrow" w:hAnsi="Arial Narrow" w:cs="Arial"/>
                <w:b/>
                <w:bCs/>
                <w:noProof/>
                <w:sz w:val="20"/>
                <w:szCs w:val="20"/>
              </w:rPr>
              <w:t>7.3. Pretensión</w:t>
            </w:r>
            <w:r w:rsidRPr="008E5B0F">
              <w:rPr>
                <w:noProof/>
                <w:webHidden/>
              </w:rPr>
              <w:tab/>
            </w:r>
            <w:r w:rsidRPr="008E5B0F">
              <w:rPr>
                <w:noProof/>
                <w:webHidden/>
              </w:rPr>
              <w:fldChar w:fldCharType="begin"/>
            </w:r>
            <w:r w:rsidRPr="008E5B0F">
              <w:rPr>
                <w:noProof/>
                <w:webHidden/>
              </w:rPr>
              <w:instrText xml:space="preserve"> PAGEREF _Toc211690215 \h </w:instrText>
            </w:r>
            <w:r w:rsidRPr="008E5B0F">
              <w:rPr>
                <w:noProof/>
                <w:webHidden/>
              </w:rPr>
            </w:r>
            <w:r w:rsidRPr="008E5B0F">
              <w:rPr>
                <w:noProof/>
                <w:webHidden/>
              </w:rPr>
              <w:fldChar w:fldCharType="separate"/>
            </w:r>
            <w:r w:rsidR="00807988">
              <w:rPr>
                <w:noProof/>
                <w:webHidden/>
              </w:rPr>
              <w:t>11</w:t>
            </w:r>
            <w:r w:rsidRPr="008E5B0F">
              <w:rPr>
                <w:noProof/>
                <w:webHidden/>
              </w:rPr>
              <w:fldChar w:fldCharType="end"/>
            </w:r>
          </w:hyperlink>
        </w:p>
        <w:p w14:paraId="404CFA99" w14:textId="1B645C75" w:rsidR="00D973BC" w:rsidRPr="008E5B0F" w:rsidRDefault="00D973BC" w:rsidP="00DF50BF">
          <w:pPr>
            <w:pStyle w:val="TDC2"/>
            <w:rPr>
              <w:noProof/>
              <w:lang w:eastAsia="es-MX"/>
            </w:rPr>
          </w:pPr>
          <w:hyperlink w:anchor="_Toc211690216" w:history="1">
            <w:r w:rsidRPr="008E5B0F">
              <w:rPr>
                <w:rStyle w:val="Hipervnculo"/>
                <w:rFonts w:ascii="Arial Narrow" w:hAnsi="Arial Narrow" w:cs="Arial"/>
                <w:b/>
                <w:bCs/>
                <w:noProof/>
                <w:sz w:val="20"/>
                <w:szCs w:val="20"/>
              </w:rPr>
              <w:t>7.4</w:t>
            </w:r>
            <w:r w:rsidRPr="008E5B0F">
              <w:rPr>
                <w:rStyle w:val="Hipervnculo"/>
                <w:rFonts w:ascii="Arial Narrow" w:hAnsi="Arial Narrow" w:cs="Arial"/>
                <w:b/>
                <w:bCs/>
                <w:noProof/>
                <w:sz w:val="20"/>
                <w:szCs w:val="20"/>
                <w:lang w:eastAsia="es-MX"/>
              </w:rPr>
              <w:t>. Marco normativo</w:t>
            </w:r>
            <w:r w:rsidRPr="008E5B0F">
              <w:rPr>
                <w:noProof/>
                <w:webHidden/>
              </w:rPr>
              <w:tab/>
            </w:r>
            <w:r w:rsidRPr="008E5B0F">
              <w:rPr>
                <w:noProof/>
                <w:webHidden/>
              </w:rPr>
              <w:fldChar w:fldCharType="begin"/>
            </w:r>
            <w:r w:rsidRPr="008E5B0F">
              <w:rPr>
                <w:noProof/>
                <w:webHidden/>
              </w:rPr>
              <w:instrText xml:space="preserve"> PAGEREF _Toc211690216 \h </w:instrText>
            </w:r>
            <w:r w:rsidRPr="008E5B0F">
              <w:rPr>
                <w:noProof/>
                <w:webHidden/>
              </w:rPr>
            </w:r>
            <w:r w:rsidRPr="008E5B0F">
              <w:rPr>
                <w:noProof/>
                <w:webHidden/>
              </w:rPr>
              <w:fldChar w:fldCharType="separate"/>
            </w:r>
            <w:r w:rsidR="00807988">
              <w:rPr>
                <w:noProof/>
                <w:webHidden/>
              </w:rPr>
              <w:t>11</w:t>
            </w:r>
            <w:r w:rsidRPr="008E5B0F">
              <w:rPr>
                <w:noProof/>
                <w:webHidden/>
              </w:rPr>
              <w:fldChar w:fldCharType="end"/>
            </w:r>
          </w:hyperlink>
        </w:p>
        <w:p w14:paraId="404CFA9A" w14:textId="3345B037" w:rsidR="00D973BC" w:rsidRPr="008E5B0F" w:rsidRDefault="00D973BC" w:rsidP="00DF50BF">
          <w:pPr>
            <w:pStyle w:val="TDC2"/>
            <w:rPr>
              <w:noProof/>
              <w:lang w:eastAsia="es-MX"/>
            </w:rPr>
          </w:pPr>
          <w:hyperlink w:anchor="_Toc211690217" w:history="1">
            <w:r w:rsidRPr="008E5B0F">
              <w:rPr>
                <w:rStyle w:val="Hipervnculo"/>
                <w:rFonts w:ascii="Arial Narrow" w:hAnsi="Arial Narrow" w:cs="Arial"/>
                <w:b/>
                <w:bCs/>
                <w:noProof/>
                <w:sz w:val="20"/>
                <w:szCs w:val="20"/>
              </w:rPr>
              <w:t>7.5. Metodología de estudio</w:t>
            </w:r>
            <w:r w:rsidRPr="008E5B0F">
              <w:rPr>
                <w:noProof/>
                <w:webHidden/>
              </w:rPr>
              <w:tab/>
            </w:r>
            <w:r w:rsidRPr="008E5B0F">
              <w:rPr>
                <w:noProof/>
                <w:webHidden/>
              </w:rPr>
              <w:fldChar w:fldCharType="begin"/>
            </w:r>
            <w:r w:rsidRPr="008E5B0F">
              <w:rPr>
                <w:noProof/>
                <w:webHidden/>
              </w:rPr>
              <w:instrText xml:space="preserve"> PAGEREF _Toc211690217 \h </w:instrText>
            </w:r>
            <w:r w:rsidRPr="008E5B0F">
              <w:rPr>
                <w:noProof/>
                <w:webHidden/>
              </w:rPr>
            </w:r>
            <w:r w:rsidRPr="008E5B0F">
              <w:rPr>
                <w:noProof/>
                <w:webHidden/>
              </w:rPr>
              <w:fldChar w:fldCharType="separate"/>
            </w:r>
            <w:r w:rsidR="00807988">
              <w:rPr>
                <w:noProof/>
                <w:webHidden/>
              </w:rPr>
              <w:t>15</w:t>
            </w:r>
            <w:r w:rsidRPr="008E5B0F">
              <w:rPr>
                <w:noProof/>
                <w:webHidden/>
              </w:rPr>
              <w:fldChar w:fldCharType="end"/>
            </w:r>
          </w:hyperlink>
        </w:p>
        <w:p w14:paraId="404CFA9B" w14:textId="14717CCC" w:rsidR="00D973BC" w:rsidRPr="008E5B0F" w:rsidRDefault="00D973BC" w:rsidP="00DF50BF">
          <w:pPr>
            <w:pStyle w:val="TDC2"/>
            <w:rPr>
              <w:noProof/>
              <w:lang w:eastAsia="es-MX"/>
            </w:rPr>
          </w:pPr>
          <w:hyperlink w:anchor="_Toc211690218" w:history="1">
            <w:r w:rsidRPr="008E5B0F">
              <w:rPr>
                <w:rStyle w:val="Hipervnculo"/>
                <w:rFonts w:ascii="Arial Narrow" w:hAnsi="Arial Narrow" w:cs="Arial"/>
                <w:b/>
                <w:bCs/>
                <w:noProof/>
                <w:sz w:val="20"/>
                <w:szCs w:val="20"/>
                <w:lang w:eastAsia="es-MX"/>
              </w:rPr>
              <w:t>7.6. Análisis de agravios</w:t>
            </w:r>
            <w:r w:rsidRPr="008E5B0F">
              <w:rPr>
                <w:noProof/>
                <w:webHidden/>
              </w:rPr>
              <w:tab/>
            </w:r>
            <w:r w:rsidRPr="008E5B0F">
              <w:rPr>
                <w:noProof/>
                <w:webHidden/>
              </w:rPr>
              <w:fldChar w:fldCharType="begin"/>
            </w:r>
            <w:r w:rsidRPr="008E5B0F">
              <w:rPr>
                <w:noProof/>
                <w:webHidden/>
              </w:rPr>
              <w:instrText xml:space="preserve"> PAGEREF _Toc211690218 \h </w:instrText>
            </w:r>
            <w:r w:rsidRPr="008E5B0F">
              <w:rPr>
                <w:noProof/>
                <w:webHidden/>
              </w:rPr>
            </w:r>
            <w:r w:rsidRPr="008E5B0F">
              <w:rPr>
                <w:noProof/>
                <w:webHidden/>
              </w:rPr>
              <w:fldChar w:fldCharType="separate"/>
            </w:r>
            <w:r w:rsidR="00807988">
              <w:rPr>
                <w:noProof/>
                <w:webHidden/>
              </w:rPr>
              <w:t>16</w:t>
            </w:r>
            <w:r w:rsidRPr="008E5B0F">
              <w:rPr>
                <w:noProof/>
                <w:webHidden/>
              </w:rPr>
              <w:fldChar w:fldCharType="end"/>
            </w:r>
          </w:hyperlink>
        </w:p>
        <w:p w14:paraId="404CFA9C" w14:textId="402CF440" w:rsidR="00D973BC" w:rsidRPr="008E5B0F" w:rsidRDefault="00D973BC" w:rsidP="00DF50BF">
          <w:pPr>
            <w:pStyle w:val="TDC2"/>
            <w:rPr>
              <w:noProof/>
              <w:lang w:eastAsia="es-MX"/>
            </w:rPr>
          </w:pPr>
          <w:hyperlink w:anchor="_Toc211690219" w:history="1">
            <w:r w:rsidRPr="008E5B0F">
              <w:rPr>
                <w:rStyle w:val="Hipervnculo"/>
                <w:rFonts w:ascii="Arial Narrow" w:hAnsi="Arial Narrow" w:cs="Arial"/>
                <w:b/>
                <w:bCs/>
                <w:noProof/>
                <w:sz w:val="20"/>
                <w:szCs w:val="20"/>
              </w:rPr>
              <w:t>7.7. Vista</w:t>
            </w:r>
            <w:r w:rsidRPr="008E5B0F">
              <w:rPr>
                <w:noProof/>
                <w:webHidden/>
              </w:rPr>
              <w:tab/>
            </w:r>
            <w:r w:rsidRPr="008E5B0F">
              <w:rPr>
                <w:noProof/>
                <w:webHidden/>
              </w:rPr>
              <w:fldChar w:fldCharType="begin"/>
            </w:r>
            <w:r w:rsidRPr="008E5B0F">
              <w:rPr>
                <w:noProof/>
                <w:webHidden/>
              </w:rPr>
              <w:instrText xml:space="preserve"> PAGEREF _Toc211690219 \h </w:instrText>
            </w:r>
            <w:r w:rsidRPr="008E5B0F">
              <w:rPr>
                <w:noProof/>
                <w:webHidden/>
              </w:rPr>
            </w:r>
            <w:r w:rsidRPr="008E5B0F">
              <w:rPr>
                <w:noProof/>
                <w:webHidden/>
              </w:rPr>
              <w:fldChar w:fldCharType="separate"/>
            </w:r>
            <w:r w:rsidR="00807988">
              <w:rPr>
                <w:noProof/>
                <w:webHidden/>
              </w:rPr>
              <w:t>27</w:t>
            </w:r>
            <w:r w:rsidRPr="008E5B0F">
              <w:rPr>
                <w:noProof/>
                <w:webHidden/>
              </w:rPr>
              <w:fldChar w:fldCharType="end"/>
            </w:r>
          </w:hyperlink>
        </w:p>
        <w:p w14:paraId="404CFA9D" w14:textId="65E2EB3C" w:rsidR="00D973BC" w:rsidRPr="008E5B0F" w:rsidRDefault="00D973BC">
          <w:pPr>
            <w:pStyle w:val="TDC3"/>
            <w:rPr>
              <w:rFonts w:ascii="Arial Narrow" w:hAnsi="Arial Narrow"/>
              <w:noProof/>
              <w:sz w:val="20"/>
              <w:szCs w:val="20"/>
              <w:lang w:eastAsia="es-MX"/>
            </w:rPr>
          </w:pPr>
          <w:hyperlink w:anchor="_Toc211690220" w:history="1">
            <w:r w:rsidRPr="008E5B0F">
              <w:rPr>
                <w:rStyle w:val="Hipervnculo"/>
                <w:rFonts w:ascii="Arial Narrow" w:hAnsi="Arial Narrow" w:cs="Arial"/>
                <w:b/>
                <w:bCs/>
                <w:noProof/>
                <w:sz w:val="20"/>
                <w:szCs w:val="20"/>
              </w:rPr>
              <w:t>VIII. RESOLUTIVOS</w:t>
            </w:r>
            <w:r w:rsidRPr="008E5B0F">
              <w:rPr>
                <w:rFonts w:ascii="Arial Narrow" w:hAnsi="Arial Narrow"/>
                <w:noProof/>
                <w:webHidden/>
                <w:sz w:val="20"/>
                <w:szCs w:val="20"/>
              </w:rPr>
              <w:tab/>
            </w:r>
            <w:r w:rsidRPr="008E5B0F">
              <w:rPr>
                <w:rFonts w:ascii="Arial Narrow" w:hAnsi="Arial Narrow"/>
                <w:noProof/>
                <w:webHidden/>
                <w:sz w:val="20"/>
                <w:szCs w:val="20"/>
              </w:rPr>
              <w:fldChar w:fldCharType="begin"/>
            </w:r>
            <w:r w:rsidRPr="008E5B0F">
              <w:rPr>
                <w:rFonts w:ascii="Arial Narrow" w:hAnsi="Arial Narrow"/>
                <w:noProof/>
                <w:webHidden/>
                <w:sz w:val="20"/>
                <w:szCs w:val="20"/>
              </w:rPr>
              <w:instrText xml:space="preserve"> PAGEREF _Toc211690220 \h </w:instrText>
            </w:r>
            <w:r w:rsidRPr="008E5B0F">
              <w:rPr>
                <w:rFonts w:ascii="Arial Narrow" w:hAnsi="Arial Narrow"/>
                <w:noProof/>
                <w:webHidden/>
                <w:sz w:val="20"/>
                <w:szCs w:val="20"/>
              </w:rPr>
            </w:r>
            <w:r w:rsidRPr="008E5B0F">
              <w:rPr>
                <w:rFonts w:ascii="Arial Narrow" w:hAnsi="Arial Narrow"/>
                <w:noProof/>
                <w:webHidden/>
                <w:sz w:val="20"/>
                <w:szCs w:val="20"/>
              </w:rPr>
              <w:fldChar w:fldCharType="separate"/>
            </w:r>
            <w:r w:rsidR="00807988">
              <w:rPr>
                <w:rFonts w:ascii="Arial Narrow" w:hAnsi="Arial Narrow"/>
                <w:noProof/>
                <w:webHidden/>
                <w:sz w:val="20"/>
                <w:szCs w:val="20"/>
              </w:rPr>
              <w:t>28</w:t>
            </w:r>
            <w:r w:rsidRPr="008E5B0F">
              <w:rPr>
                <w:rFonts w:ascii="Arial Narrow" w:hAnsi="Arial Narrow"/>
                <w:noProof/>
                <w:webHidden/>
                <w:sz w:val="20"/>
                <w:szCs w:val="20"/>
              </w:rPr>
              <w:fldChar w:fldCharType="end"/>
            </w:r>
          </w:hyperlink>
        </w:p>
        <w:p w14:paraId="404CFA9E" w14:textId="77777777" w:rsidR="0012716D" w:rsidRPr="008E5B0F" w:rsidRDefault="001E741F">
          <w:pPr>
            <w:pStyle w:val="TDC3"/>
            <w:rPr>
              <w:rStyle w:val="Hipervnculo"/>
              <w:noProof/>
              <w:kern w:val="2"/>
              <w:lang w:eastAsia="es-MX"/>
              <w14:ligatures w14:val="standardContextual"/>
            </w:rPr>
          </w:pPr>
          <w:r w:rsidRPr="008E5B0F">
            <w:fldChar w:fldCharType="end"/>
          </w:r>
        </w:p>
      </w:sdtContent>
    </w:sdt>
    <w:p w14:paraId="404CFA9F" w14:textId="77777777" w:rsidR="0012716D" w:rsidRPr="008E5B0F" w:rsidRDefault="001E741F">
      <w:pPr>
        <w:pStyle w:val="Ttulo1"/>
        <w:jc w:val="center"/>
        <w:rPr>
          <w:rStyle w:val="Ttulo1Car"/>
          <w:rFonts w:ascii="Arial" w:hAnsi="Arial" w:cs="Arial"/>
          <w:b/>
          <w:bCs/>
          <w:color w:val="000000" w:themeColor="text1"/>
          <w:sz w:val="24"/>
          <w:szCs w:val="24"/>
        </w:rPr>
      </w:pPr>
      <w:bookmarkStart w:id="1" w:name="_Toc211690205"/>
      <w:r w:rsidRPr="008E5B0F">
        <w:rPr>
          <w:rStyle w:val="Ttulo1Car"/>
          <w:rFonts w:ascii="Arial" w:hAnsi="Arial" w:cs="Arial"/>
          <w:b/>
          <w:bCs/>
          <w:color w:val="000000" w:themeColor="text1"/>
          <w:sz w:val="24"/>
          <w:szCs w:val="24"/>
        </w:rPr>
        <w:t>GLOSARIO</w:t>
      </w:r>
      <w:bookmarkEnd w:id="1"/>
    </w:p>
    <w:p w14:paraId="404CFAA0" w14:textId="77777777" w:rsidR="0012716D" w:rsidRPr="008E5B0F" w:rsidRDefault="0012716D"/>
    <w:tbl>
      <w:tblPr>
        <w:tblStyle w:val="Tablaconcuadrcula"/>
        <w:tblW w:w="0" w:type="auto"/>
        <w:tblInd w:w="846" w:type="dxa"/>
        <w:tblLook w:val="04A0" w:firstRow="1" w:lastRow="0" w:firstColumn="1" w:lastColumn="0" w:noHBand="0" w:noVBand="1"/>
      </w:tblPr>
      <w:tblGrid>
        <w:gridCol w:w="2410"/>
        <w:gridCol w:w="4394"/>
      </w:tblGrid>
      <w:tr w:rsidR="00744EDE" w:rsidRPr="008E5B0F" w14:paraId="404CFAA3" w14:textId="77777777">
        <w:tc>
          <w:tcPr>
            <w:tcW w:w="2410" w:type="dxa"/>
            <w:vAlign w:val="center"/>
          </w:tcPr>
          <w:p w14:paraId="404CFAA1"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 xml:space="preserve">Acta de Instalación: </w:t>
            </w:r>
          </w:p>
        </w:tc>
        <w:tc>
          <w:tcPr>
            <w:tcW w:w="4394" w:type="dxa"/>
            <w:vAlign w:val="center"/>
          </w:tcPr>
          <w:p w14:paraId="404CFAA2"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Acta de Sesión Solemne de Instalación de Cabildo (sic), del Honorable Ayuntamiento Constitucional del Municipio de Tangancícuaro, Michoacán, para el periodo 2024-2027. </w:t>
            </w:r>
          </w:p>
        </w:tc>
      </w:tr>
      <w:tr w:rsidR="00744EDE" w:rsidRPr="008E5B0F" w14:paraId="404CFAA6" w14:textId="77777777">
        <w:tc>
          <w:tcPr>
            <w:tcW w:w="2410" w:type="dxa"/>
            <w:vAlign w:val="center"/>
          </w:tcPr>
          <w:p w14:paraId="404CFAA4" w14:textId="77777777" w:rsidR="00744EDE" w:rsidRPr="008E5B0F" w:rsidRDefault="00916DAB">
            <w:pPr>
              <w:spacing w:before="120"/>
              <w:rPr>
                <w:rFonts w:ascii="Arial Narrow" w:eastAsia="Arial" w:hAnsi="Arial Narrow" w:cs="Arial"/>
                <w:b/>
                <w:i/>
                <w:sz w:val="20"/>
                <w:szCs w:val="20"/>
              </w:rPr>
            </w:pPr>
            <w:r w:rsidRPr="008E5B0F">
              <w:rPr>
                <w:rFonts w:ascii="Arial Narrow" w:eastAsia="Arial" w:hAnsi="Arial Narrow" w:cs="Arial"/>
                <w:b/>
                <w:i/>
                <w:sz w:val="20"/>
                <w:szCs w:val="20"/>
              </w:rPr>
              <w:t>a</w:t>
            </w:r>
            <w:r w:rsidR="00744EDE" w:rsidRPr="008E5B0F">
              <w:rPr>
                <w:rFonts w:ascii="Arial Narrow" w:eastAsia="Arial" w:hAnsi="Arial Narrow" w:cs="Arial"/>
                <w:b/>
                <w:i/>
                <w:sz w:val="20"/>
                <w:szCs w:val="20"/>
              </w:rPr>
              <w:t>cuerdo IEM-CG-141/2024:</w:t>
            </w:r>
          </w:p>
        </w:tc>
        <w:tc>
          <w:tcPr>
            <w:tcW w:w="4394" w:type="dxa"/>
            <w:vAlign w:val="center"/>
          </w:tcPr>
          <w:p w14:paraId="404CFAA5"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Acuerdo No. IEM-CG-141/2024 que presenta la Secretaría Ejecutiva al Consejo General del Instituto Electoral de Michoacán, respecto al Dictamen de las solicitudes de registro de las planillas de candidaturas a integrar ayuntamientos, en el Estado de Michoacán, postuladas por el Partido Revolucionario Institucional, para el proceso electoral local ordinario 2023-2024.</w:t>
            </w:r>
          </w:p>
        </w:tc>
      </w:tr>
      <w:tr w:rsidR="00744EDE" w:rsidRPr="008E5B0F" w14:paraId="404CFAA9" w14:textId="77777777">
        <w:tc>
          <w:tcPr>
            <w:tcW w:w="2410" w:type="dxa"/>
            <w:vAlign w:val="center"/>
          </w:tcPr>
          <w:p w14:paraId="404CFAA7"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acuerdo IEM-CG-154/2024:</w:t>
            </w:r>
          </w:p>
        </w:tc>
        <w:tc>
          <w:tcPr>
            <w:tcW w:w="4394" w:type="dxa"/>
            <w:vAlign w:val="center"/>
          </w:tcPr>
          <w:p w14:paraId="404CFAA8"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Acuerdo IEM-CG-154/2024 del Consejo General del Instituto Electoral de Michoacán, respecto al dictamen del cumplimiento de las Acciones Afirmativas a favor de personas con discapacidad, de la población LGBTIAQ+, indígenas y migrantes, en la postulación de candidaturas a integrar ayuntamientos para el Proceso Electoral Ordinario Local 2023-2024, presentadas por los partidos políticos.</w:t>
            </w:r>
          </w:p>
        </w:tc>
      </w:tr>
      <w:tr w:rsidR="00744EDE" w:rsidRPr="008E5B0F" w14:paraId="404CFAAC" w14:textId="77777777">
        <w:tc>
          <w:tcPr>
            <w:tcW w:w="2410" w:type="dxa"/>
            <w:vAlign w:val="center"/>
          </w:tcPr>
          <w:p w14:paraId="404CFAAA"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autoridades responsables:</w:t>
            </w:r>
          </w:p>
        </w:tc>
        <w:tc>
          <w:tcPr>
            <w:tcW w:w="4394" w:type="dxa"/>
            <w:vAlign w:val="center"/>
          </w:tcPr>
          <w:p w14:paraId="404CFAAB"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Presidente, Secretaria y Tesorero del Municipio de Tangancícuaro, Michoacán. </w:t>
            </w:r>
          </w:p>
        </w:tc>
      </w:tr>
      <w:tr w:rsidR="00744EDE" w:rsidRPr="008E5B0F" w14:paraId="404CFAAF" w14:textId="77777777">
        <w:tc>
          <w:tcPr>
            <w:tcW w:w="2410" w:type="dxa"/>
            <w:vAlign w:val="center"/>
          </w:tcPr>
          <w:p w14:paraId="404CFAAD"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Ayuntamiento:</w:t>
            </w:r>
          </w:p>
        </w:tc>
        <w:tc>
          <w:tcPr>
            <w:tcW w:w="4394" w:type="dxa"/>
            <w:vAlign w:val="center"/>
          </w:tcPr>
          <w:p w14:paraId="404CFAAE"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Ayuntamiento de Tangancícuaro, Michoacán.</w:t>
            </w:r>
          </w:p>
        </w:tc>
      </w:tr>
      <w:tr w:rsidR="00744EDE" w:rsidRPr="008E5B0F" w14:paraId="404CFAB2" w14:textId="77777777">
        <w:tc>
          <w:tcPr>
            <w:tcW w:w="2410" w:type="dxa"/>
            <w:vAlign w:val="center"/>
          </w:tcPr>
          <w:p w14:paraId="404CFAB0"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Código Electoral:</w:t>
            </w:r>
          </w:p>
        </w:tc>
        <w:tc>
          <w:tcPr>
            <w:tcW w:w="4394" w:type="dxa"/>
            <w:vAlign w:val="center"/>
          </w:tcPr>
          <w:p w14:paraId="404CFAB1"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Código Electoral del Estado de Michoacán de Ocampo.</w:t>
            </w:r>
          </w:p>
        </w:tc>
      </w:tr>
      <w:tr w:rsidR="00744EDE" w:rsidRPr="008E5B0F" w14:paraId="404CFAB5" w14:textId="77777777">
        <w:tc>
          <w:tcPr>
            <w:tcW w:w="2410" w:type="dxa"/>
            <w:vAlign w:val="center"/>
          </w:tcPr>
          <w:p w14:paraId="404CFAB3"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Consejo General:</w:t>
            </w:r>
          </w:p>
        </w:tc>
        <w:tc>
          <w:tcPr>
            <w:tcW w:w="4394" w:type="dxa"/>
            <w:vAlign w:val="center"/>
          </w:tcPr>
          <w:p w14:paraId="404CFAB4"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Consejo General del Instituto Electoral de Michoacán.</w:t>
            </w:r>
          </w:p>
        </w:tc>
      </w:tr>
      <w:tr w:rsidR="00744EDE" w:rsidRPr="008E5B0F" w14:paraId="404CFAB8" w14:textId="77777777">
        <w:tc>
          <w:tcPr>
            <w:tcW w:w="2410" w:type="dxa"/>
            <w:vAlign w:val="center"/>
          </w:tcPr>
          <w:p w14:paraId="404CFAB6"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Constitución General:</w:t>
            </w:r>
          </w:p>
        </w:tc>
        <w:tc>
          <w:tcPr>
            <w:tcW w:w="4394" w:type="dxa"/>
            <w:vAlign w:val="center"/>
          </w:tcPr>
          <w:p w14:paraId="404CFAB7"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Constitución Política de los Estados Unidos Mexicanos.</w:t>
            </w:r>
          </w:p>
        </w:tc>
      </w:tr>
      <w:tr w:rsidR="00744EDE" w:rsidRPr="008E5B0F" w14:paraId="404CFABB" w14:textId="77777777">
        <w:tc>
          <w:tcPr>
            <w:tcW w:w="2410" w:type="dxa"/>
            <w:vAlign w:val="center"/>
          </w:tcPr>
          <w:p w14:paraId="404CFAB9"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lastRenderedPageBreak/>
              <w:t>Constitución Local:</w:t>
            </w:r>
          </w:p>
        </w:tc>
        <w:tc>
          <w:tcPr>
            <w:tcW w:w="4394" w:type="dxa"/>
            <w:vAlign w:val="center"/>
          </w:tcPr>
          <w:p w14:paraId="404CFABA"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Constitución Política del Estado Libre y Soberano de Michoacán de Ocampo.</w:t>
            </w:r>
          </w:p>
        </w:tc>
      </w:tr>
      <w:tr w:rsidR="00744EDE" w:rsidRPr="008E5B0F" w14:paraId="404CFABE" w14:textId="77777777">
        <w:tc>
          <w:tcPr>
            <w:tcW w:w="2410" w:type="dxa"/>
            <w:vAlign w:val="center"/>
          </w:tcPr>
          <w:p w14:paraId="404CFABC"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 xml:space="preserve">IEM </w:t>
            </w:r>
            <w:r w:rsidRPr="008E5B0F">
              <w:rPr>
                <w:rFonts w:ascii="Arial Narrow" w:eastAsia="Arial" w:hAnsi="Arial Narrow" w:cs="Arial"/>
                <w:sz w:val="20"/>
                <w:szCs w:val="20"/>
              </w:rPr>
              <w:t>o</w:t>
            </w:r>
            <w:r w:rsidRPr="008E5B0F">
              <w:rPr>
                <w:rFonts w:ascii="Arial Narrow" w:eastAsia="Arial" w:hAnsi="Arial Narrow" w:cs="Arial"/>
                <w:b/>
                <w:i/>
                <w:sz w:val="20"/>
                <w:szCs w:val="20"/>
              </w:rPr>
              <w:t xml:space="preserve"> Instituto</w:t>
            </w:r>
            <w:r w:rsidRPr="008E5B0F">
              <w:rPr>
                <w:rFonts w:ascii="Arial Narrow" w:eastAsia="Arial" w:hAnsi="Arial Narrow" w:cs="Arial"/>
                <w:b/>
                <w:sz w:val="20"/>
                <w:szCs w:val="20"/>
              </w:rPr>
              <w:t>:</w:t>
            </w:r>
          </w:p>
        </w:tc>
        <w:tc>
          <w:tcPr>
            <w:tcW w:w="4394" w:type="dxa"/>
            <w:vAlign w:val="center"/>
          </w:tcPr>
          <w:p w14:paraId="404CFABD"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Instituto Electoral de Michoacán. </w:t>
            </w:r>
          </w:p>
        </w:tc>
      </w:tr>
      <w:tr w:rsidR="00744EDE" w:rsidRPr="008E5B0F" w14:paraId="404CFAC1" w14:textId="77777777">
        <w:tc>
          <w:tcPr>
            <w:tcW w:w="2410" w:type="dxa"/>
            <w:vAlign w:val="center"/>
          </w:tcPr>
          <w:p w14:paraId="404CFABF"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 xml:space="preserve">jornada electoral: </w:t>
            </w:r>
          </w:p>
        </w:tc>
        <w:tc>
          <w:tcPr>
            <w:tcW w:w="4394" w:type="dxa"/>
            <w:vAlign w:val="center"/>
          </w:tcPr>
          <w:p w14:paraId="404CFAC0"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Jornada electoral de dos de junio de dos mil veinticuatro. </w:t>
            </w:r>
          </w:p>
        </w:tc>
      </w:tr>
      <w:tr w:rsidR="00744EDE" w:rsidRPr="008E5B0F" w14:paraId="404CFAC4" w14:textId="77777777">
        <w:tc>
          <w:tcPr>
            <w:tcW w:w="2410" w:type="dxa"/>
            <w:vAlign w:val="center"/>
          </w:tcPr>
          <w:p w14:paraId="404CFAC2"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juicio de la ciudadanía:</w:t>
            </w:r>
          </w:p>
        </w:tc>
        <w:tc>
          <w:tcPr>
            <w:tcW w:w="4394" w:type="dxa"/>
            <w:vAlign w:val="center"/>
          </w:tcPr>
          <w:p w14:paraId="404CFAC3"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Juicio para la Protección de los Derechos Político-Electorales del Ciudadano.</w:t>
            </w:r>
          </w:p>
        </w:tc>
      </w:tr>
      <w:tr w:rsidR="00744EDE" w:rsidRPr="008E5B0F" w14:paraId="404CFAC7" w14:textId="77777777">
        <w:tc>
          <w:tcPr>
            <w:tcW w:w="2410" w:type="dxa"/>
            <w:vAlign w:val="center"/>
          </w:tcPr>
          <w:p w14:paraId="404CFAC5"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Ley de Justicia Electoral:</w:t>
            </w:r>
          </w:p>
        </w:tc>
        <w:tc>
          <w:tcPr>
            <w:tcW w:w="4394" w:type="dxa"/>
            <w:vAlign w:val="center"/>
          </w:tcPr>
          <w:p w14:paraId="404CFAC6"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Ley de Justicia en Materia Electoral y de Participación Ciudadana del Estado de Michoacán de Ocampo.</w:t>
            </w:r>
          </w:p>
        </w:tc>
      </w:tr>
      <w:tr w:rsidR="00744EDE" w:rsidRPr="008E5B0F" w14:paraId="404CFACA" w14:textId="77777777">
        <w:tc>
          <w:tcPr>
            <w:tcW w:w="2410" w:type="dxa"/>
            <w:vAlign w:val="center"/>
          </w:tcPr>
          <w:p w14:paraId="404CFAC8"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oficio impugnado:</w:t>
            </w:r>
          </w:p>
        </w:tc>
        <w:tc>
          <w:tcPr>
            <w:tcW w:w="4394" w:type="dxa"/>
            <w:vAlign w:val="center"/>
          </w:tcPr>
          <w:p w14:paraId="404CFAC9"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Oficio sin número de cinco de septiembre del año en curso, signado por la Secretaria del Ayuntamiento de Tangancícuaro, Michoacán.</w:t>
            </w:r>
          </w:p>
        </w:tc>
      </w:tr>
      <w:tr w:rsidR="00744EDE" w:rsidRPr="008E5B0F" w14:paraId="404CFACD" w14:textId="77777777">
        <w:tc>
          <w:tcPr>
            <w:tcW w:w="2410" w:type="dxa"/>
            <w:vAlign w:val="center"/>
          </w:tcPr>
          <w:p w14:paraId="404CFACB"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 xml:space="preserve">parte actora </w:t>
            </w:r>
            <w:r w:rsidRPr="008E5B0F">
              <w:rPr>
                <w:rFonts w:ascii="Arial Narrow" w:eastAsia="Arial" w:hAnsi="Arial Narrow" w:cs="Arial"/>
                <w:sz w:val="20"/>
                <w:szCs w:val="20"/>
              </w:rPr>
              <w:t>o</w:t>
            </w:r>
            <w:r w:rsidRPr="008E5B0F">
              <w:rPr>
                <w:rFonts w:ascii="Arial Narrow" w:eastAsia="Arial" w:hAnsi="Arial Narrow" w:cs="Arial"/>
                <w:b/>
                <w:i/>
                <w:sz w:val="20"/>
                <w:szCs w:val="20"/>
              </w:rPr>
              <w:t xml:space="preserve"> promovente:</w:t>
            </w:r>
          </w:p>
        </w:tc>
        <w:tc>
          <w:tcPr>
            <w:tcW w:w="4394" w:type="dxa"/>
            <w:vAlign w:val="center"/>
          </w:tcPr>
          <w:p w14:paraId="404CFACC"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Juan Manuel Medina Ayala.</w:t>
            </w:r>
          </w:p>
        </w:tc>
      </w:tr>
      <w:tr w:rsidR="00744EDE" w:rsidRPr="008E5B0F" w14:paraId="404CFAD0" w14:textId="77777777">
        <w:tc>
          <w:tcPr>
            <w:tcW w:w="2410" w:type="dxa"/>
            <w:vAlign w:val="center"/>
          </w:tcPr>
          <w:p w14:paraId="404CFACE"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PEL 2023-2024:</w:t>
            </w:r>
          </w:p>
        </w:tc>
        <w:tc>
          <w:tcPr>
            <w:tcW w:w="4394" w:type="dxa"/>
            <w:vAlign w:val="center"/>
          </w:tcPr>
          <w:p w14:paraId="404CFACF"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Proceso Electoral Local Ordinario 2023-2024 en el Estado de Michoacán de Ocampo.</w:t>
            </w:r>
          </w:p>
        </w:tc>
      </w:tr>
      <w:tr w:rsidR="00744EDE" w:rsidRPr="008E5B0F" w14:paraId="404CFAD3" w14:textId="77777777">
        <w:tc>
          <w:tcPr>
            <w:tcW w:w="2410" w:type="dxa"/>
            <w:vAlign w:val="center"/>
          </w:tcPr>
          <w:p w14:paraId="404CFAD1"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Presidente Municipal:</w:t>
            </w:r>
          </w:p>
        </w:tc>
        <w:tc>
          <w:tcPr>
            <w:tcW w:w="4394" w:type="dxa"/>
            <w:vAlign w:val="center"/>
          </w:tcPr>
          <w:p w14:paraId="404CFAD2"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Presidente Municipal de Tangancícuaro, Michoacán. </w:t>
            </w:r>
          </w:p>
        </w:tc>
      </w:tr>
      <w:tr w:rsidR="00744EDE" w:rsidRPr="008E5B0F" w14:paraId="404CFAD6" w14:textId="77777777">
        <w:tc>
          <w:tcPr>
            <w:tcW w:w="2410" w:type="dxa"/>
            <w:vAlign w:val="center"/>
          </w:tcPr>
          <w:p w14:paraId="404CFAD4"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PRI:</w:t>
            </w:r>
          </w:p>
        </w:tc>
        <w:tc>
          <w:tcPr>
            <w:tcW w:w="4394" w:type="dxa"/>
            <w:vAlign w:val="center"/>
          </w:tcPr>
          <w:p w14:paraId="404CFAD5"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Partido Revolucionario Institucional </w:t>
            </w:r>
          </w:p>
        </w:tc>
      </w:tr>
      <w:tr w:rsidR="00744EDE" w:rsidRPr="008E5B0F" w14:paraId="404CFAD9" w14:textId="77777777">
        <w:tc>
          <w:tcPr>
            <w:tcW w:w="2410" w:type="dxa"/>
            <w:vAlign w:val="center"/>
          </w:tcPr>
          <w:p w14:paraId="404CFAD7"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Sala Superior:</w:t>
            </w:r>
          </w:p>
        </w:tc>
        <w:tc>
          <w:tcPr>
            <w:tcW w:w="4394" w:type="dxa"/>
            <w:vAlign w:val="center"/>
          </w:tcPr>
          <w:p w14:paraId="404CFAD8"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Sala Superior del Tribunal Electoral del Poder Judicial de la Federación.</w:t>
            </w:r>
          </w:p>
        </w:tc>
      </w:tr>
      <w:tr w:rsidR="00744EDE" w:rsidRPr="008E5B0F" w14:paraId="404CFADC" w14:textId="77777777">
        <w:tc>
          <w:tcPr>
            <w:tcW w:w="2410" w:type="dxa"/>
            <w:vAlign w:val="center"/>
          </w:tcPr>
          <w:p w14:paraId="404CFADA"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Sala Toluca:</w:t>
            </w:r>
          </w:p>
        </w:tc>
        <w:tc>
          <w:tcPr>
            <w:tcW w:w="4394" w:type="dxa"/>
            <w:vAlign w:val="center"/>
          </w:tcPr>
          <w:p w14:paraId="404CFADB"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Sala Regional del Tribunal Electoral del Poder Judicial de la Federación, correspondiente a la Quinta circunscripción plurinominal, con sede en Toluca de Lerdo, Estado de México.</w:t>
            </w:r>
          </w:p>
        </w:tc>
      </w:tr>
      <w:tr w:rsidR="00744EDE" w:rsidRPr="008E5B0F" w14:paraId="404CFADF" w14:textId="77777777">
        <w:tc>
          <w:tcPr>
            <w:tcW w:w="2410" w:type="dxa"/>
            <w:vAlign w:val="center"/>
          </w:tcPr>
          <w:p w14:paraId="404CFADD"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Secretaria:</w:t>
            </w:r>
          </w:p>
        </w:tc>
        <w:tc>
          <w:tcPr>
            <w:tcW w:w="4394" w:type="dxa"/>
            <w:vAlign w:val="center"/>
          </w:tcPr>
          <w:p w14:paraId="404CFADE"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Secretaria del Ayuntamiento de Tangancícuaro, Michoacán. </w:t>
            </w:r>
          </w:p>
        </w:tc>
      </w:tr>
      <w:tr w:rsidR="00744EDE" w:rsidRPr="008E5B0F" w14:paraId="404CFAE2" w14:textId="77777777">
        <w:tc>
          <w:tcPr>
            <w:tcW w:w="2410" w:type="dxa"/>
            <w:vAlign w:val="center"/>
          </w:tcPr>
          <w:p w14:paraId="404CFAE0"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 xml:space="preserve">tercero interesado. </w:t>
            </w:r>
          </w:p>
        </w:tc>
        <w:tc>
          <w:tcPr>
            <w:tcW w:w="4394" w:type="dxa"/>
            <w:vAlign w:val="center"/>
          </w:tcPr>
          <w:p w14:paraId="404CFAE1"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Luis Omar Reyes Chávez, Regidor por el principio de Representación Proporcional en funciones del Ayuntamiento de Tangancícuaro, Michoacán.</w:t>
            </w:r>
          </w:p>
        </w:tc>
      </w:tr>
      <w:tr w:rsidR="00744EDE" w:rsidRPr="008E5B0F" w14:paraId="404CFAE5" w14:textId="77777777">
        <w:tc>
          <w:tcPr>
            <w:tcW w:w="2410" w:type="dxa"/>
            <w:vAlign w:val="center"/>
          </w:tcPr>
          <w:p w14:paraId="404CFAE3" w14:textId="77777777" w:rsidR="00744EDE" w:rsidRPr="008E5B0F" w:rsidRDefault="00744EDE">
            <w:pPr>
              <w:spacing w:before="120"/>
              <w:rPr>
                <w:rFonts w:ascii="Arial Narrow" w:eastAsia="Arial" w:hAnsi="Arial Narrow" w:cs="Arial"/>
                <w:b/>
                <w:i/>
                <w:sz w:val="20"/>
                <w:szCs w:val="20"/>
              </w:rPr>
            </w:pPr>
            <w:r w:rsidRPr="008E5B0F">
              <w:rPr>
                <w:rFonts w:ascii="Arial Narrow" w:eastAsia="Arial" w:hAnsi="Arial Narrow" w:cs="Arial"/>
                <w:b/>
                <w:i/>
                <w:sz w:val="20"/>
                <w:szCs w:val="20"/>
              </w:rPr>
              <w:t>Tesorero:</w:t>
            </w:r>
          </w:p>
        </w:tc>
        <w:tc>
          <w:tcPr>
            <w:tcW w:w="4394" w:type="dxa"/>
            <w:vAlign w:val="center"/>
          </w:tcPr>
          <w:p w14:paraId="404CFAE4"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 xml:space="preserve">Tesorero del Ayuntamiento de Tangancícuaro, Michoacán. </w:t>
            </w:r>
          </w:p>
        </w:tc>
      </w:tr>
      <w:tr w:rsidR="00744EDE" w:rsidRPr="008E5B0F" w14:paraId="404CFAE8" w14:textId="77777777">
        <w:tc>
          <w:tcPr>
            <w:tcW w:w="2410" w:type="dxa"/>
            <w:vAlign w:val="center"/>
          </w:tcPr>
          <w:p w14:paraId="404CFAE6" w14:textId="77777777" w:rsidR="00744EDE" w:rsidRPr="008E5B0F" w:rsidRDefault="00744EDE">
            <w:pPr>
              <w:spacing w:before="120"/>
              <w:rPr>
                <w:rFonts w:ascii="Arial Narrow" w:eastAsia="Arial" w:hAnsi="Arial Narrow" w:cs="Arial"/>
                <w:b/>
                <w:sz w:val="20"/>
                <w:szCs w:val="20"/>
              </w:rPr>
            </w:pPr>
            <w:r w:rsidRPr="008E5B0F">
              <w:rPr>
                <w:rFonts w:ascii="Arial Narrow" w:eastAsia="Arial" w:hAnsi="Arial Narrow" w:cs="Arial"/>
                <w:b/>
                <w:i/>
                <w:sz w:val="20"/>
                <w:szCs w:val="20"/>
              </w:rPr>
              <w:t xml:space="preserve">Tribunal Electoral </w:t>
            </w:r>
            <w:r w:rsidRPr="008E5B0F">
              <w:rPr>
                <w:rFonts w:ascii="Arial Narrow" w:eastAsia="Arial" w:hAnsi="Arial Narrow" w:cs="Arial"/>
                <w:bCs/>
                <w:i/>
                <w:sz w:val="20"/>
                <w:szCs w:val="20"/>
              </w:rPr>
              <w:t>u</w:t>
            </w:r>
            <w:r w:rsidRPr="008E5B0F">
              <w:rPr>
                <w:rFonts w:ascii="Arial Narrow" w:eastAsia="Arial" w:hAnsi="Arial Narrow" w:cs="Arial"/>
                <w:b/>
                <w:i/>
                <w:sz w:val="20"/>
                <w:szCs w:val="20"/>
              </w:rPr>
              <w:t xml:space="preserve"> órgano jurisdiccional:</w:t>
            </w:r>
          </w:p>
        </w:tc>
        <w:tc>
          <w:tcPr>
            <w:tcW w:w="4394" w:type="dxa"/>
            <w:vAlign w:val="center"/>
          </w:tcPr>
          <w:p w14:paraId="404CFAE7" w14:textId="77777777" w:rsidR="00744EDE" w:rsidRPr="008E5B0F" w:rsidRDefault="00744EDE">
            <w:pPr>
              <w:spacing w:before="120"/>
              <w:jc w:val="both"/>
              <w:rPr>
                <w:rFonts w:ascii="Arial Narrow" w:eastAsia="Arial" w:hAnsi="Arial Narrow" w:cs="Arial"/>
                <w:sz w:val="20"/>
                <w:szCs w:val="20"/>
              </w:rPr>
            </w:pPr>
            <w:r w:rsidRPr="008E5B0F">
              <w:rPr>
                <w:rFonts w:ascii="Arial Narrow" w:eastAsia="Arial" w:hAnsi="Arial Narrow" w:cs="Arial"/>
                <w:sz w:val="20"/>
                <w:szCs w:val="20"/>
              </w:rPr>
              <w:t>Tribunal Electoral del Estado.</w:t>
            </w:r>
          </w:p>
        </w:tc>
      </w:tr>
    </w:tbl>
    <w:p w14:paraId="404CFAE9" w14:textId="77777777" w:rsidR="0012716D" w:rsidRPr="008E5B0F" w:rsidRDefault="0012716D"/>
    <w:p w14:paraId="404CFAEA" w14:textId="77777777" w:rsidR="0012716D" w:rsidRPr="008E5B0F" w:rsidRDefault="001E741F">
      <w:pPr>
        <w:pStyle w:val="Ttulo1"/>
        <w:numPr>
          <w:ilvl w:val="0"/>
          <w:numId w:val="1"/>
        </w:numPr>
        <w:spacing w:before="240"/>
        <w:jc w:val="center"/>
        <w:rPr>
          <w:rStyle w:val="Ttulo1Car"/>
          <w:rFonts w:ascii="Arial" w:hAnsi="Arial" w:cs="Arial"/>
          <w:b/>
          <w:bCs/>
          <w:color w:val="000000" w:themeColor="text1"/>
          <w:sz w:val="24"/>
          <w:szCs w:val="24"/>
        </w:rPr>
      </w:pPr>
      <w:bookmarkStart w:id="2" w:name="_Toc211690206"/>
      <w:r w:rsidRPr="008E5B0F">
        <w:rPr>
          <w:rStyle w:val="Ttulo1Car"/>
          <w:rFonts w:ascii="Arial" w:hAnsi="Arial" w:cs="Arial"/>
          <w:b/>
          <w:bCs/>
          <w:color w:val="000000" w:themeColor="text1"/>
          <w:sz w:val="24"/>
          <w:szCs w:val="24"/>
        </w:rPr>
        <w:t>ANTECEDENTES</w:t>
      </w:r>
      <w:r w:rsidRPr="008E5B0F">
        <w:rPr>
          <w:rStyle w:val="Refdenotaalpie"/>
          <w:rFonts w:ascii="Arial" w:hAnsi="Arial" w:cs="Arial"/>
          <w:b/>
          <w:bCs/>
          <w:color w:val="auto"/>
          <w:sz w:val="26"/>
          <w:szCs w:val="26"/>
        </w:rPr>
        <w:footnoteReference w:id="2"/>
      </w:r>
      <w:bookmarkEnd w:id="2"/>
    </w:p>
    <w:p w14:paraId="404CFAEB"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b/>
          <w:color w:val="000000"/>
          <w:sz w:val="24"/>
          <w:szCs w:val="24"/>
        </w:rPr>
      </w:pPr>
      <w:r w:rsidRPr="008E5B0F">
        <w:rPr>
          <w:rFonts w:ascii="Arial" w:eastAsia="Arial" w:hAnsi="Arial" w:cs="Arial"/>
          <w:b/>
          <w:i/>
          <w:color w:val="000000"/>
          <w:sz w:val="24"/>
          <w:szCs w:val="24"/>
        </w:rPr>
        <w:t>PEL 2023-2024</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El cinco de septiembre de dos mil veintitrés, el </w:t>
      </w:r>
      <w:r w:rsidRPr="008E5B0F">
        <w:rPr>
          <w:rFonts w:ascii="Arial" w:eastAsia="Arial" w:hAnsi="Arial" w:cs="Arial"/>
          <w:i/>
          <w:color w:val="000000"/>
          <w:sz w:val="24"/>
          <w:szCs w:val="24"/>
        </w:rPr>
        <w:t xml:space="preserve">Instituto </w:t>
      </w:r>
      <w:r w:rsidRPr="008E5B0F">
        <w:rPr>
          <w:rFonts w:ascii="Arial" w:eastAsia="Arial" w:hAnsi="Arial" w:cs="Arial"/>
          <w:color w:val="000000"/>
          <w:sz w:val="24"/>
          <w:szCs w:val="24"/>
        </w:rPr>
        <w:t xml:space="preserve">declaró el inicio del </w:t>
      </w:r>
      <w:r w:rsidRPr="008E5B0F">
        <w:rPr>
          <w:rFonts w:ascii="Arial" w:eastAsia="Arial" w:hAnsi="Arial" w:cs="Arial"/>
          <w:i/>
          <w:iCs/>
          <w:color w:val="000000"/>
          <w:sz w:val="24"/>
          <w:szCs w:val="24"/>
        </w:rPr>
        <w:t>PEL 2023-2024</w:t>
      </w:r>
      <w:r w:rsidRPr="008E5B0F">
        <w:rPr>
          <w:rFonts w:ascii="Arial" w:eastAsia="Arial" w:hAnsi="Arial" w:cs="Arial"/>
          <w:color w:val="000000"/>
          <w:sz w:val="24"/>
          <w:szCs w:val="24"/>
        </w:rPr>
        <w:t xml:space="preserve">. </w:t>
      </w:r>
    </w:p>
    <w:p w14:paraId="404CFAEC"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color w:val="000000"/>
          <w:sz w:val="24"/>
          <w:szCs w:val="24"/>
        </w:rPr>
      </w:pPr>
      <w:r w:rsidRPr="008E5B0F">
        <w:rPr>
          <w:rFonts w:ascii="Arial" w:eastAsia="Arial" w:hAnsi="Arial" w:cs="Arial"/>
          <w:b/>
          <w:color w:val="000000"/>
          <w:sz w:val="24"/>
          <w:szCs w:val="24"/>
        </w:rPr>
        <w:t xml:space="preserve">Solicitud de registro de candidatura. </w:t>
      </w:r>
      <w:r w:rsidRPr="008E5B0F">
        <w:rPr>
          <w:rFonts w:ascii="Arial" w:eastAsia="Arial" w:hAnsi="Arial" w:cs="Arial"/>
          <w:color w:val="000000"/>
          <w:sz w:val="24"/>
          <w:szCs w:val="24"/>
        </w:rPr>
        <w:t xml:space="preserve">El cuatro de abril de dos mil veinticuatro, el </w:t>
      </w:r>
      <w:r w:rsidRPr="008E5B0F">
        <w:rPr>
          <w:rFonts w:ascii="Arial" w:eastAsia="Arial" w:hAnsi="Arial" w:cs="Arial"/>
          <w:i/>
          <w:color w:val="000000"/>
          <w:sz w:val="24"/>
          <w:szCs w:val="24"/>
        </w:rPr>
        <w:t xml:space="preserve">PRI </w:t>
      </w:r>
      <w:r w:rsidRPr="008E5B0F">
        <w:rPr>
          <w:rFonts w:ascii="Arial" w:eastAsia="Arial" w:hAnsi="Arial" w:cs="Arial"/>
          <w:sz w:val="24"/>
          <w:szCs w:val="24"/>
        </w:rPr>
        <w:t>presentó</w:t>
      </w:r>
      <w:r w:rsidRPr="008E5B0F">
        <w:rPr>
          <w:rFonts w:ascii="Arial" w:eastAsia="Arial" w:hAnsi="Arial" w:cs="Arial"/>
          <w:color w:val="000000"/>
          <w:sz w:val="24"/>
          <w:szCs w:val="24"/>
        </w:rPr>
        <w:t xml:space="preserve"> ante el</w:t>
      </w:r>
      <w:r w:rsidRPr="008E5B0F">
        <w:rPr>
          <w:rFonts w:ascii="Arial" w:eastAsia="Arial" w:hAnsi="Arial" w:cs="Arial"/>
          <w:i/>
          <w:color w:val="000000"/>
          <w:sz w:val="24"/>
          <w:szCs w:val="24"/>
        </w:rPr>
        <w:t xml:space="preserve"> IEM </w:t>
      </w:r>
      <w:r w:rsidRPr="008E5B0F">
        <w:rPr>
          <w:rFonts w:ascii="Arial" w:eastAsia="Arial" w:hAnsi="Arial" w:cs="Arial"/>
          <w:color w:val="000000"/>
          <w:sz w:val="24"/>
          <w:szCs w:val="24"/>
        </w:rPr>
        <w:t>la solicitud de registro de candidaturas correspondiente para el</w:t>
      </w:r>
      <w:r w:rsidRPr="008E5B0F">
        <w:rPr>
          <w:rFonts w:ascii="Arial" w:eastAsia="Arial" w:hAnsi="Arial" w:cs="Arial"/>
          <w:i/>
          <w:color w:val="000000"/>
          <w:sz w:val="24"/>
          <w:szCs w:val="24"/>
        </w:rPr>
        <w:t xml:space="preserve"> PEL 2023-2024</w:t>
      </w:r>
      <w:r w:rsidRPr="008E5B0F">
        <w:rPr>
          <w:rFonts w:ascii="Arial" w:eastAsia="Arial" w:hAnsi="Arial" w:cs="Arial"/>
          <w:i/>
          <w:color w:val="000000"/>
          <w:sz w:val="24"/>
          <w:szCs w:val="24"/>
          <w:vertAlign w:val="superscript"/>
        </w:rPr>
        <w:footnoteReference w:id="3"/>
      </w:r>
      <w:r w:rsidRPr="008E5B0F">
        <w:rPr>
          <w:rFonts w:ascii="Arial" w:eastAsia="Arial" w:hAnsi="Arial" w:cs="Arial"/>
          <w:i/>
          <w:color w:val="000000"/>
          <w:sz w:val="24"/>
          <w:szCs w:val="24"/>
        </w:rPr>
        <w:t>.</w:t>
      </w:r>
    </w:p>
    <w:p w14:paraId="404CFAED"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color w:val="000000"/>
          <w:sz w:val="24"/>
          <w:szCs w:val="24"/>
        </w:rPr>
      </w:pPr>
      <w:r w:rsidRPr="008E5B0F">
        <w:rPr>
          <w:rFonts w:ascii="Arial" w:eastAsia="Arial" w:hAnsi="Arial" w:cs="Arial"/>
          <w:b/>
          <w:i/>
          <w:iCs/>
          <w:color w:val="000000"/>
          <w:sz w:val="24"/>
          <w:szCs w:val="24"/>
        </w:rPr>
        <w:lastRenderedPageBreak/>
        <w:t>Acuerdo I</w:t>
      </w:r>
      <w:r w:rsidRPr="008E5B0F">
        <w:rPr>
          <w:rFonts w:ascii="Arial" w:eastAsia="Arial" w:hAnsi="Arial" w:cs="Arial"/>
          <w:b/>
          <w:i/>
          <w:color w:val="000000"/>
          <w:sz w:val="24"/>
          <w:szCs w:val="24"/>
        </w:rPr>
        <w:t>EM-CG-141/2024.</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El catorce siguiente, en Sesión Extraordinaria Urgente del </w:t>
      </w:r>
      <w:r w:rsidRPr="008E5B0F">
        <w:rPr>
          <w:rFonts w:ascii="Arial" w:eastAsia="Arial" w:hAnsi="Arial" w:cs="Arial"/>
          <w:i/>
          <w:color w:val="000000"/>
          <w:sz w:val="24"/>
          <w:szCs w:val="24"/>
        </w:rPr>
        <w:t>Consejo General</w:t>
      </w:r>
      <w:r w:rsidRPr="008E5B0F">
        <w:rPr>
          <w:rFonts w:ascii="Arial" w:eastAsia="Arial" w:hAnsi="Arial" w:cs="Arial"/>
          <w:color w:val="000000"/>
          <w:sz w:val="24"/>
          <w:szCs w:val="24"/>
        </w:rPr>
        <w:t xml:space="preserve"> se aprobó por unanimidad de votos el Acuerdo </w:t>
      </w:r>
      <w:r w:rsidRPr="008E5B0F">
        <w:rPr>
          <w:rFonts w:ascii="Arial" w:eastAsia="Arial" w:hAnsi="Arial" w:cs="Arial"/>
          <w:i/>
          <w:color w:val="000000"/>
          <w:sz w:val="24"/>
          <w:szCs w:val="24"/>
        </w:rPr>
        <w:t>IEM-CG-141/2024</w:t>
      </w:r>
      <w:r w:rsidRPr="008E5B0F">
        <w:rPr>
          <w:rFonts w:ascii="Arial" w:eastAsia="Arial" w:hAnsi="Arial" w:cs="Arial"/>
          <w:color w:val="000000"/>
          <w:sz w:val="24"/>
          <w:szCs w:val="24"/>
          <w:vertAlign w:val="superscript"/>
        </w:rPr>
        <w:footnoteReference w:id="4"/>
      </w:r>
      <w:r w:rsidRPr="008E5B0F">
        <w:rPr>
          <w:rFonts w:ascii="Arial" w:eastAsia="Arial" w:hAnsi="Arial" w:cs="Arial"/>
          <w:i/>
          <w:color w:val="000000"/>
          <w:sz w:val="24"/>
          <w:szCs w:val="24"/>
        </w:rPr>
        <w:t>.</w:t>
      </w:r>
    </w:p>
    <w:p w14:paraId="404CFAEE" w14:textId="77777777" w:rsidR="00160223" w:rsidRPr="008E5B0F" w:rsidRDefault="001E741F" w:rsidP="007C3FE2">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color w:val="000000"/>
          <w:sz w:val="24"/>
          <w:szCs w:val="24"/>
        </w:rPr>
      </w:pPr>
      <w:r w:rsidRPr="008E5B0F">
        <w:rPr>
          <w:rFonts w:ascii="Arial" w:eastAsia="Arial" w:hAnsi="Arial" w:cs="Arial"/>
          <w:b/>
          <w:i/>
          <w:iCs/>
          <w:color w:val="000000"/>
          <w:sz w:val="24"/>
          <w:szCs w:val="24"/>
        </w:rPr>
        <w:t>Acuerdo IEM</w:t>
      </w:r>
      <w:r w:rsidRPr="008E5B0F">
        <w:rPr>
          <w:rFonts w:ascii="Arial" w:eastAsia="Arial" w:hAnsi="Arial" w:cs="Arial"/>
          <w:b/>
          <w:i/>
          <w:color w:val="000000"/>
          <w:sz w:val="24"/>
          <w:szCs w:val="24"/>
        </w:rPr>
        <w:t>-CG-154/2024</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El veintiuno del mismo mes, en Sesión Extraordinaria Urgente del </w:t>
      </w:r>
      <w:r w:rsidRPr="008E5B0F">
        <w:rPr>
          <w:rFonts w:ascii="Arial" w:eastAsia="Arial" w:hAnsi="Arial" w:cs="Arial"/>
          <w:i/>
          <w:color w:val="000000"/>
          <w:sz w:val="24"/>
          <w:szCs w:val="24"/>
        </w:rPr>
        <w:t>Consejo General</w:t>
      </w:r>
      <w:r w:rsidRPr="008E5B0F">
        <w:rPr>
          <w:rFonts w:ascii="Arial" w:eastAsia="Arial" w:hAnsi="Arial" w:cs="Arial"/>
          <w:color w:val="000000"/>
          <w:sz w:val="24"/>
          <w:szCs w:val="24"/>
        </w:rPr>
        <w:t xml:space="preserve"> se aprobó por unanimidad de votos el </w:t>
      </w:r>
      <w:r w:rsidRPr="008E5B0F">
        <w:rPr>
          <w:rFonts w:ascii="Arial" w:eastAsia="Arial" w:hAnsi="Arial" w:cs="Arial"/>
          <w:i/>
          <w:iCs/>
          <w:color w:val="000000"/>
          <w:sz w:val="24"/>
          <w:szCs w:val="24"/>
        </w:rPr>
        <w:t>acuerdo IE</w:t>
      </w:r>
      <w:r w:rsidRPr="008E5B0F">
        <w:rPr>
          <w:rFonts w:ascii="Arial" w:eastAsia="Arial" w:hAnsi="Arial" w:cs="Arial"/>
          <w:i/>
          <w:color w:val="000000"/>
          <w:sz w:val="24"/>
          <w:szCs w:val="24"/>
        </w:rPr>
        <w:t xml:space="preserve">M-CG-154/2024, </w:t>
      </w:r>
      <w:r w:rsidRPr="008E5B0F">
        <w:rPr>
          <w:rFonts w:ascii="Arial" w:eastAsia="Arial" w:hAnsi="Arial" w:cs="Arial"/>
          <w:iCs/>
          <w:color w:val="000000"/>
          <w:sz w:val="24"/>
          <w:szCs w:val="24"/>
        </w:rPr>
        <w:t>en el que se modificaron diversas candidaturas</w:t>
      </w:r>
      <w:r w:rsidRPr="008E5B0F">
        <w:rPr>
          <w:rFonts w:ascii="Arial" w:eastAsia="Arial" w:hAnsi="Arial" w:cs="Arial"/>
          <w:i/>
          <w:color w:val="000000"/>
          <w:sz w:val="24"/>
          <w:szCs w:val="24"/>
        </w:rPr>
        <w:t xml:space="preserve"> </w:t>
      </w:r>
      <w:r w:rsidRPr="008E5B0F">
        <w:rPr>
          <w:rFonts w:ascii="Arial" w:eastAsia="Arial" w:hAnsi="Arial" w:cs="Arial"/>
          <w:color w:val="000000"/>
          <w:sz w:val="24"/>
          <w:szCs w:val="24"/>
          <w:vertAlign w:val="superscript"/>
        </w:rPr>
        <w:footnoteReference w:id="5"/>
      </w:r>
      <w:r w:rsidRPr="008E5B0F">
        <w:rPr>
          <w:rFonts w:ascii="Arial" w:eastAsia="Arial" w:hAnsi="Arial" w:cs="Arial"/>
          <w:color w:val="000000"/>
          <w:sz w:val="24"/>
          <w:szCs w:val="24"/>
        </w:rPr>
        <w:t>.</w:t>
      </w:r>
    </w:p>
    <w:p w14:paraId="404CFAEF" w14:textId="77777777" w:rsidR="0012716D" w:rsidRPr="008E5B0F" w:rsidRDefault="001E741F" w:rsidP="007C3FE2">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color w:val="000000"/>
          <w:sz w:val="24"/>
          <w:szCs w:val="24"/>
        </w:rPr>
      </w:pPr>
      <w:r w:rsidRPr="008E5B0F">
        <w:rPr>
          <w:rFonts w:ascii="Arial" w:eastAsia="Arial" w:hAnsi="Arial" w:cs="Arial"/>
          <w:b/>
          <w:i/>
          <w:iCs/>
          <w:color w:val="000000"/>
          <w:sz w:val="24"/>
          <w:szCs w:val="24"/>
        </w:rPr>
        <w:t>Acuerdo</w:t>
      </w:r>
      <w:r w:rsidRPr="008E5B0F">
        <w:rPr>
          <w:rFonts w:ascii="Arial" w:hAnsi="Arial" w:cs="Arial"/>
          <w:sz w:val="24"/>
          <w:szCs w:val="24"/>
        </w:rPr>
        <w:t xml:space="preserve"> </w:t>
      </w:r>
      <w:r w:rsidRPr="008E5B0F">
        <w:rPr>
          <w:rFonts w:ascii="Arial" w:hAnsi="Arial" w:cs="Arial"/>
          <w:b/>
          <w:bCs/>
          <w:sz w:val="24"/>
          <w:szCs w:val="24"/>
        </w:rPr>
        <w:t>IEM-CG-198/2024.</w:t>
      </w:r>
      <w:r w:rsidRPr="008E5B0F">
        <w:rPr>
          <w:rFonts w:ascii="Arial" w:hAnsi="Arial" w:cs="Arial"/>
          <w:sz w:val="24"/>
          <w:szCs w:val="24"/>
        </w:rPr>
        <w:t xml:space="preserve"> El dieciséis de mayo, el </w:t>
      </w:r>
      <w:r w:rsidRPr="008E5B0F">
        <w:rPr>
          <w:rFonts w:ascii="Arial" w:hAnsi="Arial" w:cs="Arial"/>
          <w:i/>
          <w:iCs/>
          <w:sz w:val="24"/>
          <w:szCs w:val="24"/>
        </w:rPr>
        <w:t>Consejo General</w:t>
      </w:r>
      <w:r w:rsidRPr="008E5B0F">
        <w:rPr>
          <w:rFonts w:ascii="Arial" w:hAnsi="Arial" w:cs="Arial"/>
          <w:sz w:val="24"/>
          <w:szCs w:val="24"/>
        </w:rPr>
        <w:t xml:space="preserve"> dio cumplimiento a lo mandato por este </w:t>
      </w:r>
      <w:r w:rsidRPr="008E5B0F">
        <w:rPr>
          <w:rFonts w:ascii="Arial" w:hAnsi="Arial" w:cs="Arial"/>
          <w:i/>
          <w:iCs/>
          <w:sz w:val="24"/>
          <w:szCs w:val="24"/>
        </w:rPr>
        <w:t>órgano jurisdiccional</w:t>
      </w:r>
      <w:r w:rsidRPr="008E5B0F">
        <w:rPr>
          <w:rFonts w:ascii="Arial" w:hAnsi="Arial" w:cs="Arial"/>
          <w:sz w:val="24"/>
          <w:szCs w:val="24"/>
        </w:rPr>
        <w:t xml:space="preserve">, al resolver el </w:t>
      </w:r>
      <w:r w:rsidRPr="008E5B0F">
        <w:rPr>
          <w:rFonts w:ascii="Arial" w:hAnsi="Arial" w:cs="Arial"/>
          <w:i/>
          <w:iCs/>
          <w:sz w:val="24"/>
          <w:szCs w:val="24"/>
        </w:rPr>
        <w:t>juicio de la ciudadanía</w:t>
      </w:r>
      <w:r w:rsidRPr="008E5B0F">
        <w:rPr>
          <w:rFonts w:ascii="Arial" w:hAnsi="Arial" w:cs="Arial"/>
          <w:sz w:val="24"/>
          <w:szCs w:val="24"/>
        </w:rPr>
        <w:t xml:space="preserve"> TEEM-JDC-077/2024; así como, a lo resuelto por </w:t>
      </w:r>
      <w:r w:rsidRPr="008E5B0F">
        <w:rPr>
          <w:rFonts w:ascii="Arial" w:hAnsi="Arial" w:cs="Arial"/>
          <w:i/>
          <w:iCs/>
          <w:sz w:val="24"/>
          <w:szCs w:val="24"/>
        </w:rPr>
        <w:t>Sala Toluca</w:t>
      </w:r>
      <w:r w:rsidRPr="008E5B0F">
        <w:rPr>
          <w:rFonts w:ascii="Arial" w:hAnsi="Arial" w:cs="Arial"/>
          <w:sz w:val="24"/>
          <w:szCs w:val="24"/>
        </w:rPr>
        <w:t xml:space="preserve"> en el juicio de revisión ST-JRC-32/2024, derivado de la cadena impugnativa correspondiente </w:t>
      </w:r>
      <w:r w:rsidRPr="008E5B0F">
        <w:rPr>
          <w:rFonts w:ascii="Arial" w:eastAsia="Arial" w:hAnsi="Arial" w:cs="Arial"/>
          <w:i/>
          <w:iCs/>
          <w:color w:val="000000"/>
          <w:sz w:val="24"/>
          <w:szCs w:val="24"/>
        </w:rPr>
        <w:t>acuerdo IE</w:t>
      </w:r>
      <w:r w:rsidRPr="008E5B0F">
        <w:rPr>
          <w:rFonts w:ascii="Arial" w:eastAsia="Arial" w:hAnsi="Arial" w:cs="Arial"/>
          <w:i/>
          <w:color w:val="000000"/>
          <w:sz w:val="24"/>
          <w:szCs w:val="24"/>
        </w:rPr>
        <w:t>M-CG-154/2024</w:t>
      </w:r>
      <w:r w:rsidR="00627812" w:rsidRPr="008E5B0F">
        <w:rPr>
          <w:rStyle w:val="Refdenotaalpie"/>
          <w:rFonts w:ascii="Arial" w:eastAsia="Arial" w:hAnsi="Arial" w:cs="Arial"/>
          <w:i/>
          <w:color w:val="000000"/>
          <w:sz w:val="24"/>
          <w:szCs w:val="24"/>
        </w:rPr>
        <w:footnoteReference w:id="6"/>
      </w:r>
      <w:r w:rsidRPr="008E5B0F">
        <w:rPr>
          <w:rFonts w:ascii="Arial" w:hAnsi="Arial" w:cs="Arial"/>
          <w:sz w:val="24"/>
          <w:szCs w:val="24"/>
        </w:rPr>
        <w:t>.</w:t>
      </w:r>
    </w:p>
    <w:p w14:paraId="404CFAF0" w14:textId="77777777" w:rsidR="0012716D" w:rsidRPr="008E5B0F" w:rsidRDefault="001E741F" w:rsidP="00C23313">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b/>
          <w:color w:val="000000"/>
          <w:sz w:val="24"/>
          <w:szCs w:val="24"/>
        </w:rPr>
      </w:pPr>
      <w:r w:rsidRPr="008E5B0F">
        <w:rPr>
          <w:rFonts w:ascii="Arial" w:eastAsia="Arial" w:hAnsi="Arial" w:cs="Arial"/>
          <w:b/>
          <w:color w:val="000000"/>
          <w:sz w:val="24"/>
          <w:szCs w:val="24"/>
        </w:rPr>
        <w:t xml:space="preserve"> </w:t>
      </w:r>
      <w:r w:rsidRPr="008E5B0F">
        <w:rPr>
          <w:rFonts w:ascii="Arial" w:eastAsia="Arial" w:hAnsi="Arial" w:cs="Arial"/>
          <w:b/>
          <w:i/>
          <w:color w:val="000000"/>
          <w:sz w:val="24"/>
          <w:szCs w:val="24"/>
        </w:rPr>
        <w:t>Jornada electoral</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El dos de junio de la misma anualidad, se llevó a cabo la </w:t>
      </w:r>
      <w:r w:rsidRPr="008E5B0F">
        <w:rPr>
          <w:rFonts w:ascii="Arial" w:eastAsia="Arial" w:hAnsi="Arial" w:cs="Arial"/>
          <w:i/>
          <w:color w:val="000000"/>
          <w:sz w:val="24"/>
          <w:szCs w:val="24"/>
        </w:rPr>
        <w:t>jornada electoral</w:t>
      </w:r>
      <w:r w:rsidRPr="008E5B0F">
        <w:rPr>
          <w:rFonts w:ascii="Arial" w:eastAsia="Arial" w:hAnsi="Arial" w:cs="Arial"/>
          <w:color w:val="000000"/>
          <w:sz w:val="24"/>
          <w:szCs w:val="24"/>
        </w:rPr>
        <w:t xml:space="preserve"> correspondiente al </w:t>
      </w:r>
      <w:r w:rsidRPr="008E5B0F">
        <w:rPr>
          <w:rFonts w:ascii="Arial" w:eastAsia="Arial" w:hAnsi="Arial" w:cs="Arial"/>
          <w:i/>
          <w:color w:val="000000"/>
          <w:sz w:val="24"/>
          <w:szCs w:val="24"/>
        </w:rPr>
        <w:t>PEL 2023-2024</w:t>
      </w:r>
      <w:r w:rsidRPr="008E5B0F">
        <w:rPr>
          <w:rFonts w:ascii="Arial" w:eastAsia="Arial" w:hAnsi="Arial" w:cs="Arial"/>
          <w:color w:val="000000"/>
          <w:sz w:val="24"/>
          <w:szCs w:val="24"/>
        </w:rPr>
        <w:t>, para la renovación de las diputaciones al Congreso del Estado de Michoacán de Ocampo y las planillas a los Ayuntamientos de la Entidad.</w:t>
      </w:r>
    </w:p>
    <w:p w14:paraId="404CFAF1"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b/>
          <w:color w:val="000000"/>
          <w:sz w:val="24"/>
          <w:szCs w:val="24"/>
        </w:rPr>
      </w:pPr>
      <w:r w:rsidRPr="008E5B0F">
        <w:rPr>
          <w:rFonts w:ascii="Arial" w:eastAsia="Arial" w:hAnsi="Arial" w:cs="Arial"/>
          <w:b/>
          <w:color w:val="000000"/>
          <w:sz w:val="24"/>
          <w:szCs w:val="24"/>
        </w:rPr>
        <w:t xml:space="preserve">Instalación del </w:t>
      </w:r>
      <w:r w:rsidRPr="008E5B0F">
        <w:rPr>
          <w:rFonts w:ascii="Arial" w:eastAsia="Arial" w:hAnsi="Arial" w:cs="Arial"/>
          <w:b/>
          <w:i/>
          <w:color w:val="000000"/>
          <w:sz w:val="24"/>
          <w:szCs w:val="24"/>
        </w:rPr>
        <w:t>Ayuntamiento</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El uno de septiembre de dos mil veinticuatro, en sesión solemne tomaron protesta los integrantes electos del </w:t>
      </w:r>
      <w:r w:rsidRPr="008E5B0F">
        <w:rPr>
          <w:rFonts w:ascii="Arial" w:eastAsia="Arial" w:hAnsi="Arial" w:cs="Arial"/>
          <w:i/>
          <w:color w:val="000000"/>
          <w:sz w:val="24"/>
          <w:szCs w:val="24"/>
        </w:rPr>
        <w:t>Ayuntamiento</w:t>
      </w:r>
      <w:r w:rsidRPr="008E5B0F">
        <w:rPr>
          <w:rFonts w:ascii="Arial" w:eastAsia="Arial" w:hAnsi="Arial" w:cs="Arial"/>
          <w:color w:val="000000"/>
          <w:sz w:val="24"/>
          <w:szCs w:val="24"/>
        </w:rPr>
        <w:t xml:space="preserve">, —entre ellos el </w:t>
      </w:r>
      <w:r w:rsidRPr="008E5B0F">
        <w:rPr>
          <w:rFonts w:ascii="Arial" w:eastAsia="Arial" w:hAnsi="Arial" w:cs="Arial"/>
          <w:i/>
          <w:iCs/>
          <w:color w:val="000000"/>
          <w:sz w:val="24"/>
          <w:szCs w:val="24"/>
        </w:rPr>
        <w:t>tercero interesado</w:t>
      </w:r>
      <w:r w:rsidRPr="008E5B0F">
        <w:rPr>
          <w:rFonts w:ascii="Arial" w:eastAsia="Arial" w:hAnsi="Arial" w:cs="Arial"/>
          <w:color w:val="000000"/>
          <w:sz w:val="24"/>
          <w:szCs w:val="24"/>
        </w:rPr>
        <w:t xml:space="preserve">— con lo que quedó formalmente instalado dicho órgano colegiado, tal y como consta en el </w:t>
      </w:r>
      <w:r w:rsidRPr="008E5B0F">
        <w:rPr>
          <w:rFonts w:ascii="Arial" w:eastAsia="Arial" w:hAnsi="Arial" w:cs="Arial"/>
          <w:i/>
          <w:iCs/>
          <w:color w:val="000000"/>
          <w:sz w:val="24"/>
          <w:szCs w:val="24"/>
        </w:rPr>
        <w:t>Acta de Instalación</w:t>
      </w:r>
      <w:r w:rsidRPr="008E5B0F">
        <w:rPr>
          <w:rFonts w:ascii="Arial" w:eastAsia="Arial" w:hAnsi="Arial" w:cs="Arial"/>
          <w:color w:val="000000"/>
          <w:sz w:val="24"/>
          <w:szCs w:val="24"/>
          <w:vertAlign w:val="superscript"/>
        </w:rPr>
        <w:footnoteReference w:id="7"/>
      </w:r>
      <w:r w:rsidRPr="008E5B0F">
        <w:rPr>
          <w:rFonts w:ascii="Arial" w:eastAsia="Arial" w:hAnsi="Arial" w:cs="Arial"/>
          <w:color w:val="000000"/>
          <w:sz w:val="24"/>
          <w:szCs w:val="24"/>
        </w:rPr>
        <w:t>.</w:t>
      </w:r>
    </w:p>
    <w:p w14:paraId="404CFAF2"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b/>
          <w:color w:val="000000"/>
          <w:sz w:val="24"/>
          <w:szCs w:val="24"/>
        </w:rPr>
      </w:pPr>
      <w:r w:rsidRPr="008E5B0F">
        <w:rPr>
          <w:rFonts w:ascii="Arial" w:eastAsia="Arial" w:hAnsi="Arial" w:cs="Arial"/>
          <w:b/>
          <w:color w:val="000000"/>
          <w:sz w:val="24"/>
          <w:szCs w:val="24"/>
        </w:rPr>
        <w:t xml:space="preserve"> Escrito de solicitud de incorporación. </w:t>
      </w:r>
      <w:r w:rsidRPr="008E5B0F">
        <w:rPr>
          <w:rFonts w:ascii="Arial" w:eastAsia="Arial" w:hAnsi="Arial" w:cs="Arial"/>
          <w:color w:val="000000"/>
          <w:sz w:val="24"/>
          <w:szCs w:val="24"/>
        </w:rPr>
        <w:t xml:space="preserve">Mediante escrito de tres de septiembre, la </w:t>
      </w:r>
      <w:r w:rsidRPr="008E5B0F">
        <w:rPr>
          <w:rFonts w:ascii="Arial" w:eastAsia="Arial" w:hAnsi="Arial" w:cs="Arial"/>
          <w:i/>
          <w:color w:val="000000"/>
          <w:sz w:val="24"/>
          <w:szCs w:val="24"/>
        </w:rPr>
        <w:t xml:space="preserve">actora </w:t>
      </w:r>
      <w:r w:rsidRPr="008E5B0F">
        <w:rPr>
          <w:rFonts w:ascii="Arial" w:eastAsia="Arial" w:hAnsi="Arial" w:cs="Arial"/>
          <w:color w:val="000000"/>
          <w:sz w:val="24"/>
          <w:szCs w:val="24"/>
        </w:rPr>
        <w:t xml:space="preserve">informó al </w:t>
      </w:r>
      <w:r w:rsidRPr="008E5B0F">
        <w:rPr>
          <w:rFonts w:ascii="Arial" w:eastAsia="Arial" w:hAnsi="Arial" w:cs="Arial"/>
          <w:i/>
          <w:iCs/>
          <w:color w:val="000000"/>
          <w:sz w:val="24"/>
          <w:szCs w:val="24"/>
        </w:rPr>
        <w:t>Preside</w:t>
      </w:r>
      <w:r w:rsidRPr="008E5B0F">
        <w:rPr>
          <w:rFonts w:ascii="Arial" w:eastAsia="Arial" w:hAnsi="Arial" w:cs="Arial"/>
          <w:i/>
          <w:color w:val="000000"/>
          <w:sz w:val="24"/>
          <w:szCs w:val="24"/>
        </w:rPr>
        <w:t>nte Municipal</w:t>
      </w:r>
      <w:r w:rsidRPr="008E5B0F">
        <w:rPr>
          <w:rFonts w:ascii="Arial" w:eastAsia="Arial" w:hAnsi="Arial" w:cs="Arial"/>
          <w:color w:val="000000"/>
          <w:sz w:val="24"/>
          <w:szCs w:val="24"/>
        </w:rPr>
        <w:t xml:space="preserve"> su incorporación como Regidora Propietaria del </w:t>
      </w:r>
      <w:r w:rsidRPr="008E5B0F">
        <w:rPr>
          <w:rFonts w:ascii="Arial" w:eastAsia="Arial" w:hAnsi="Arial" w:cs="Arial"/>
          <w:i/>
          <w:color w:val="000000"/>
          <w:sz w:val="24"/>
          <w:szCs w:val="24"/>
        </w:rPr>
        <w:t xml:space="preserve">Ayuntamiento, </w:t>
      </w:r>
      <w:r w:rsidRPr="008E5B0F">
        <w:rPr>
          <w:rFonts w:ascii="Arial" w:eastAsia="Arial" w:hAnsi="Arial" w:cs="Arial"/>
          <w:iCs/>
          <w:color w:val="000000"/>
          <w:sz w:val="24"/>
          <w:szCs w:val="24"/>
        </w:rPr>
        <w:t>por lo que solicitó se le convocara a la siguiente Sesión de Cabildo, con la finalidad de que se le tomara protesta y se realizaran los trámites administrativos correspondientes</w:t>
      </w:r>
      <w:r w:rsidRPr="008E5B0F">
        <w:rPr>
          <w:rFonts w:ascii="Arial" w:eastAsia="Arial" w:hAnsi="Arial" w:cs="Arial"/>
          <w:color w:val="000000"/>
          <w:sz w:val="24"/>
          <w:szCs w:val="24"/>
          <w:vertAlign w:val="superscript"/>
        </w:rPr>
        <w:footnoteReference w:id="8"/>
      </w:r>
      <w:r w:rsidRPr="008E5B0F">
        <w:rPr>
          <w:rFonts w:ascii="Arial" w:eastAsia="Arial" w:hAnsi="Arial" w:cs="Arial"/>
          <w:color w:val="000000"/>
          <w:sz w:val="24"/>
          <w:szCs w:val="24"/>
        </w:rPr>
        <w:t>.</w:t>
      </w:r>
    </w:p>
    <w:p w14:paraId="404CFAF3"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color w:val="000000"/>
          <w:sz w:val="24"/>
          <w:szCs w:val="24"/>
        </w:rPr>
      </w:pPr>
      <w:r w:rsidRPr="008E5B0F">
        <w:rPr>
          <w:rFonts w:ascii="Arial" w:eastAsia="Arial" w:hAnsi="Arial" w:cs="Arial"/>
          <w:b/>
          <w:color w:val="000000"/>
          <w:sz w:val="24"/>
          <w:szCs w:val="24"/>
        </w:rPr>
        <w:lastRenderedPageBreak/>
        <w:t xml:space="preserve">Contestación al escrito presentado. </w:t>
      </w:r>
      <w:r w:rsidRPr="008E5B0F">
        <w:rPr>
          <w:rFonts w:ascii="Arial" w:eastAsia="Arial" w:hAnsi="Arial" w:cs="Arial"/>
          <w:color w:val="000000"/>
          <w:sz w:val="24"/>
          <w:szCs w:val="24"/>
        </w:rPr>
        <w:t xml:space="preserve">El cinco siguiente, la </w:t>
      </w:r>
      <w:r w:rsidRPr="008E5B0F">
        <w:rPr>
          <w:rFonts w:ascii="Arial" w:eastAsia="Arial" w:hAnsi="Arial" w:cs="Arial"/>
          <w:i/>
          <w:color w:val="000000"/>
          <w:sz w:val="24"/>
          <w:szCs w:val="24"/>
        </w:rPr>
        <w:t>Secretaria</w:t>
      </w:r>
      <w:r w:rsidRPr="008E5B0F">
        <w:rPr>
          <w:rFonts w:ascii="Arial" w:eastAsia="Arial" w:hAnsi="Arial" w:cs="Arial"/>
          <w:color w:val="000000"/>
          <w:sz w:val="24"/>
          <w:szCs w:val="24"/>
        </w:rPr>
        <w:t xml:space="preserve"> —por instrucciones del </w:t>
      </w:r>
      <w:r w:rsidRPr="008E5B0F">
        <w:rPr>
          <w:rFonts w:ascii="Arial" w:eastAsia="Arial" w:hAnsi="Arial" w:cs="Arial"/>
          <w:i/>
          <w:iCs/>
          <w:color w:val="000000"/>
          <w:sz w:val="24"/>
          <w:szCs w:val="24"/>
        </w:rPr>
        <w:t>Presidente Municipal</w:t>
      </w:r>
      <w:r w:rsidRPr="008E5B0F">
        <w:rPr>
          <w:rFonts w:ascii="Arial" w:eastAsia="Arial" w:hAnsi="Arial" w:cs="Arial"/>
          <w:color w:val="000000"/>
          <w:sz w:val="24"/>
          <w:szCs w:val="24"/>
        </w:rPr>
        <w:t xml:space="preserve">— dio contestación al escrito presentado por la </w:t>
      </w:r>
      <w:r w:rsidRPr="008E5B0F">
        <w:rPr>
          <w:rFonts w:ascii="Arial" w:eastAsia="Arial" w:hAnsi="Arial" w:cs="Arial"/>
          <w:i/>
          <w:iCs/>
          <w:color w:val="000000"/>
          <w:sz w:val="24"/>
          <w:szCs w:val="24"/>
        </w:rPr>
        <w:t>parte</w:t>
      </w:r>
      <w:r w:rsidRPr="008E5B0F">
        <w:rPr>
          <w:rFonts w:ascii="Arial" w:eastAsia="Arial" w:hAnsi="Arial" w:cs="Arial"/>
          <w:color w:val="000000"/>
          <w:sz w:val="24"/>
          <w:szCs w:val="24"/>
        </w:rPr>
        <w:t xml:space="preserve"> </w:t>
      </w:r>
      <w:r w:rsidRPr="008E5B0F">
        <w:rPr>
          <w:rFonts w:ascii="Arial" w:eastAsia="Arial" w:hAnsi="Arial" w:cs="Arial"/>
          <w:i/>
          <w:color w:val="000000"/>
          <w:sz w:val="24"/>
          <w:szCs w:val="24"/>
        </w:rPr>
        <w:t>actora</w:t>
      </w:r>
      <w:r w:rsidRPr="008E5B0F">
        <w:rPr>
          <w:rFonts w:ascii="Arial" w:eastAsia="Arial" w:hAnsi="Arial" w:cs="Arial"/>
          <w:color w:val="000000"/>
          <w:sz w:val="24"/>
          <w:szCs w:val="24"/>
          <w:vertAlign w:val="superscript"/>
        </w:rPr>
        <w:footnoteReference w:id="9"/>
      </w:r>
      <w:r w:rsidRPr="008E5B0F">
        <w:rPr>
          <w:rFonts w:ascii="Arial" w:eastAsia="Arial" w:hAnsi="Arial" w:cs="Arial"/>
          <w:color w:val="000000"/>
          <w:sz w:val="24"/>
          <w:szCs w:val="24"/>
        </w:rPr>
        <w:t xml:space="preserve">.  </w:t>
      </w:r>
    </w:p>
    <w:p w14:paraId="404CFAF4" w14:textId="77777777" w:rsidR="0012716D" w:rsidRPr="008E5B0F" w:rsidRDefault="001E741F">
      <w:pPr>
        <w:numPr>
          <w:ilvl w:val="1"/>
          <w:numId w:val="13"/>
        </w:numPr>
        <w:pBdr>
          <w:top w:val="nil"/>
          <w:left w:val="nil"/>
          <w:bottom w:val="nil"/>
          <w:right w:val="nil"/>
          <w:between w:val="nil"/>
        </w:pBdr>
        <w:spacing w:before="240" w:after="100" w:afterAutospacing="1" w:line="360" w:lineRule="auto"/>
        <w:ind w:left="0" w:firstLine="0"/>
        <w:jc w:val="both"/>
        <w:rPr>
          <w:rFonts w:ascii="Arial" w:eastAsia="Arial" w:hAnsi="Arial" w:cs="Arial"/>
          <w:color w:val="000000"/>
          <w:sz w:val="24"/>
          <w:szCs w:val="24"/>
        </w:rPr>
      </w:pPr>
      <w:r w:rsidRPr="008E5B0F">
        <w:rPr>
          <w:rFonts w:ascii="Arial" w:eastAsia="Arial" w:hAnsi="Arial" w:cs="Arial"/>
          <w:b/>
          <w:i/>
          <w:iCs/>
          <w:color w:val="000000"/>
          <w:sz w:val="24"/>
          <w:szCs w:val="24"/>
        </w:rPr>
        <w:t>Juicio de la ciudadanía</w:t>
      </w:r>
      <w:r w:rsidRPr="008E5B0F">
        <w:rPr>
          <w:rFonts w:ascii="Arial" w:eastAsia="Arial" w:hAnsi="Arial" w:cs="Arial"/>
          <w:b/>
          <w:i/>
          <w:color w:val="000000"/>
          <w:sz w:val="24"/>
          <w:szCs w:val="24"/>
        </w:rPr>
        <w:t>.</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Inconforme con la respuesta, el doce del mismo mes, la </w:t>
      </w:r>
      <w:r w:rsidRPr="008E5B0F">
        <w:rPr>
          <w:rFonts w:ascii="Arial" w:eastAsia="Arial" w:hAnsi="Arial" w:cs="Arial"/>
          <w:i/>
          <w:iCs/>
          <w:color w:val="000000"/>
          <w:sz w:val="24"/>
          <w:szCs w:val="24"/>
        </w:rPr>
        <w:t>parte</w:t>
      </w:r>
      <w:r w:rsidRPr="008E5B0F">
        <w:rPr>
          <w:rFonts w:ascii="Arial" w:eastAsia="Arial" w:hAnsi="Arial" w:cs="Arial"/>
          <w:color w:val="000000"/>
          <w:sz w:val="24"/>
          <w:szCs w:val="24"/>
        </w:rPr>
        <w:t xml:space="preserve"> </w:t>
      </w:r>
      <w:r w:rsidRPr="008E5B0F">
        <w:rPr>
          <w:rFonts w:ascii="Arial" w:eastAsia="Arial" w:hAnsi="Arial" w:cs="Arial"/>
          <w:i/>
          <w:iCs/>
          <w:color w:val="000000"/>
          <w:sz w:val="24"/>
          <w:szCs w:val="24"/>
        </w:rPr>
        <w:t>actora</w:t>
      </w:r>
      <w:r w:rsidRPr="008E5B0F">
        <w:rPr>
          <w:rFonts w:ascii="Arial" w:eastAsia="Arial" w:hAnsi="Arial" w:cs="Arial"/>
          <w:color w:val="000000"/>
          <w:sz w:val="24"/>
          <w:szCs w:val="24"/>
        </w:rPr>
        <w:t xml:space="preserve"> presentó, ante</w:t>
      </w:r>
      <w:r w:rsidRPr="008E5B0F">
        <w:rPr>
          <w:rFonts w:ascii="Arial" w:eastAsia="Arial" w:hAnsi="Arial" w:cs="Arial"/>
          <w:i/>
          <w:color w:val="000000"/>
          <w:sz w:val="24"/>
          <w:szCs w:val="24"/>
        </w:rPr>
        <w:t xml:space="preserve"> </w:t>
      </w:r>
      <w:r w:rsidRPr="008E5B0F">
        <w:rPr>
          <w:rFonts w:ascii="Arial" w:eastAsia="Arial" w:hAnsi="Arial" w:cs="Arial"/>
          <w:color w:val="000000"/>
          <w:sz w:val="24"/>
          <w:szCs w:val="24"/>
        </w:rPr>
        <w:t xml:space="preserve">este </w:t>
      </w:r>
      <w:r w:rsidRPr="008E5B0F">
        <w:rPr>
          <w:rFonts w:ascii="Arial" w:eastAsia="Arial" w:hAnsi="Arial" w:cs="Arial"/>
          <w:i/>
          <w:color w:val="000000"/>
          <w:sz w:val="24"/>
          <w:szCs w:val="24"/>
        </w:rPr>
        <w:t>órgano jurisdiccional, juicio de la ciudadanía</w:t>
      </w:r>
      <w:r w:rsidRPr="008E5B0F">
        <w:rPr>
          <w:rFonts w:ascii="Arial" w:eastAsia="Arial" w:hAnsi="Arial" w:cs="Arial"/>
          <w:color w:val="000000"/>
          <w:sz w:val="24"/>
          <w:szCs w:val="24"/>
          <w:vertAlign w:val="superscript"/>
        </w:rPr>
        <w:footnoteReference w:id="10"/>
      </w:r>
      <w:r w:rsidRPr="008E5B0F">
        <w:rPr>
          <w:rFonts w:ascii="Arial" w:eastAsia="Arial" w:hAnsi="Arial" w:cs="Arial"/>
          <w:i/>
          <w:color w:val="000000"/>
          <w:sz w:val="24"/>
          <w:szCs w:val="24"/>
        </w:rPr>
        <w:t>.</w:t>
      </w:r>
    </w:p>
    <w:p w14:paraId="404CFAF5" w14:textId="77777777" w:rsidR="0012716D" w:rsidRPr="008E5B0F" w:rsidRDefault="001E741F">
      <w:pPr>
        <w:pStyle w:val="Ttulo1"/>
        <w:numPr>
          <w:ilvl w:val="0"/>
          <w:numId w:val="1"/>
        </w:numPr>
        <w:spacing w:after="240"/>
        <w:ind w:left="1077"/>
        <w:jc w:val="center"/>
        <w:rPr>
          <w:rFonts w:ascii="Arial" w:eastAsia="Arial" w:hAnsi="Arial" w:cs="Arial"/>
          <w:b/>
          <w:color w:val="000000"/>
          <w:sz w:val="24"/>
          <w:szCs w:val="24"/>
        </w:rPr>
      </w:pPr>
      <w:bookmarkStart w:id="3" w:name="_heading=h.4tlmm2owkzs0" w:colFirst="0" w:colLast="0"/>
      <w:bookmarkStart w:id="4" w:name="_Toc211690207"/>
      <w:bookmarkEnd w:id="3"/>
      <w:r w:rsidRPr="008E5B0F">
        <w:rPr>
          <w:rFonts w:ascii="Arial" w:eastAsia="Arial" w:hAnsi="Arial" w:cs="Arial"/>
          <w:b/>
          <w:color w:val="000000"/>
          <w:sz w:val="24"/>
          <w:szCs w:val="24"/>
        </w:rPr>
        <w:t>TRÁMITE</w:t>
      </w:r>
      <w:bookmarkEnd w:id="4"/>
    </w:p>
    <w:p w14:paraId="404CFAF6" w14:textId="77777777" w:rsidR="0012716D" w:rsidRPr="008E5B0F" w:rsidRDefault="001E741F">
      <w:pPr>
        <w:spacing w:before="100" w:beforeAutospacing="1" w:after="100" w:afterAutospacing="1" w:line="360" w:lineRule="auto"/>
        <w:jc w:val="both"/>
        <w:rPr>
          <w:rFonts w:ascii="Arial" w:eastAsia="Arial" w:hAnsi="Arial" w:cs="Arial"/>
          <w:color w:val="000000"/>
          <w:sz w:val="24"/>
          <w:szCs w:val="24"/>
        </w:rPr>
      </w:pPr>
      <w:r w:rsidRPr="008E5B0F">
        <w:rPr>
          <w:rFonts w:ascii="Arial" w:eastAsia="Arial" w:hAnsi="Arial" w:cs="Arial"/>
          <w:b/>
          <w:color w:val="000000"/>
          <w:sz w:val="24"/>
          <w:szCs w:val="24"/>
        </w:rPr>
        <w:t>2.1. Registro y turno a ponencia.</w:t>
      </w:r>
      <w:r w:rsidRPr="008E5B0F">
        <w:rPr>
          <w:rFonts w:ascii="Arial" w:eastAsia="Arial" w:hAnsi="Arial" w:cs="Arial"/>
          <w:color w:val="000000"/>
          <w:sz w:val="24"/>
          <w:szCs w:val="24"/>
        </w:rPr>
        <w:t xml:space="preserve"> El quince de septiembre, la Magistrada Alma Rosa Bahena Villalobos, entonces Presidenta de este </w:t>
      </w:r>
      <w:r w:rsidRPr="008E5B0F">
        <w:rPr>
          <w:rFonts w:ascii="Arial" w:eastAsia="Arial" w:hAnsi="Arial" w:cs="Arial"/>
          <w:i/>
          <w:color w:val="000000"/>
          <w:sz w:val="24"/>
          <w:szCs w:val="24"/>
        </w:rPr>
        <w:t>órgano jurisdiccional</w:t>
      </w:r>
      <w:r w:rsidRPr="008E5B0F">
        <w:rPr>
          <w:rFonts w:ascii="Arial" w:eastAsia="Arial" w:hAnsi="Arial" w:cs="Arial"/>
          <w:iCs/>
          <w:color w:val="000000"/>
          <w:sz w:val="24"/>
          <w:szCs w:val="24"/>
        </w:rPr>
        <w:t>,</w:t>
      </w:r>
      <w:r w:rsidRPr="008E5B0F">
        <w:rPr>
          <w:rFonts w:ascii="Arial" w:eastAsia="Arial" w:hAnsi="Arial" w:cs="Arial"/>
          <w:color w:val="000000"/>
          <w:sz w:val="24"/>
          <w:szCs w:val="24"/>
        </w:rPr>
        <w:t xml:space="preserve"> ordenó integrar el expediente TEEM-JDC-226/2025 y turnarlo a la ponencia a su cargo</w:t>
      </w:r>
      <w:r w:rsidRPr="008E5B0F">
        <w:rPr>
          <w:rFonts w:ascii="Arial" w:eastAsia="Arial" w:hAnsi="Arial" w:cs="Arial"/>
          <w:color w:val="000000"/>
          <w:sz w:val="24"/>
          <w:szCs w:val="24"/>
          <w:vertAlign w:val="superscript"/>
        </w:rPr>
        <w:footnoteReference w:id="11"/>
      </w:r>
      <w:r w:rsidRPr="008E5B0F">
        <w:rPr>
          <w:rFonts w:ascii="Arial" w:eastAsia="Arial" w:hAnsi="Arial" w:cs="Arial"/>
          <w:color w:val="000000"/>
          <w:sz w:val="24"/>
          <w:szCs w:val="24"/>
        </w:rPr>
        <w:t>.</w:t>
      </w:r>
    </w:p>
    <w:p w14:paraId="404CFAF7" w14:textId="77777777" w:rsidR="0012716D" w:rsidRPr="008E5B0F" w:rsidRDefault="001E741F">
      <w:pPr>
        <w:spacing w:before="100" w:beforeAutospacing="1" w:after="100" w:afterAutospacing="1" w:line="360" w:lineRule="auto"/>
        <w:jc w:val="both"/>
        <w:rPr>
          <w:rFonts w:ascii="Arial" w:eastAsia="Arial" w:hAnsi="Arial" w:cs="Arial"/>
          <w:color w:val="000000"/>
          <w:sz w:val="24"/>
          <w:szCs w:val="24"/>
        </w:rPr>
      </w:pPr>
      <w:r w:rsidRPr="008E5B0F">
        <w:rPr>
          <w:rFonts w:ascii="Arial" w:eastAsia="Arial" w:hAnsi="Arial" w:cs="Arial"/>
          <w:b/>
          <w:color w:val="000000"/>
          <w:sz w:val="24"/>
          <w:szCs w:val="24"/>
        </w:rPr>
        <w:t>2.2</w:t>
      </w:r>
      <w:r w:rsidRPr="008E5B0F">
        <w:rPr>
          <w:rFonts w:ascii="Arial" w:eastAsia="Arial" w:hAnsi="Arial" w:cs="Arial"/>
          <w:color w:val="000000"/>
          <w:sz w:val="24"/>
          <w:szCs w:val="24"/>
        </w:rPr>
        <w:t xml:space="preserve">. </w:t>
      </w:r>
      <w:r w:rsidRPr="008E5B0F">
        <w:rPr>
          <w:rFonts w:ascii="Arial" w:eastAsia="Arial" w:hAnsi="Arial" w:cs="Arial"/>
          <w:b/>
          <w:color w:val="000000"/>
          <w:sz w:val="24"/>
          <w:szCs w:val="24"/>
        </w:rPr>
        <w:t>Radicación y requerimiento de trámite de ley.</w:t>
      </w:r>
      <w:r w:rsidRPr="008E5B0F">
        <w:rPr>
          <w:rFonts w:ascii="Arial" w:eastAsia="Arial" w:hAnsi="Arial" w:cs="Arial"/>
          <w:color w:val="000000"/>
          <w:sz w:val="24"/>
          <w:szCs w:val="24"/>
        </w:rPr>
        <w:t xml:space="preserve"> El diecisiete siguiente, se radicó el </w:t>
      </w:r>
      <w:r w:rsidRPr="008E5B0F">
        <w:rPr>
          <w:rFonts w:ascii="Arial" w:eastAsia="Arial" w:hAnsi="Arial" w:cs="Arial"/>
          <w:i/>
          <w:color w:val="000000"/>
          <w:sz w:val="24"/>
          <w:szCs w:val="24"/>
        </w:rPr>
        <w:t xml:space="preserve">juicio de la ciudadanía </w:t>
      </w:r>
      <w:r w:rsidRPr="008E5B0F">
        <w:rPr>
          <w:rFonts w:ascii="Arial" w:eastAsia="Arial" w:hAnsi="Arial" w:cs="Arial"/>
          <w:color w:val="000000"/>
          <w:sz w:val="24"/>
          <w:szCs w:val="24"/>
        </w:rPr>
        <w:t xml:space="preserve">y se requirió a la </w:t>
      </w:r>
      <w:r w:rsidRPr="008E5B0F">
        <w:rPr>
          <w:rFonts w:ascii="Arial" w:eastAsia="Arial" w:hAnsi="Arial" w:cs="Arial"/>
          <w:i/>
          <w:color w:val="000000"/>
          <w:sz w:val="24"/>
          <w:szCs w:val="24"/>
        </w:rPr>
        <w:t>autoridad responsable</w:t>
      </w:r>
      <w:r w:rsidRPr="008E5B0F">
        <w:rPr>
          <w:rFonts w:ascii="Arial" w:eastAsia="Arial" w:hAnsi="Arial" w:cs="Arial"/>
          <w:color w:val="000000"/>
          <w:sz w:val="24"/>
          <w:szCs w:val="24"/>
        </w:rPr>
        <w:t xml:space="preserve"> para que rindiera su informe circunstanciado y </w:t>
      </w:r>
      <w:r w:rsidRPr="008E5B0F">
        <w:rPr>
          <w:rFonts w:ascii="Arial" w:eastAsia="Arial" w:hAnsi="Arial" w:cs="Arial"/>
          <w:sz w:val="24"/>
          <w:szCs w:val="24"/>
        </w:rPr>
        <w:t>efectuara</w:t>
      </w:r>
      <w:r w:rsidRPr="008E5B0F">
        <w:rPr>
          <w:rFonts w:ascii="Arial" w:eastAsia="Arial" w:hAnsi="Arial" w:cs="Arial"/>
          <w:color w:val="000000"/>
          <w:sz w:val="24"/>
          <w:szCs w:val="24"/>
        </w:rPr>
        <w:t xml:space="preserve"> el trámite de ley; así como que remitiera las constancias correspondientes</w:t>
      </w:r>
      <w:r w:rsidRPr="008E5B0F">
        <w:rPr>
          <w:rFonts w:ascii="Arial" w:eastAsia="Arial" w:hAnsi="Arial" w:cs="Arial"/>
          <w:color w:val="000000"/>
          <w:sz w:val="24"/>
          <w:szCs w:val="24"/>
          <w:vertAlign w:val="superscript"/>
        </w:rPr>
        <w:footnoteReference w:id="12"/>
      </w:r>
      <w:r w:rsidRPr="008E5B0F">
        <w:rPr>
          <w:rFonts w:ascii="Arial" w:eastAsia="Arial" w:hAnsi="Arial" w:cs="Arial"/>
          <w:color w:val="000000"/>
          <w:sz w:val="24"/>
          <w:szCs w:val="24"/>
        </w:rPr>
        <w:t xml:space="preserve">. </w:t>
      </w:r>
    </w:p>
    <w:p w14:paraId="404CFAF8" w14:textId="77777777" w:rsidR="0012716D" w:rsidRPr="008E5B0F" w:rsidRDefault="001E741F">
      <w:pPr>
        <w:spacing w:before="100" w:beforeAutospacing="1" w:after="100" w:afterAutospacing="1" w:line="360" w:lineRule="auto"/>
        <w:jc w:val="both"/>
        <w:rPr>
          <w:rFonts w:ascii="Arial" w:eastAsia="Arial" w:hAnsi="Arial" w:cs="Arial"/>
          <w:color w:val="000000"/>
          <w:sz w:val="24"/>
          <w:szCs w:val="24"/>
        </w:rPr>
      </w:pPr>
      <w:r w:rsidRPr="008E5B0F">
        <w:rPr>
          <w:rFonts w:ascii="Arial" w:eastAsia="Arial" w:hAnsi="Arial" w:cs="Arial"/>
          <w:b/>
          <w:color w:val="000000"/>
          <w:sz w:val="24"/>
          <w:szCs w:val="24"/>
        </w:rPr>
        <w:t xml:space="preserve">2.3. </w:t>
      </w:r>
      <w:r w:rsidRPr="008E5B0F">
        <w:rPr>
          <w:rFonts w:ascii="Arial" w:hAnsi="Arial" w:cs="Arial"/>
          <w:b/>
          <w:sz w:val="24"/>
          <w:szCs w:val="24"/>
        </w:rPr>
        <w:t>Cumplimiento</w:t>
      </w:r>
      <w:r w:rsidRPr="008E5B0F">
        <w:rPr>
          <w:rFonts w:ascii="Arial" w:eastAsia="Arial" w:hAnsi="Arial" w:cs="Arial"/>
          <w:b/>
          <w:color w:val="000000"/>
          <w:sz w:val="24"/>
          <w:szCs w:val="24"/>
        </w:rPr>
        <w:t xml:space="preserve"> y remisión de informe circunstanciado. </w:t>
      </w:r>
      <w:r w:rsidRPr="008E5B0F">
        <w:rPr>
          <w:rFonts w:ascii="Arial" w:eastAsia="Arial" w:hAnsi="Arial" w:cs="Arial"/>
          <w:color w:val="000000"/>
          <w:sz w:val="24"/>
          <w:szCs w:val="24"/>
        </w:rPr>
        <w:t>El veintiséis posterior, se acordó el cumplimiento al requerimiento efectuado, quedando pendiente la recepción de las cédulas de publicitación respectivas</w:t>
      </w:r>
      <w:r w:rsidRPr="008E5B0F">
        <w:rPr>
          <w:rFonts w:ascii="Arial" w:eastAsia="Arial" w:hAnsi="Arial" w:cs="Arial"/>
          <w:i/>
          <w:color w:val="000000"/>
          <w:sz w:val="24"/>
          <w:szCs w:val="24"/>
          <w:vertAlign w:val="superscript"/>
        </w:rPr>
        <w:footnoteReference w:id="13"/>
      </w:r>
      <w:r w:rsidRPr="008E5B0F">
        <w:rPr>
          <w:rFonts w:ascii="Arial" w:eastAsia="Arial" w:hAnsi="Arial" w:cs="Arial"/>
          <w:color w:val="000000"/>
          <w:sz w:val="24"/>
          <w:szCs w:val="24"/>
        </w:rPr>
        <w:t>.</w:t>
      </w:r>
    </w:p>
    <w:p w14:paraId="404CFAF9" w14:textId="77777777" w:rsidR="0012716D" w:rsidRPr="008E5B0F" w:rsidRDefault="001E741F">
      <w:pPr>
        <w:spacing w:before="100" w:beforeAutospacing="1" w:after="100" w:afterAutospacing="1" w:line="360" w:lineRule="auto"/>
        <w:jc w:val="both"/>
        <w:rPr>
          <w:rFonts w:ascii="Arial" w:eastAsia="Arial" w:hAnsi="Arial" w:cs="Arial"/>
          <w:color w:val="000000"/>
          <w:sz w:val="24"/>
          <w:szCs w:val="24"/>
        </w:rPr>
      </w:pPr>
      <w:r w:rsidRPr="008E5B0F">
        <w:rPr>
          <w:rFonts w:ascii="Arial" w:eastAsia="Arial" w:hAnsi="Arial" w:cs="Arial"/>
          <w:b/>
          <w:color w:val="000000"/>
          <w:sz w:val="24"/>
          <w:szCs w:val="24"/>
        </w:rPr>
        <w:t xml:space="preserve">2.4. </w:t>
      </w:r>
      <w:r w:rsidRPr="008E5B0F">
        <w:rPr>
          <w:rFonts w:ascii="Arial" w:eastAsia="Arial" w:hAnsi="Arial" w:cs="Arial"/>
          <w:b/>
          <w:i/>
          <w:iCs/>
          <w:color w:val="000000"/>
          <w:sz w:val="24"/>
          <w:szCs w:val="24"/>
        </w:rPr>
        <w:t xml:space="preserve">Escrito de tercero </w:t>
      </w:r>
      <w:r w:rsidRPr="008E5B0F">
        <w:rPr>
          <w:rFonts w:ascii="Arial" w:hAnsi="Arial" w:cs="Arial"/>
          <w:b/>
          <w:i/>
          <w:iCs/>
          <w:sz w:val="24"/>
          <w:szCs w:val="24"/>
        </w:rPr>
        <w:t>Interesado</w:t>
      </w:r>
      <w:r w:rsidRPr="008E5B0F">
        <w:rPr>
          <w:rFonts w:ascii="Arial" w:eastAsia="Arial" w:hAnsi="Arial" w:cs="Arial"/>
          <w:b/>
          <w:color w:val="000000"/>
          <w:sz w:val="24"/>
          <w:szCs w:val="24"/>
        </w:rPr>
        <w:t>.</w:t>
      </w:r>
      <w:r w:rsidRPr="008E5B0F">
        <w:rPr>
          <w:rFonts w:ascii="Arial" w:eastAsia="Arial" w:hAnsi="Arial" w:cs="Arial"/>
          <w:color w:val="000000"/>
          <w:sz w:val="24"/>
          <w:szCs w:val="24"/>
        </w:rPr>
        <w:t xml:space="preserve"> El veintidós del mismo mes, se presentó escrito de</w:t>
      </w:r>
      <w:r w:rsidRPr="008E5B0F">
        <w:rPr>
          <w:rFonts w:ascii="Arial" w:eastAsia="Arial" w:hAnsi="Arial" w:cs="Arial"/>
          <w:i/>
          <w:color w:val="000000"/>
          <w:sz w:val="24"/>
          <w:szCs w:val="24"/>
        </w:rPr>
        <w:t xml:space="preserve"> </w:t>
      </w:r>
      <w:r w:rsidRPr="008E5B0F">
        <w:rPr>
          <w:rFonts w:ascii="Arial" w:eastAsia="Arial" w:hAnsi="Arial" w:cs="Arial"/>
          <w:color w:val="000000"/>
          <w:sz w:val="24"/>
          <w:szCs w:val="24"/>
        </w:rPr>
        <w:t>tercero interesado</w:t>
      </w:r>
      <w:r w:rsidRPr="008E5B0F">
        <w:rPr>
          <w:rFonts w:ascii="Arial" w:eastAsia="Arial" w:hAnsi="Arial" w:cs="Arial"/>
          <w:color w:val="000000"/>
          <w:sz w:val="24"/>
          <w:szCs w:val="24"/>
          <w:vertAlign w:val="superscript"/>
        </w:rPr>
        <w:footnoteReference w:id="14"/>
      </w:r>
      <w:r w:rsidRPr="008E5B0F">
        <w:rPr>
          <w:rFonts w:ascii="Arial" w:eastAsia="Arial" w:hAnsi="Arial" w:cs="Arial"/>
          <w:color w:val="000000"/>
          <w:sz w:val="24"/>
          <w:szCs w:val="24"/>
        </w:rPr>
        <w:t xml:space="preserve">. </w:t>
      </w:r>
    </w:p>
    <w:p w14:paraId="404CFAFA" w14:textId="77777777" w:rsidR="0012716D" w:rsidRPr="008E5B0F" w:rsidRDefault="001E741F">
      <w:pPr>
        <w:spacing w:before="100" w:beforeAutospacing="1" w:after="100" w:afterAutospacing="1" w:line="360" w:lineRule="auto"/>
        <w:jc w:val="both"/>
        <w:rPr>
          <w:rFonts w:ascii="Arial" w:eastAsia="Arial" w:hAnsi="Arial" w:cs="Arial"/>
          <w:color w:val="000000"/>
          <w:sz w:val="24"/>
          <w:szCs w:val="24"/>
        </w:rPr>
      </w:pPr>
      <w:r w:rsidRPr="008E5B0F">
        <w:rPr>
          <w:rFonts w:ascii="Arial" w:eastAsia="Arial" w:hAnsi="Arial" w:cs="Arial"/>
          <w:b/>
          <w:color w:val="000000"/>
          <w:sz w:val="24"/>
          <w:szCs w:val="24"/>
        </w:rPr>
        <w:t xml:space="preserve">2.5 </w:t>
      </w:r>
      <w:r w:rsidRPr="008E5B0F">
        <w:rPr>
          <w:rFonts w:ascii="Arial" w:hAnsi="Arial" w:cs="Arial"/>
          <w:b/>
          <w:sz w:val="24"/>
          <w:szCs w:val="24"/>
        </w:rPr>
        <w:t>Requerimientos</w:t>
      </w:r>
      <w:r w:rsidRPr="008E5B0F">
        <w:rPr>
          <w:rFonts w:ascii="Arial" w:eastAsia="Arial" w:hAnsi="Arial" w:cs="Arial"/>
          <w:b/>
          <w:color w:val="000000"/>
          <w:sz w:val="24"/>
          <w:szCs w:val="24"/>
        </w:rPr>
        <w:t xml:space="preserve"> y cumplimientos</w:t>
      </w:r>
      <w:r w:rsidRPr="008E5B0F">
        <w:rPr>
          <w:rFonts w:ascii="Arial" w:eastAsia="Arial" w:hAnsi="Arial" w:cs="Arial"/>
          <w:color w:val="000000"/>
          <w:sz w:val="24"/>
          <w:szCs w:val="24"/>
        </w:rPr>
        <w:t>. Mediante acuerdos de veinticinco de septiembre y seis de octubre, se realizaron requerimientos para mejor proveer, los cuales fueron recibidos por acuerdos de seis, siete y quince de octubre</w:t>
      </w:r>
      <w:r w:rsidRPr="008E5B0F">
        <w:rPr>
          <w:rFonts w:ascii="Arial" w:eastAsia="Arial" w:hAnsi="Arial" w:cs="Arial"/>
          <w:color w:val="000000"/>
          <w:sz w:val="24"/>
          <w:szCs w:val="24"/>
          <w:vertAlign w:val="superscript"/>
        </w:rPr>
        <w:footnoteReference w:id="15"/>
      </w:r>
      <w:r w:rsidRPr="008E5B0F">
        <w:rPr>
          <w:rFonts w:ascii="Arial" w:eastAsia="Arial" w:hAnsi="Arial" w:cs="Arial"/>
          <w:color w:val="000000"/>
          <w:sz w:val="24"/>
          <w:szCs w:val="24"/>
        </w:rPr>
        <w:t>.</w:t>
      </w:r>
    </w:p>
    <w:p w14:paraId="404CFAFB" w14:textId="75AE0423" w:rsidR="0012716D" w:rsidRPr="008E5B0F" w:rsidRDefault="001E741F">
      <w:pPr>
        <w:spacing w:before="100" w:beforeAutospacing="1" w:after="100" w:afterAutospacing="1" w:line="360" w:lineRule="auto"/>
        <w:jc w:val="both"/>
        <w:rPr>
          <w:rFonts w:ascii="Arial" w:eastAsia="Arial" w:hAnsi="Arial" w:cs="Arial"/>
          <w:color w:val="000000"/>
          <w:sz w:val="24"/>
          <w:szCs w:val="24"/>
        </w:rPr>
      </w:pPr>
      <w:r w:rsidRPr="008E5B0F">
        <w:rPr>
          <w:rFonts w:ascii="Arial" w:eastAsia="Arial" w:hAnsi="Arial" w:cs="Arial"/>
          <w:b/>
          <w:color w:val="000000"/>
          <w:sz w:val="24"/>
          <w:szCs w:val="24"/>
        </w:rPr>
        <w:lastRenderedPageBreak/>
        <w:t>2.6.</w:t>
      </w:r>
      <w:r w:rsidRPr="008E5B0F">
        <w:rPr>
          <w:rFonts w:ascii="Arial" w:eastAsia="Arial" w:hAnsi="Arial" w:cs="Arial"/>
          <w:sz w:val="24"/>
          <w:szCs w:val="24"/>
        </w:rPr>
        <w:t xml:space="preserve"> </w:t>
      </w:r>
      <w:r w:rsidRPr="008E5B0F">
        <w:rPr>
          <w:rFonts w:ascii="Arial" w:eastAsia="Arial" w:hAnsi="Arial" w:cs="Arial"/>
          <w:b/>
          <w:color w:val="000000"/>
          <w:sz w:val="24"/>
          <w:szCs w:val="24"/>
        </w:rPr>
        <w:t xml:space="preserve">Admisión y cierre de </w:t>
      </w:r>
      <w:r w:rsidRPr="008E5B0F">
        <w:rPr>
          <w:rFonts w:ascii="Arial" w:hAnsi="Arial" w:cs="Arial"/>
          <w:b/>
          <w:sz w:val="24"/>
          <w:szCs w:val="24"/>
        </w:rPr>
        <w:t>instrucción</w:t>
      </w:r>
      <w:r w:rsidRPr="008E5B0F">
        <w:rPr>
          <w:rFonts w:ascii="Arial" w:eastAsia="Arial" w:hAnsi="Arial" w:cs="Arial"/>
          <w:b/>
          <w:color w:val="000000"/>
          <w:sz w:val="24"/>
          <w:szCs w:val="24"/>
        </w:rPr>
        <w:t xml:space="preserve">. </w:t>
      </w:r>
      <w:r w:rsidR="008A1466">
        <w:rPr>
          <w:rFonts w:ascii="Arial" w:eastAsia="Arial" w:hAnsi="Arial" w:cs="Arial"/>
          <w:color w:val="000000"/>
          <w:sz w:val="24"/>
          <w:szCs w:val="24"/>
        </w:rPr>
        <w:t>En su oportunidad,</w:t>
      </w:r>
      <w:r w:rsidRPr="008E5B0F">
        <w:rPr>
          <w:rFonts w:ascii="Arial" w:eastAsia="Arial" w:hAnsi="Arial" w:cs="Arial"/>
          <w:color w:val="000000"/>
          <w:sz w:val="24"/>
          <w:szCs w:val="24"/>
        </w:rPr>
        <w:t xml:space="preserve"> se</w:t>
      </w:r>
      <w:r w:rsidRPr="008E5B0F">
        <w:rPr>
          <w:rFonts w:ascii="Arial" w:eastAsia="Arial" w:hAnsi="Arial" w:cs="Arial"/>
          <w:b/>
          <w:color w:val="000000"/>
          <w:sz w:val="24"/>
          <w:szCs w:val="24"/>
        </w:rPr>
        <w:t xml:space="preserve"> </w:t>
      </w:r>
      <w:r w:rsidRPr="008E5B0F">
        <w:rPr>
          <w:rFonts w:ascii="Arial" w:eastAsia="Arial" w:hAnsi="Arial" w:cs="Arial"/>
          <w:color w:val="000000"/>
          <w:sz w:val="24"/>
          <w:szCs w:val="24"/>
        </w:rPr>
        <w:t xml:space="preserve">admitió a trámite el </w:t>
      </w:r>
      <w:r w:rsidRPr="008E5B0F">
        <w:rPr>
          <w:rFonts w:ascii="Arial" w:eastAsia="Arial" w:hAnsi="Arial" w:cs="Arial"/>
          <w:i/>
          <w:color w:val="000000"/>
          <w:sz w:val="24"/>
          <w:szCs w:val="24"/>
        </w:rPr>
        <w:t>juicio de la ciudadanía</w:t>
      </w:r>
      <w:r w:rsidRPr="008E5B0F">
        <w:rPr>
          <w:rFonts w:ascii="Arial" w:eastAsia="Arial" w:hAnsi="Arial" w:cs="Arial"/>
          <w:color w:val="000000"/>
          <w:sz w:val="24"/>
          <w:szCs w:val="24"/>
        </w:rPr>
        <w:t xml:space="preserve"> y se declaró cerrada la instrucción, quedando los autos en estado de dictar sentencia.</w:t>
      </w:r>
      <w:r w:rsidRPr="008E5B0F">
        <w:rPr>
          <w:rFonts w:ascii="Arial" w:eastAsia="Arial" w:hAnsi="Arial" w:cs="Arial"/>
          <w:b/>
          <w:color w:val="000000"/>
          <w:sz w:val="24"/>
          <w:szCs w:val="24"/>
        </w:rPr>
        <w:t>  </w:t>
      </w:r>
      <w:r w:rsidRPr="008E5B0F">
        <w:rPr>
          <w:rFonts w:ascii="Arial" w:eastAsia="Arial" w:hAnsi="Arial" w:cs="Arial"/>
          <w:color w:val="000000"/>
          <w:sz w:val="24"/>
          <w:szCs w:val="24"/>
        </w:rPr>
        <w:t> </w:t>
      </w:r>
    </w:p>
    <w:p w14:paraId="404CFAFC" w14:textId="77777777" w:rsidR="0012716D" w:rsidRPr="008E5B0F" w:rsidRDefault="001E741F">
      <w:pPr>
        <w:pStyle w:val="Ttulo2"/>
        <w:spacing w:before="280" w:after="280"/>
        <w:jc w:val="center"/>
        <w:rPr>
          <w:rFonts w:ascii="Arial" w:hAnsi="Arial" w:cs="Arial"/>
          <w:b/>
          <w:bCs/>
          <w:color w:val="000000" w:themeColor="text1"/>
          <w:sz w:val="24"/>
          <w:szCs w:val="24"/>
        </w:rPr>
      </w:pPr>
      <w:bookmarkStart w:id="5" w:name="_Toc211690208"/>
      <w:r w:rsidRPr="008E5B0F">
        <w:rPr>
          <w:rFonts w:ascii="Arial" w:eastAsia="Arial" w:hAnsi="Arial" w:cs="Arial"/>
          <w:b/>
          <w:color w:val="000000"/>
          <w:sz w:val="24"/>
          <w:szCs w:val="24"/>
        </w:rPr>
        <w:t xml:space="preserve">III. </w:t>
      </w:r>
      <w:r w:rsidRPr="008E5B0F">
        <w:rPr>
          <w:rFonts w:ascii="Arial" w:hAnsi="Arial" w:cs="Arial"/>
          <w:b/>
          <w:bCs/>
          <w:color w:val="000000" w:themeColor="text1"/>
          <w:sz w:val="24"/>
          <w:szCs w:val="24"/>
        </w:rPr>
        <w:t>COMPETENCIA</w:t>
      </w:r>
      <w:bookmarkEnd w:id="5"/>
    </w:p>
    <w:p w14:paraId="404CFAFD" w14:textId="77777777" w:rsidR="0012716D" w:rsidRPr="008E5B0F" w:rsidRDefault="001E741F">
      <w:pPr>
        <w:spacing w:before="240" w:line="360" w:lineRule="auto"/>
        <w:jc w:val="both"/>
        <w:rPr>
          <w:rFonts w:ascii="Arial" w:hAnsi="Arial" w:cs="Arial"/>
          <w:sz w:val="24"/>
          <w:szCs w:val="24"/>
        </w:rPr>
      </w:pPr>
      <w:r w:rsidRPr="008E5B0F">
        <w:rPr>
          <w:rFonts w:ascii="Arial" w:hAnsi="Arial" w:cs="Arial"/>
          <w:sz w:val="24"/>
          <w:szCs w:val="24"/>
        </w:rPr>
        <w:t xml:space="preserve">El Pleno de este </w:t>
      </w:r>
      <w:r w:rsidRPr="008E5B0F">
        <w:rPr>
          <w:rFonts w:ascii="Arial" w:hAnsi="Arial" w:cs="Arial"/>
          <w:i/>
          <w:sz w:val="24"/>
          <w:szCs w:val="24"/>
        </w:rPr>
        <w:t>Tribunal Electoral</w:t>
      </w:r>
      <w:r w:rsidRPr="008E5B0F">
        <w:rPr>
          <w:rFonts w:ascii="Arial" w:hAnsi="Arial" w:cs="Arial"/>
          <w:sz w:val="24"/>
          <w:szCs w:val="24"/>
        </w:rPr>
        <w:t xml:space="preserve"> es competente para conocer y resolver el presente </w:t>
      </w:r>
      <w:r w:rsidRPr="008E5B0F">
        <w:rPr>
          <w:rFonts w:ascii="Arial" w:hAnsi="Arial" w:cs="Arial"/>
          <w:i/>
          <w:sz w:val="24"/>
          <w:szCs w:val="24"/>
        </w:rPr>
        <w:t>juicio de la ciudadanía</w:t>
      </w:r>
      <w:r w:rsidRPr="008E5B0F">
        <w:rPr>
          <w:rFonts w:ascii="Arial" w:hAnsi="Arial" w:cs="Arial"/>
          <w:sz w:val="24"/>
          <w:szCs w:val="24"/>
        </w:rPr>
        <w:t xml:space="preserve">, debido a que, fue promovido por una ciudadana quien señala ser Regidora Propietaria del </w:t>
      </w:r>
      <w:r w:rsidRPr="008E5B0F">
        <w:rPr>
          <w:rFonts w:ascii="Arial" w:hAnsi="Arial" w:cs="Arial"/>
          <w:i/>
          <w:iCs/>
          <w:sz w:val="24"/>
          <w:szCs w:val="24"/>
        </w:rPr>
        <w:t>Ayuntamiento</w:t>
      </w:r>
      <w:r w:rsidRPr="008E5B0F">
        <w:rPr>
          <w:rFonts w:ascii="Arial" w:hAnsi="Arial" w:cs="Arial"/>
          <w:sz w:val="24"/>
          <w:szCs w:val="24"/>
        </w:rPr>
        <w:t xml:space="preserve"> electa para el periodo 2024-2027 y aduce una vulneración a sus derechos político-electorales, por actos emitidos por las </w:t>
      </w:r>
      <w:r w:rsidRPr="008E5B0F">
        <w:rPr>
          <w:rFonts w:ascii="Arial" w:hAnsi="Arial" w:cs="Arial"/>
          <w:i/>
          <w:iCs/>
          <w:sz w:val="24"/>
          <w:szCs w:val="24"/>
        </w:rPr>
        <w:t>autoridades responsables</w:t>
      </w:r>
      <w:r w:rsidRPr="008E5B0F">
        <w:rPr>
          <w:rFonts w:ascii="Arial" w:hAnsi="Arial" w:cs="Arial"/>
          <w:sz w:val="24"/>
          <w:szCs w:val="24"/>
        </w:rPr>
        <w:t>.</w:t>
      </w:r>
    </w:p>
    <w:p w14:paraId="404CFAFE" w14:textId="77777777" w:rsidR="0012716D" w:rsidRPr="008E5B0F" w:rsidRDefault="001E741F">
      <w:pPr>
        <w:spacing w:before="240" w:after="0" w:line="360" w:lineRule="auto"/>
        <w:jc w:val="both"/>
        <w:rPr>
          <w:rFonts w:ascii="Arial" w:hAnsi="Arial" w:cs="Arial"/>
          <w:bCs/>
          <w:sz w:val="24"/>
          <w:szCs w:val="24"/>
        </w:rPr>
      </w:pPr>
      <w:r w:rsidRPr="008E5B0F">
        <w:rPr>
          <w:rFonts w:ascii="Arial" w:hAnsi="Arial" w:cs="Arial"/>
          <w:bCs/>
          <w:sz w:val="24"/>
          <w:szCs w:val="24"/>
        </w:rPr>
        <w:t xml:space="preserve">Lo anterior de conformidad con lo dispuesto en los artículos 35, fracción V de la </w:t>
      </w:r>
      <w:r w:rsidRPr="008E5B0F">
        <w:rPr>
          <w:rFonts w:ascii="Arial" w:hAnsi="Arial" w:cs="Arial"/>
          <w:bCs/>
          <w:i/>
          <w:iCs/>
          <w:sz w:val="24"/>
          <w:szCs w:val="24"/>
        </w:rPr>
        <w:t>Constitución General</w:t>
      </w:r>
      <w:r w:rsidRPr="008E5B0F">
        <w:rPr>
          <w:rFonts w:ascii="Arial" w:hAnsi="Arial" w:cs="Arial"/>
          <w:bCs/>
          <w:sz w:val="24"/>
          <w:szCs w:val="24"/>
        </w:rPr>
        <w:t xml:space="preserve">; 98 A de la </w:t>
      </w:r>
      <w:r w:rsidRPr="008E5B0F">
        <w:rPr>
          <w:rFonts w:ascii="Arial" w:hAnsi="Arial" w:cs="Arial"/>
          <w:bCs/>
          <w:i/>
          <w:iCs/>
          <w:sz w:val="24"/>
          <w:szCs w:val="24"/>
        </w:rPr>
        <w:t>Constitución Local</w:t>
      </w:r>
      <w:r w:rsidRPr="008E5B0F">
        <w:rPr>
          <w:rFonts w:ascii="Arial" w:hAnsi="Arial" w:cs="Arial"/>
          <w:bCs/>
          <w:sz w:val="24"/>
          <w:szCs w:val="24"/>
        </w:rPr>
        <w:t xml:space="preserve">; 60, 64, fracción XIII, y 66 fracciones II y III del </w:t>
      </w:r>
      <w:r w:rsidRPr="008E5B0F">
        <w:rPr>
          <w:rFonts w:ascii="Arial" w:hAnsi="Arial" w:cs="Arial"/>
          <w:bCs/>
          <w:i/>
          <w:iCs/>
          <w:sz w:val="24"/>
          <w:szCs w:val="24"/>
        </w:rPr>
        <w:t>Código Electoral</w:t>
      </w:r>
      <w:r w:rsidRPr="008E5B0F">
        <w:rPr>
          <w:rFonts w:ascii="Arial" w:hAnsi="Arial" w:cs="Arial"/>
          <w:bCs/>
          <w:sz w:val="24"/>
          <w:szCs w:val="24"/>
        </w:rPr>
        <w:t xml:space="preserve">; así como 1, 4, 5, 73, 74, inciso c), y 76 de la </w:t>
      </w:r>
      <w:r w:rsidRPr="008E5B0F">
        <w:rPr>
          <w:rFonts w:ascii="Arial" w:hAnsi="Arial" w:cs="Arial"/>
          <w:bCs/>
          <w:i/>
          <w:iCs/>
          <w:sz w:val="24"/>
          <w:szCs w:val="24"/>
        </w:rPr>
        <w:t>Ley de Justicia Electoral</w:t>
      </w:r>
      <w:r w:rsidRPr="008E5B0F">
        <w:rPr>
          <w:rFonts w:ascii="Arial" w:hAnsi="Arial" w:cs="Arial"/>
          <w:bCs/>
          <w:sz w:val="24"/>
          <w:szCs w:val="24"/>
        </w:rPr>
        <w:t xml:space="preserve">. </w:t>
      </w:r>
    </w:p>
    <w:p w14:paraId="404CFAFF" w14:textId="77777777" w:rsidR="0098029D" w:rsidRPr="008E5B0F" w:rsidRDefault="0098029D">
      <w:pPr>
        <w:pStyle w:val="Ttulo1"/>
        <w:numPr>
          <w:ilvl w:val="0"/>
          <w:numId w:val="3"/>
        </w:numPr>
        <w:jc w:val="center"/>
        <w:rPr>
          <w:rFonts w:ascii="Arial" w:hAnsi="Arial" w:cs="Arial"/>
          <w:b/>
          <w:bCs/>
          <w:i/>
          <w:iCs/>
          <w:color w:val="000000" w:themeColor="text1"/>
          <w:sz w:val="24"/>
          <w:szCs w:val="24"/>
        </w:rPr>
      </w:pPr>
      <w:bookmarkStart w:id="6" w:name="_Toc211690209"/>
      <w:r w:rsidRPr="008E5B0F">
        <w:rPr>
          <w:rFonts w:ascii="Arial" w:hAnsi="Arial" w:cs="Arial"/>
          <w:b/>
          <w:bCs/>
          <w:color w:val="000000" w:themeColor="text1"/>
          <w:sz w:val="24"/>
          <w:szCs w:val="24"/>
        </w:rPr>
        <w:t xml:space="preserve">PRECISIÓN DE </w:t>
      </w:r>
      <w:r w:rsidRPr="008E5B0F">
        <w:rPr>
          <w:rFonts w:ascii="Arial" w:hAnsi="Arial" w:cs="Arial"/>
          <w:b/>
          <w:bCs/>
          <w:i/>
          <w:iCs/>
          <w:color w:val="000000" w:themeColor="text1"/>
          <w:sz w:val="24"/>
          <w:szCs w:val="24"/>
        </w:rPr>
        <w:t>AUTORIDADES RESPONSABLE</w:t>
      </w:r>
      <w:r w:rsidR="00160896" w:rsidRPr="008E5B0F">
        <w:rPr>
          <w:rFonts w:ascii="Arial" w:hAnsi="Arial" w:cs="Arial"/>
          <w:b/>
          <w:bCs/>
          <w:i/>
          <w:iCs/>
          <w:color w:val="000000" w:themeColor="text1"/>
          <w:sz w:val="24"/>
          <w:szCs w:val="24"/>
        </w:rPr>
        <w:t>S</w:t>
      </w:r>
    </w:p>
    <w:p w14:paraId="404CFB00" w14:textId="1D39B952" w:rsidR="00BA7E28" w:rsidRPr="008E5B0F" w:rsidRDefault="00504DE7" w:rsidP="00AE6A08">
      <w:pPr>
        <w:spacing w:before="240" w:after="0" w:line="360" w:lineRule="auto"/>
        <w:jc w:val="both"/>
        <w:rPr>
          <w:rFonts w:ascii="Arial" w:hAnsi="Arial" w:cs="Arial"/>
          <w:bCs/>
          <w:sz w:val="24"/>
          <w:szCs w:val="24"/>
        </w:rPr>
      </w:pPr>
      <w:r w:rsidRPr="008E5B0F">
        <w:rPr>
          <w:rFonts w:ascii="Arial" w:hAnsi="Arial" w:cs="Arial"/>
          <w:bCs/>
          <w:sz w:val="24"/>
          <w:szCs w:val="24"/>
        </w:rPr>
        <w:t>Primeramente</w:t>
      </w:r>
      <w:r w:rsidR="00D776F2" w:rsidRPr="008E5B0F">
        <w:rPr>
          <w:rFonts w:ascii="Arial" w:hAnsi="Arial" w:cs="Arial"/>
          <w:bCs/>
          <w:sz w:val="24"/>
          <w:szCs w:val="24"/>
        </w:rPr>
        <w:t>,</w:t>
      </w:r>
      <w:r w:rsidRPr="008E5B0F">
        <w:rPr>
          <w:rFonts w:ascii="Arial" w:hAnsi="Arial" w:cs="Arial"/>
          <w:bCs/>
          <w:sz w:val="24"/>
          <w:szCs w:val="24"/>
        </w:rPr>
        <w:t xml:space="preserve"> c</w:t>
      </w:r>
      <w:r w:rsidR="00AE6A08" w:rsidRPr="008E5B0F">
        <w:rPr>
          <w:rFonts w:ascii="Arial" w:hAnsi="Arial" w:cs="Arial"/>
          <w:bCs/>
          <w:sz w:val="24"/>
          <w:szCs w:val="24"/>
        </w:rPr>
        <w:t>orresponde precisar</w:t>
      </w:r>
      <w:r w:rsidR="00877460" w:rsidRPr="008E5B0F">
        <w:rPr>
          <w:rFonts w:ascii="Arial" w:hAnsi="Arial" w:cs="Arial"/>
          <w:bCs/>
          <w:sz w:val="24"/>
          <w:szCs w:val="24"/>
        </w:rPr>
        <w:t xml:space="preserve"> a </w:t>
      </w:r>
      <w:r w:rsidR="00AE6A08" w:rsidRPr="008E5B0F">
        <w:rPr>
          <w:rFonts w:ascii="Arial" w:hAnsi="Arial" w:cs="Arial"/>
          <w:bCs/>
          <w:sz w:val="24"/>
          <w:szCs w:val="24"/>
        </w:rPr>
        <w:t xml:space="preserve">las autoridades que deben considerarse como responsables en el presente </w:t>
      </w:r>
      <w:r w:rsidR="00877460" w:rsidRPr="008E5B0F">
        <w:rPr>
          <w:rFonts w:ascii="Arial" w:hAnsi="Arial" w:cs="Arial"/>
          <w:bCs/>
          <w:i/>
          <w:iCs/>
          <w:sz w:val="24"/>
          <w:szCs w:val="24"/>
        </w:rPr>
        <w:t>juicio de la ciudadanía</w:t>
      </w:r>
      <w:r w:rsidR="00AE6A08" w:rsidRPr="008E5B0F">
        <w:rPr>
          <w:rFonts w:ascii="Arial" w:hAnsi="Arial" w:cs="Arial"/>
          <w:bCs/>
          <w:i/>
          <w:iCs/>
          <w:sz w:val="24"/>
          <w:szCs w:val="24"/>
        </w:rPr>
        <w:t>.</w:t>
      </w:r>
      <w:r w:rsidR="00AE6A08" w:rsidRPr="008E5B0F">
        <w:rPr>
          <w:rFonts w:ascii="Arial" w:hAnsi="Arial" w:cs="Arial"/>
          <w:bCs/>
          <w:sz w:val="24"/>
          <w:szCs w:val="24"/>
        </w:rPr>
        <w:t xml:space="preserve"> Si bien</w:t>
      </w:r>
      <w:r w:rsidR="001127F8" w:rsidRPr="008E5B0F">
        <w:rPr>
          <w:rFonts w:ascii="Arial" w:hAnsi="Arial" w:cs="Arial"/>
          <w:bCs/>
          <w:sz w:val="24"/>
          <w:szCs w:val="24"/>
        </w:rPr>
        <w:t>,</w:t>
      </w:r>
      <w:r w:rsidR="00AE6A08" w:rsidRPr="008E5B0F">
        <w:rPr>
          <w:rFonts w:ascii="Arial" w:hAnsi="Arial" w:cs="Arial"/>
          <w:bCs/>
          <w:sz w:val="24"/>
          <w:szCs w:val="24"/>
        </w:rPr>
        <w:t xml:space="preserve"> la </w:t>
      </w:r>
      <w:r w:rsidR="00A842B6" w:rsidRPr="008E5B0F">
        <w:rPr>
          <w:rFonts w:ascii="Arial" w:hAnsi="Arial" w:cs="Arial"/>
          <w:bCs/>
          <w:i/>
          <w:iCs/>
          <w:sz w:val="24"/>
          <w:szCs w:val="24"/>
        </w:rPr>
        <w:t xml:space="preserve">parte </w:t>
      </w:r>
      <w:r w:rsidR="00AE6A08" w:rsidRPr="008E5B0F">
        <w:rPr>
          <w:rFonts w:ascii="Arial" w:hAnsi="Arial" w:cs="Arial"/>
          <w:bCs/>
          <w:i/>
          <w:iCs/>
          <w:sz w:val="24"/>
          <w:szCs w:val="24"/>
        </w:rPr>
        <w:t>actora</w:t>
      </w:r>
      <w:r w:rsidR="00AE6A08" w:rsidRPr="008E5B0F">
        <w:rPr>
          <w:rFonts w:ascii="Arial" w:hAnsi="Arial" w:cs="Arial"/>
          <w:bCs/>
          <w:sz w:val="24"/>
          <w:szCs w:val="24"/>
        </w:rPr>
        <w:t xml:space="preserve"> </w:t>
      </w:r>
      <w:r w:rsidR="00475FC6" w:rsidRPr="008E5B0F">
        <w:rPr>
          <w:rFonts w:ascii="Arial" w:hAnsi="Arial" w:cs="Arial"/>
          <w:bCs/>
          <w:sz w:val="24"/>
          <w:szCs w:val="24"/>
        </w:rPr>
        <w:t xml:space="preserve">en el punto IV de </w:t>
      </w:r>
      <w:r w:rsidR="0067642A" w:rsidRPr="008E5B0F">
        <w:rPr>
          <w:rFonts w:ascii="Arial" w:hAnsi="Arial" w:cs="Arial"/>
          <w:bCs/>
          <w:sz w:val="24"/>
          <w:szCs w:val="24"/>
        </w:rPr>
        <w:t xml:space="preserve">los requisitos de la demanda </w:t>
      </w:r>
      <w:r w:rsidR="00244CA4" w:rsidRPr="008E5B0F">
        <w:rPr>
          <w:rFonts w:ascii="Arial" w:hAnsi="Arial" w:cs="Arial"/>
          <w:bCs/>
          <w:sz w:val="24"/>
          <w:szCs w:val="24"/>
        </w:rPr>
        <w:t>hace referencia genérica a l</w:t>
      </w:r>
      <w:r w:rsidR="00755899" w:rsidRPr="008E5B0F">
        <w:rPr>
          <w:rFonts w:ascii="Arial" w:hAnsi="Arial" w:cs="Arial"/>
          <w:bCs/>
          <w:sz w:val="24"/>
          <w:szCs w:val="24"/>
        </w:rPr>
        <w:t>a omisión</w:t>
      </w:r>
      <w:r w:rsidR="00244CA4" w:rsidRPr="008E5B0F">
        <w:rPr>
          <w:rFonts w:ascii="Arial" w:hAnsi="Arial" w:cs="Arial"/>
          <w:bCs/>
          <w:sz w:val="24"/>
          <w:szCs w:val="24"/>
        </w:rPr>
        <w:t xml:space="preserve"> </w:t>
      </w:r>
      <w:r w:rsidR="00244CA4" w:rsidRPr="008E5B0F">
        <w:rPr>
          <w:rFonts w:ascii="Arial" w:hAnsi="Arial" w:cs="Arial"/>
          <w:bCs/>
          <w:i/>
          <w:iCs/>
          <w:sz w:val="24"/>
          <w:szCs w:val="24"/>
        </w:rPr>
        <w:t>“del Ayuntamiento”</w:t>
      </w:r>
      <w:r w:rsidR="005D0249" w:rsidRPr="008E5B0F">
        <w:rPr>
          <w:rFonts w:ascii="Arial" w:hAnsi="Arial" w:cs="Arial"/>
          <w:bCs/>
          <w:sz w:val="24"/>
          <w:szCs w:val="24"/>
        </w:rPr>
        <w:t xml:space="preserve"> de </w:t>
      </w:r>
      <w:r w:rsidR="00892F4D" w:rsidRPr="008E5B0F">
        <w:rPr>
          <w:rFonts w:ascii="Arial" w:hAnsi="Arial" w:cs="Arial"/>
          <w:bCs/>
          <w:sz w:val="24"/>
          <w:szCs w:val="24"/>
        </w:rPr>
        <w:t>realizar</w:t>
      </w:r>
      <w:r w:rsidR="005D0249" w:rsidRPr="008E5B0F">
        <w:rPr>
          <w:rFonts w:ascii="Arial" w:hAnsi="Arial" w:cs="Arial"/>
          <w:bCs/>
          <w:sz w:val="24"/>
          <w:szCs w:val="24"/>
        </w:rPr>
        <w:t xml:space="preserve"> los trámites administrativos necesarios para su alta jurídico-administrativa</w:t>
      </w:r>
      <w:r w:rsidR="00244CA4" w:rsidRPr="008E5B0F">
        <w:rPr>
          <w:rFonts w:ascii="Arial" w:hAnsi="Arial" w:cs="Arial"/>
          <w:bCs/>
          <w:sz w:val="24"/>
          <w:szCs w:val="24"/>
        </w:rPr>
        <w:t xml:space="preserve">, </w:t>
      </w:r>
      <w:r w:rsidR="00AE6A08" w:rsidRPr="008E5B0F">
        <w:rPr>
          <w:rFonts w:ascii="Arial" w:hAnsi="Arial" w:cs="Arial"/>
          <w:bCs/>
          <w:sz w:val="24"/>
          <w:szCs w:val="24"/>
        </w:rPr>
        <w:t xml:space="preserve">de </w:t>
      </w:r>
      <w:r w:rsidR="00AE6A08" w:rsidRPr="008E5B0F">
        <w:rPr>
          <w:rFonts w:ascii="Arial" w:hAnsi="Arial" w:cs="Arial"/>
          <w:b/>
          <w:sz w:val="24"/>
          <w:szCs w:val="24"/>
        </w:rPr>
        <w:t>manera expresa</w:t>
      </w:r>
      <w:r w:rsidR="00AE6A08" w:rsidRPr="008E5B0F">
        <w:rPr>
          <w:rFonts w:ascii="Arial" w:hAnsi="Arial" w:cs="Arial"/>
          <w:bCs/>
          <w:sz w:val="24"/>
          <w:szCs w:val="24"/>
        </w:rPr>
        <w:t xml:space="preserve"> señaló a </w:t>
      </w:r>
      <w:r w:rsidR="00AE6A08" w:rsidRPr="008E5B0F">
        <w:rPr>
          <w:rFonts w:ascii="Arial" w:hAnsi="Arial" w:cs="Arial"/>
          <w:b/>
          <w:sz w:val="24"/>
          <w:szCs w:val="24"/>
        </w:rPr>
        <w:t>tres autoridades</w:t>
      </w:r>
      <w:r w:rsidR="00AE6A08" w:rsidRPr="008E5B0F">
        <w:rPr>
          <w:rFonts w:ascii="Arial" w:hAnsi="Arial" w:cs="Arial"/>
          <w:bCs/>
          <w:sz w:val="24"/>
          <w:szCs w:val="24"/>
        </w:rPr>
        <w:t xml:space="preserve"> como responsables</w:t>
      </w:r>
      <w:r w:rsidR="001127F8" w:rsidRPr="008E5B0F">
        <w:rPr>
          <w:rFonts w:ascii="Arial" w:hAnsi="Arial" w:cs="Arial"/>
          <w:bCs/>
          <w:sz w:val="24"/>
          <w:szCs w:val="24"/>
        </w:rPr>
        <w:t>,</w:t>
      </w:r>
      <w:r w:rsidR="00AE6A08" w:rsidRPr="008E5B0F">
        <w:rPr>
          <w:rFonts w:ascii="Arial" w:hAnsi="Arial" w:cs="Arial"/>
          <w:bCs/>
          <w:sz w:val="24"/>
          <w:szCs w:val="24"/>
        </w:rPr>
        <w:t xml:space="preserve"> en </w:t>
      </w:r>
      <w:r w:rsidRPr="008E5B0F">
        <w:rPr>
          <w:rFonts w:ascii="Arial" w:hAnsi="Arial" w:cs="Arial"/>
          <w:bCs/>
          <w:sz w:val="24"/>
          <w:szCs w:val="24"/>
        </w:rPr>
        <w:t>la parte</w:t>
      </w:r>
      <w:r w:rsidR="00AE6A08" w:rsidRPr="008E5B0F">
        <w:rPr>
          <w:rFonts w:ascii="Arial" w:hAnsi="Arial" w:cs="Arial"/>
          <w:bCs/>
          <w:sz w:val="24"/>
          <w:szCs w:val="24"/>
        </w:rPr>
        <w:t xml:space="preserve"> final de</w:t>
      </w:r>
      <w:r w:rsidR="007A0170" w:rsidRPr="008E5B0F">
        <w:rPr>
          <w:rFonts w:ascii="Arial" w:hAnsi="Arial" w:cs="Arial"/>
          <w:bCs/>
          <w:sz w:val="24"/>
          <w:szCs w:val="24"/>
        </w:rPr>
        <w:t>l mismo punto</w:t>
      </w:r>
      <w:r w:rsidR="00AE6A08" w:rsidRPr="008E5B0F">
        <w:rPr>
          <w:rFonts w:ascii="Arial" w:hAnsi="Arial" w:cs="Arial"/>
          <w:bCs/>
          <w:sz w:val="24"/>
          <w:szCs w:val="24"/>
        </w:rPr>
        <w:t>,</w:t>
      </w:r>
      <w:r w:rsidR="007A0170" w:rsidRPr="008E5B0F">
        <w:rPr>
          <w:rFonts w:ascii="Arial" w:hAnsi="Arial" w:cs="Arial"/>
          <w:bCs/>
          <w:sz w:val="24"/>
          <w:szCs w:val="24"/>
        </w:rPr>
        <w:t xml:space="preserve"> esto es,</w:t>
      </w:r>
      <w:r w:rsidR="00AE6A08" w:rsidRPr="008E5B0F">
        <w:rPr>
          <w:rFonts w:ascii="Arial" w:hAnsi="Arial" w:cs="Arial"/>
          <w:bCs/>
          <w:sz w:val="24"/>
          <w:szCs w:val="24"/>
        </w:rPr>
        <w:t xml:space="preserve"> </w:t>
      </w:r>
      <w:r w:rsidR="00217E4A" w:rsidRPr="008E5B0F">
        <w:rPr>
          <w:rFonts w:ascii="Arial" w:hAnsi="Arial" w:cs="Arial"/>
          <w:bCs/>
          <w:sz w:val="24"/>
          <w:szCs w:val="24"/>
        </w:rPr>
        <w:t>Presidente</w:t>
      </w:r>
      <w:r w:rsidR="004C1D89" w:rsidRPr="008E5B0F">
        <w:rPr>
          <w:rFonts w:ascii="Arial" w:hAnsi="Arial" w:cs="Arial"/>
          <w:bCs/>
          <w:sz w:val="24"/>
          <w:szCs w:val="24"/>
        </w:rPr>
        <w:t>,</w:t>
      </w:r>
      <w:r w:rsidR="00217E4A" w:rsidRPr="008E5B0F">
        <w:rPr>
          <w:rFonts w:ascii="Arial" w:hAnsi="Arial" w:cs="Arial"/>
          <w:bCs/>
          <w:sz w:val="24"/>
          <w:szCs w:val="24"/>
        </w:rPr>
        <w:t xml:space="preserve"> Secretaria y Tesorero </w:t>
      </w:r>
      <w:r w:rsidR="004C1D89" w:rsidRPr="008E5B0F">
        <w:rPr>
          <w:rFonts w:ascii="Arial" w:hAnsi="Arial" w:cs="Arial"/>
          <w:bCs/>
          <w:sz w:val="24"/>
          <w:szCs w:val="24"/>
        </w:rPr>
        <w:t>del Municipio</w:t>
      </w:r>
      <w:r w:rsidR="00AE6A08" w:rsidRPr="008E5B0F">
        <w:rPr>
          <w:rFonts w:ascii="Arial" w:hAnsi="Arial" w:cs="Arial"/>
          <w:bCs/>
          <w:sz w:val="24"/>
          <w:szCs w:val="24"/>
        </w:rPr>
        <w:t xml:space="preserve">. </w:t>
      </w:r>
    </w:p>
    <w:p w14:paraId="404CFB01" w14:textId="77777777" w:rsidR="00AE6A08" w:rsidRPr="008E5B0F" w:rsidRDefault="00AE6A08" w:rsidP="00AE6A08">
      <w:pPr>
        <w:spacing w:before="240" w:after="0" w:line="360" w:lineRule="auto"/>
        <w:jc w:val="both"/>
        <w:rPr>
          <w:rFonts w:ascii="Arial" w:hAnsi="Arial" w:cs="Arial"/>
          <w:bCs/>
          <w:sz w:val="24"/>
          <w:szCs w:val="24"/>
        </w:rPr>
      </w:pPr>
      <w:r w:rsidRPr="008E5B0F">
        <w:rPr>
          <w:rFonts w:ascii="Arial" w:hAnsi="Arial" w:cs="Arial"/>
          <w:bCs/>
          <w:sz w:val="24"/>
          <w:szCs w:val="24"/>
        </w:rPr>
        <w:t>Además, conforme a las atribuciones establecidas en</w:t>
      </w:r>
      <w:r w:rsidR="006750E6" w:rsidRPr="008E5B0F">
        <w:rPr>
          <w:rFonts w:ascii="Arial" w:hAnsi="Arial" w:cs="Arial"/>
          <w:bCs/>
          <w:sz w:val="24"/>
          <w:szCs w:val="24"/>
        </w:rPr>
        <w:t xml:space="preserve"> los artículos 64, 69 y </w:t>
      </w:r>
      <w:r w:rsidR="007F594C" w:rsidRPr="008E5B0F">
        <w:rPr>
          <w:rFonts w:ascii="Arial" w:hAnsi="Arial" w:cs="Arial"/>
          <w:bCs/>
          <w:sz w:val="24"/>
          <w:szCs w:val="24"/>
        </w:rPr>
        <w:t>73 de</w:t>
      </w:r>
      <w:r w:rsidRPr="008E5B0F">
        <w:rPr>
          <w:rFonts w:ascii="Arial" w:hAnsi="Arial" w:cs="Arial"/>
          <w:bCs/>
          <w:sz w:val="24"/>
          <w:szCs w:val="24"/>
        </w:rPr>
        <w:t xml:space="preserve"> la Ley Orgánica Municipal </w:t>
      </w:r>
      <w:r w:rsidR="00DE30DD" w:rsidRPr="008E5B0F">
        <w:rPr>
          <w:rFonts w:ascii="Arial" w:hAnsi="Arial" w:cs="Arial"/>
          <w:bCs/>
          <w:sz w:val="24"/>
          <w:szCs w:val="24"/>
        </w:rPr>
        <w:t xml:space="preserve">del Estado de Michoacán de Ocampo, </w:t>
      </w:r>
      <w:r w:rsidRPr="008E5B0F">
        <w:rPr>
          <w:rFonts w:ascii="Arial" w:hAnsi="Arial" w:cs="Arial"/>
          <w:bCs/>
          <w:sz w:val="24"/>
          <w:szCs w:val="24"/>
        </w:rPr>
        <w:t xml:space="preserve">los actos que reclama corresponden a las </w:t>
      </w:r>
      <w:r w:rsidR="003223E4" w:rsidRPr="008E5B0F">
        <w:rPr>
          <w:rFonts w:ascii="Arial" w:hAnsi="Arial" w:cs="Arial"/>
          <w:bCs/>
          <w:sz w:val="24"/>
          <w:szCs w:val="24"/>
        </w:rPr>
        <w:t>atribuciones</w:t>
      </w:r>
      <w:r w:rsidRPr="008E5B0F">
        <w:rPr>
          <w:rFonts w:ascii="Arial" w:hAnsi="Arial" w:cs="Arial"/>
          <w:bCs/>
          <w:sz w:val="24"/>
          <w:szCs w:val="24"/>
        </w:rPr>
        <w:t xml:space="preserve"> </w:t>
      </w:r>
      <w:r w:rsidR="00155B14" w:rsidRPr="008E5B0F">
        <w:rPr>
          <w:rFonts w:ascii="Arial" w:hAnsi="Arial" w:cs="Arial"/>
          <w:bCs/>
          <w:sz w:val="24"/>
          <w:szCs w:val="24"/>
        </w:rPr>
        <w:t xml:space="preserve">de tales autoridades </w:t>
      </w:r>
      <w:r w:rsidRPr="008E5B0F">
        <w:rPr>
          <w:rFonts w:ascii="Arial" w:hAnsi="Arial" w:cs="Arial"/>
          <w:bCs/>
          <w:sz w:val="24"/>
          <w:szCs w:val="24"/>
        </w:rPr>
        <w:t>y no a la esfera competencial de</w:t>
      </w:r>
      <w:r w:rsidR="00570C26" w:rsidRPr="008E5B0F">
        <w:rPr>
          <w:rFonts w:ascii="Arial" w:hAnsi="Arial" w:cs="Arial"/>
          <w:bCs/>
          <w:sz w:val="24"/>
          <w:szCs w:val="24"/>
        </w:rPr>
        <w:t xml:space="preserve"> todos</w:t>
      </w:r>
      <w:r w:rsidR="00EE1E3F" w:rsidRPr="008E5B0F">
        <w:rPr>
          <w:rFonts w:ascii="Arial" w:hAnsi="Arial" w:cs="Arial"/>
          <w:bCs/>
          <w:sz w:val="24"/>
          <w:szCs w:val="24"/>
        </w:rPr>
        <w:t xml:space="preserve"> </w:t>
      </w:r>
      <w:r w:rsidRPr="008E5B0F">
        <w:rPr>
          <w:rFonts w:ascii="Arial" w:hAnsi="Arial" w:cs="Arial"/>
          <w:bCs/>
          <w:sz w:val="24"/>
          <w:szCs w:val="24"/>
        </w:rPr>
        <w:t>los integrantes del Ayuntamiento.</w:t>
      </w:r>
      <w:r w:rsidR="00D4148E" w:rsidRPr="008E5B0F">
        <w:rPr>
          <w:rFonts w:ascii="Arial" w:hAnsi="Arial" w:cs="Arial"/>
          <w:bCs/>
          <w:sz w:val="24"/>
          <w:szCs w:val="24"/>
        </w:rPr>
        <w:t xml:space="preserve"> En consecuencia, </w:t>
      </w:r>
      <w:r w:rsidRPr="008E5B0F">
        <w:rPr>
          <w:rFonts w:ascii="Arial" w:hAnsi="Arial" w:cs="Arial"/>
          <w:bCs/>
          <w:sz w:val="24"/>
          <w:szCs w:val="24"/>
        </w:rPr>
        <w:t xml:space="preserve">este </w:t>
      </w:r>
      <w:r w:rsidRPr="008E5B0F">
        <w:rPr>
          <w:rFonts w:ascii="Arial" w:hAnsi="Arial" w:cs="Arial"/>
          <w:bCs/>
          <w:i/>
          <w:iCs/>
          <w:sz w:val="24"/>
          <w:szCs w:val="24"/>
        </w:rPr>
        <w:t>Tribunal</w:t>
      </w:r>
      <w:r w:rsidR="00D4148E" w:rsidRPr="008E5B0F">
        <w:rPr>
          <w:rFonts w:ascii="Arial" w:hAnsi="Arial" w:cs="Arial"/>
          <w:bCs/>
          <w:i/>
          <w:iCs/>
          <w:sz w:val="24"/>
          <w:szCs w:val="24"/>
        </w:rPr>
        <w:t xml:space="preserve"> Electoral</w:t>
      </w:r>
      <w:r w:rsidRPr="008E5B0F">
        <w:rPr>
          <w:rFonts w:ascii="Arial" w:hAnsi="Arial" w:cs="Arial"/>
          <w:bCs/>
          <w:sz w:val="24"/>
          <w:szCs w:val="24"/>
        </w:rPr>
        <w:t xml:space="preserve"> procederá a analizar la </w:t>
      </w:r>
      <w:r w:rsidR="00D4148E" w:rsidRPr="008E5B0F">
        <w:rPr>
          <w:rFonts w:ascii="Arial" w:hAnsi="Arial" w:cs="Arial"/>
          <w:bCs/>
          <w:sz w:val="24"/>
          <w:szCs w:val="24"/>
        </w:rPr>
        <w:t xml:space="preserve">posible </w:t>
      </w:r>
      <w:r w:rsidRPr="008E5B0F">
        <w:rPr>
          <w:rFonts w:ascii="Arial" w:hAnsi="Arial" w:cs="Arial"/>
          <w:bCs/>
          <w:sz w:val="24"/>
          <w:szCs w:val="24"/>
        </w:rPr>
        <w:t xml:space="preserve">responsabilidad, únicamente respecto </w:t>
      </w:r>
      <w:r w:rsidR="003B754A" w:rsidRPr="008E5B0F">
        <w:rPr>
          <w:rFonts w:ascii="Arial" w:hAnsi="Arial" w:cs="Arial"/>
          <w:bCs/>
          <w:sz w:val="24"/>
          <w:szCs w:val="24"/>
        </w:rPr>
        <w:t>de las autoridades referidas.</w:t>
      </w:r>
    </w:p>
    <w:p w14:paraId="404CFB02" w14:textId="77777777" w:rsidR="0012716D" w:rsidRPr="008E5B0F" w:rsidRDefault="00AE6A08" w:rsidP="004A1043">
      <w:pPr>
        <w:pStyle w:val="Ttulo1"/>
        <w:numPr>
          <w:ilvl w:val="0"/>
          <w:numId w:val="3"/>
        </w:numPr>
        <w:jc w:val="center"/>
        <w:rPr>
          <w:rFonts w:ascii="Arial" w:hAnsi="Arial" w:cs="Arial"/>
          <w:b/>
          <w:bCs/>
          <w:color w:val="000000" w:themeColor="text1"/>
          <w:sz w:val="24"/>
          <w:szCs w:val="24"/>
        </w:rPr>
      </w:pPr>
      <w:r w:rsidRPr="008E5B0F">
        <w:rPr>
          <w:rFonts w:ascii="Arial" w:hAnsi="Arial" w:cs="Arial"/>
          <w:bCs/>
          <w:sz w:val="24"/>
          <w:szCs w:val="24"/>
        </w:rPr>
        <w:t> </w:t>
      </w:r>
      <w:r w:rsidRPr="008E5B0F">
        <w:rPr>
          <w:rFonts w:ascii="Arial" w:hAnsi="Arial" w:cs="Arial"/>
          <w:b/>
          <w:bCs/>
          <w:color w:val="000000" w:themeColor="text1"/>
          <w:sz w:val="24"/>
          <w:szCs w:val="24"/>
        </w:rPr>
        <w:t>TERCERO INTERESADO</w:t>
      </w:r>
      <w:bookmarkEnd w:id="6"/>
    </w:p>
    <w:p w14:paraId="404CFB03" w14:textId="77777777" w:rsidR="0012716D" w:rsidRPr="008E5B0F" w:rsidRDefault="001E741F">
      <w:pPr>
        <w:spacing w:before="240" w:after="0" w:line="360" w:lineRule="auto"/>
        <w:jc w:val="both"/>
        <w:rPr>
          <w:rFonts w:ascii="Arial" w:hAnsi="Arial" w:cs="Arial"/>
          <w:bCs/>
          <w:sz w:val="24"/>
          <w:szCs w:val="24"/>
        </w:rPr>
      </w:pPr>
      <w:r w:rsidRPr="008E5B0F">
        <w:rPr>
          <w:rFonts w:ascii="Arial" w:hAnsi="Arial" w:cs="Arial"/>
          <w:bCs/>
          <w:sz w:val="24"/>
          <w:szCs w:val="24"/>
        </w:rPr>
        <w:t xml:space="preserve">Durante la tramitación del medio de impugnación compareció el </w:t>
      </w:r>
      <w:r w:rsidRPr="008E5B0F">
        <w:rPr>
          <w:rFonts w:ascii="Arial" w:hAnsi="Arial" w:cs="Arial"/>
          <w:bCs/>
          <w:i/>
          <w:iCs/>
          <w:sz w:val="24"/>
          <w:szCs w:val="24"/>
        </w:rPr>
        <w:t>tercero interesado</w:t>
      </w:r>
      <w:r w:rsidRPr="008E5B0F">
        <w:rPr>
          <w:rFonts w:ascii="Arial" w:hAnsi="Arial" w:cs="Arial"/>
          <w:bCs/>
          <w:sz w:val="24"/>
          <w:szCs w:val="24"/>
        </w:rPr>
        <w:t xml:space="preserve">, carácter que este </w:t>
      </w:r>
      <w:r w:rsidRPr="008E5B0F">
        <w:rPr>
          <w:rFonts w:ascii="Arial" w:hAnsi="Arial" w:cs="Arial"/>
          <w:i/>
          <w:sz w:val="24"/>
          <w:szCs w:val="24"/>
        </w:rPr>
        <w:t>Tribunal Electoral</w:t>
      </w:r>
      <w:r w:rsidRPr="008E5B0F">
        <w:rPr>
          <w:rFonts w:ascii="Arial" w:hAnsi="Arial" w:cs="Arial"/>
          <w:bCs/>
          <w:sz w:val="24"/>
          <w:szCs w:val="24"/>
        </w:rPr>
        <w:t xml:space="preserve"> le reconoce, ya que su escrito </w:t>
      </w:r>
      <w:r w:rsidRPr="008E5B0F">
        <w:rPr>
          <w:rFonts w:ascii="Arial" w:hAnsi="Arial" w:cs="Arial"/>
          <w:bCs/>
          <w:sz w:val="24"/>
          <w:szCs w:val="24"/>
        </w:rPr>
        <w:lastRenderedPageBreak/>
        <w:t xml:space="preserve">cumplió con los requisitos de procedencia previstos en el numeral 24 de la </w:t>
      </w:r>
      <w:r w:rsidRPr="008E5B0F">
        <w:rPr>
          <w:rFonts w:ascii="Arial" w:hAnsi="Arial" w:cs="Arial"/>
          <w:bCs/>
          <w:i/>
          <w:iCs/>
          <w:sz w:val="24"/>
          <w:szCs w:val="24"/>
        </w:rPr>
        <w:t>Ley de Justicia Electoral</w:t>
      </w:r>
      <w:r w:rsidRPr="008E5B0F">
        <w:rPr>
          <w:rFonts w:ascii="Arial" w:hAnsi="Arial" w:cs="Arial"/>
          <w:bCs/>
          <w:sz w:val="24"/>
          <w:szCs w:val="24"/>
        </w:rPr>
        <w:t>, conforme a lo siguiente:</w:t>
      </w:r>
    </w:p>
    <w:p w14:paraId="404CFB04" w14:textId="77777777" w:rsidR="0012716D" w:rsidRPr="008E5B0F" w:rsidRDefault="001E741F">
      <w:pPr>
        <w:spacing w:before="240" w:after="0" w:line="360" w:lineRule="auto"/>
        <w:jc w:val="both"/>
        <w:rPr>
          <w:rFonts w:ascii="Arial" w:hAnsi="Arial" w:cs="Arial"/>
          <w:bCs/>
          <w:sz w:val="24"/>
          <w:szCs w:val="24"/>
        </w:rPr>
      </w:pPr>
      <w:r w:rsidRPr="008E5B0F">
        <w:rPr>
          <w:rFonts w:ascii="Arial" w:hAnsi="Arial" w:cs="Arial"/>
          <w:b/>
          <w:sz w:val="24"/>
          <w:szCs w:val="24"/>
        </w:rPr>
        <w:t>a) Oportunidad.</w:t>
      </w:r>
      <w:r w:rsidRPr="008E5B0F">
        <w:rPr>
          <w:rFonts w:ascii="Arial" w:hAnsi="Arial" w:cs="Arial"/>
          <w:bCs/>
          <w:sz w:val="24"/>
          <w:szCs w:val="24"/>
        </w:rPr>
        <w:t xml:space="preserve"> Se exhibió dentro del plazo de setenta y dos horas al que se refiere el artículo 23, inciso b), en vinculación con el 24 de la </w:t>
      </w:r>
      <w:r w:rsidRPr="008E5B0F">
        <w:rPr>
          <w:rFonts w:ascii="Arial" w:hAnsi="Arial" w:cs="Arial"/>
          <w:bCs/>
          <w:i/>
          <w:iCs/>
          <w:sz w:val="24"/>
          <w:szCs w:val="24"/>
        </w:rPr>
        <w:t>Ley de Justicia Electoral</w:t>
      </w:r>
      <w:r w:rsidRPr="008E5B0F">
        <w:rPr>
          <w:rFonts w:ascii="Arial" w:hAnsi="Arial" w:cs="Arial"/>
          <w:bCs/>
          <w:sz w:val="24"/>
          <w:szCs w:val="24"/>
        </w:rPr>
        <w:t>, ya que la publicación del medio de impugnación transcurrió de las diecinueve horas del dieciocho de septiembre, a las diecinueve horas del veintitrés siguiente</w:t>
      </w:r>
      <w:r w:rsidRPr="008E5B0F">
        <w:rPr>
          <w:rStyle w:val="Refdenotaalpie"/>
          <w:i/>
          <w:iCs/>
          <w:sz w:val="24"/>
          <w:szCs w:val="24"/>
        </w:rPr>
        <w:footnoteReference w:id="16"/>
      </w:r>
      <w:r w:rsidRPr="008E5B0F">
        <w:rPr>
          <w:rFonts w:ascii="Arial" w:hAnsi="Arial" w:cs="Arial"/>
          <w:bCs/>
          <w:sz w:val="24"/>
          <w:szCs w:val="24"/>
        </w:rPr>
        <w:t>; por lo que, si el escrito se presentó a las once horas del veintidós anterior</w:t>
      </w:r>
      <w:r w:rsidRPr="008E5B0F">
        <w:rPr>
          <w:rStyle w:val="Refdenotaalpie"/>
          <w:i/>
          <w:iCs/>
          <w:sz w:val="24"/>
          <w:szCs w:val="24"/>
        </w:rPr>
        <w:footnoteReference w:id="17"/>
      </w:r>
      <w:r w:rsidRPr="008E5B0F">
        <w:rPr>
          <w:rFonts w:ascii="Arial" w:hAnsi="Arial" w:cs="Arial"/>
          <w:bCs/>
          <w:sz w:val="24"/>
          <w:szCs w:val="24"/>
        </w:rPr>
        <w:t>, es evidente que se encuentra dentro del plazo legal.</w:t>
      </w:r>
    </w:p>
    <w:p w14:paraId="404CFB05" w14:textId="77777777" w:rsidR="0012716D" w:rsidRPr="008E5B0F" w:rsidRDefault="001E741F">
      <w:pPr>
        <w:spacing w:before="240" w:after="0" w:line="360" w:lineRule="auto"/>
        <w:jc w:val="both"/>
        <w:rPr>
          <w:rFonts w:ascii="Arial" w:hAnsi="Arial" w:cs="Arial"/>
          <w:bCs/>
          <w:sz w:val="24"/>
          <w:szCs w:val="24"/>
        </w:rPr>
      </w:pPr>
      <w:r w:rsidRPr="008E5B0F">
        <w:rPr>
          <w:rFonts w:ascii="Arial" w:hAnsi="Arial" w:cs="Arial"/>
          <w:b/>
          <w:sz w:val="24"/>
          <w:szCs w:val="24"/>
        </w:rPr>
        <w:t>b)</w:t>
      </w:r>
      <w:r w:rsidRPr="008E5B0F">
        <w:rPr>
          <w:rFonts w:ascii="Arial" w:hAnsi="Arial" w:cs="Arial"/>
          <w:bCs/>
          <w:sz w:val="24"/>
          <w:szCs w:val="24"/>
        </w:rPr>
        <w:t xml:space="preserve"> </w:t>
      </w:r>
      <w:r w:rsidRPr="008E5B0F">
        <w:rPr>
          <w:rFonts w:ascii="Arial" w:hAnsi="Arial" w:cs="Arial"/>
          <w:b/>
          <w:sz w:val="24"/>
          <w:szCs w:val="24"/>
        </w:rPr>
        <w:t>Forma.</w:t>
      </w:r>
      <w:r w:rsidRPr="008E5B0F">
        <w:rPr>
          <w:rFonts w:ascii="Arial" w:hAnsi="Arial" w:cs="Arial"/>
          <w:bCs/>
          <w:sz w:val="24"/>
          <w:szCs w:val="24"/>
        </w:rPr>
        <w:t xml:space="preserve"> Se cumple ya que su escrito fue presentado ante el </w:t>
      </w:r>
      <w:r w:rsidRPr="008E5B0F">
        <w:rPr>
          <w:rFonts w:ascii="Arial" w:hAnsi="Arial" w:cs="Arial"/>
          <w:bCs/>
          <w:i/>
          <w:iCs/>
          <w:sz w:val="24"/>
          <w:szCs w:val="24"/>
        </w:rPr>
        <w:t>Ayuntamiento</w:t>
      </w:r>
      <w:r w:rsidRPr="008E5B0F">
        <w:rPr>
          <w:rFonts w:ascii="Arial" w:hAnsi="Arial" w:cs="Arial"/>
          <w:bCs/>
          <w:sz w:val="24"/>
          <w:szCs w:val="24"/>
        </w:rPr>
        <w:t xml:space="preserve"> y en </w:t>
      </w:r>
      <w:proofErr w:type="spellStart"/>
      <w:r w:rsidRPr="008E5B0F">
        <w:rPr>
          <w:rFonts w:ascii="Arial" w:hAnsi="Arial" w:cs="Arial"/>
          <w:bCs/>
          <w:sz w:val="24"/>
          <w:szCs w:val="24"/>
        </w:rPr>
        <w:t>el</w:t>
      </w:r>
      <w:proofErr w:type="spellEnd"/>
      <w:r w:rsidRPr="008E5B0F">
        <w:rPr>
          <w:rFonts w:ascii="Arial" w:hAnsi="Arial" w:cs="Arial"/>
          <w:bCs/>
          <w:sz w:val="24"/>
          <w:szCs w:val="24"/>
        </w:rPr>
        <w:t xml:space="preserve"> se hace constar el nombre y carácter del </w:t>
      </w:r>
      <w:r w:rsidRPr="008E5B0F">
        <w:rPr>
          <w:rFonts w:ascii="Arial" w:hAnsi="Arial" w:cs="Arial"/>
          <w:bCs/>
          <w:i/>
          <w:iCs/>
          <w:sz w:val="24"/>
          <w:szCs w:val="24"/>
        </w:rPr>
        <w:t>tercero interesado</w:t>
      </w:r>
      <w:r w:rsidRPr="008E5B0F">
        <w:rPr>
          <w:rFonts w:ascii="Arial" w:hAnsi="Arial" w:cs="Arial"/>
          <w:bCs/>
          <w:sz w:val="24"/>
          <w:szCs w:val="24"/>
        </w:rPr>
        <w:t>, domicilio para recibir notificaciones y la firma autógrafa, formuló las razones de su oposición a la pretensión de la</w:t>
      </w:r>
      <w:r w:rsidRPr="008E5B0F">
        <w:rPr>
          <w:rFonts w:ascii="Arial" w:hAnsi="Arial" w:cs="Arial"/>
          <w:bCs/>
          <w:i/>
          <w:iCs/>
          <w:sz w:val="24"/>
          <w:szCs w:val="24"/>
        </w:rPr>
        <w:t xml:space="preserve"> actora </w:t>
      </w:r>
      <w:r w:rsidRPr="008E5B0F">
        <w:rPr>
          <w:rFonts w:ascii="Arial" w:hAnsi="Arial" w:cs="Arial"/>
          <w:bCs/>
          <w:sz w:val="24"/>
          <w:szCs w:val="24"/>
        </w:rPr>
        <w:t>mediante la expresión de los argumentos que consideró pertinentes, adjuntando los medios de prueba que estimó convenientes.</w:t>
      </w:r>
    </w:p>
    <w:p w14:paraId="404CFB06" w14:textId="77777777" w:rsidR="0012716D" w:rsidRPr="008E5B0F" w:rsidRDefault="001E741F">
      <w:pPr>
        <w:spacing w:before="240" w:after="0" w:line="360" w:lineRule="auto"/>
        <w:jc w:val="both"/>
        <w:rPr>
          <w:rFonts w:ascii="Arial" w:hAnsi="Arial" w:cs="Arial"/>
          <w:bCs/>
          <w:sz w:val="24"/>
          <w:szCs w:val="24"/>
        </w:rPr>
      </w:pPr>
      <w:r w:rsidRPr="008E5B0F">
        <w:rPr>
          <w:rFonts w:ascii="Arial" w:hAnsi="Arial" w:cs="Arial"/>
          <w:b/>
          <w:sz w:val="24"/>
          <w:szCs w:val="24"/>
        </w:rPr>
        <w:t>c) Legitimación.</w:t>
      </w:r>
      <w:r w:rsidRPr="008E5B0F">
        <w:rPr>
          <w:rFonts w:ascii="Arial" w:hAnsi="Arial" w:cs="Arial"/>
          <w:bCs/>
          <w:sz w:val="24"/>
          <w:szCs w:val="24"/>
        </w:rPr>
        <w:t xml:space="preserve"> Se satisface, toda vez que el escrito fue interpuesto en su carácter de Regidor en funciones, personalidad que se acreditó en autos debido a que en el expediente consta copia debidamente certificada de su constancia de mayoría y validez, además de que las </w:t>
      </w:r>
      <w:r w:rsidRPr="008E5B0F">
        <w:rPr>
          <w:rFonts w:ascii="Arial" w:hAnsi="Arial" w:cs="Arial"/>
          <w:bCs/>
          <w:i/>
          <w:iCs/>
          <w:sz w:val="24"/>
          <w:szCs w:val="24"/>
        </w:rPr>
        <w:t>autoridades responsables</w:t>
      </w:r>
      <w:r w:rsidRPr="008E5B0F">
        <w:rPr>
          <w:rFonts w:ascii="Arial" w:hAnsi="Arial" w:cs="Arial"/>
          <w:bCs/>
          <w:sz w:val="24"/>
          <w:szCs w:val="24"/>
        </w:rPr>
        <w:t xml:space="preserve"> le reconocen tal carácter.</w:t>
      </w:r>
    </w:p>
    <w:p w14:paraId="404CFB07" w14:textId="77777777" w:rsidR="0012716D" w:rsidRPr="008E5B0F" w:rsidRDefault="001E741F">
      <w:pPr>
        <w:spacing w:before="240" w:after="0" w:line="360" w:lineRule="auto"/>
        <w:jc w:val="both"/>
        <w:rPr>
          <w:rFonts w:ascii="Arial" w:hAnsi="Arial" w:cs="Arial"/>
          <w:bCs/>
          <w:sz w:val="24"/>
          <w:szCs w:val="24"/>
        </w:rPr>
      </w:pPr>
      <w:r w:rsidRPr="008E5B0F">
        <w:rPr>
          <w:rFonts w:ascii="Arial" w:hAnsi="Arial" w:cs="Arial"/>
          <w:b/>
          <w:sz w:val="24"/>
          <w:szCs w:val="24"/>
        </w:rPr>
        <w:t>d) Interés jurídico.</w:t>
      </w:r>
      <w:r w:rsidRPr="008E5B0F">
        <w:rPr>
          <w:rFonts w:ascii="Arial" w:hAnsi="Arial" w:cs="Arial"/>
          <w:bCs/>
          <w:sz w:val="24"/>
          <w:szCs w:val="24"/>
        </w:rPr>
        <w:t xml:space="preserve"> El </w:t>
      </w:r>
      <w:r w:rsidRPr="008E5B0F">
        <w:rPr>
          <w:rFonts w:ascii="Arial" w:hAnsi="Arial" w:cs="Arial"/>
          <w:bCs/>
          <w:i/>
          <w:iCs/>
          <w:sz w:val="24"/>
          <w:szCs w:val="24"/>
        </w:rPr>
        <w:t>tercero interesado</w:t>
      </w:r>
      <w:r w:rsidRPr="008E5B0F">
        <w:rPr>
          <w:rFonts w:ascii="Arial" w:hAnsi="Arial" w:cs="Arial"/>
          <w:bCs/>
          <w:sz w:val="24"/>
          <w:szCs w:val="24"/>
        </w:rPr>
        <w:t xml:space="preserve"> tiene interés jurídico para comparecer al presente medio de impugnación, en virtud de su deseo manifiesto de conseguir una resolución contraria a la solicitada por la </w:t>
      </w:r>
      <w:r w:rsidRPr="008E5B0F">
        <w:rPr>
          <w:rFonts w:ascii="Arial" w:hAnsi="Arial" w:cs="Arial"/>
          <w:bCs/>
          <w:i/>
          <w:iCs/>
          <w:sz w:val="24"/>
          <w:szCs w:val="24"/>
        </w:rPr>
        <w:t>actora</w:t>
      </w:r>
      <w:r w:rsidRPr="008E5B0F">
        <w:rPr>
          <w:rFonts w:ascii="Arial" w:hAnsi="Arial" w:cs="Arial"/>
          <w:bCs/>
          <w:sz w:val="24"/>
          <w:szCs w:val="24"/>
        </w:rPr>
        <w:t xml:space="preserve">, acorde con lo estipulado en el numeral 13, fracción III, de la </w:t>
      </w:r>
      <w:r w:rsidRPr="008E5B0F">
        <w:rPr>
          <w:rFonts w:ascii="Arial" w:hAnsi="Arial" w:cs="Arial"/>
          <w:bCs/>
          <w:i/>
          <w:iCs/>
          <w:sz w:val="24"/>
          <w:szCs w:val="24"/>
        </w:rPr>
        <w:t>Ley de Justicia Electoral</w:t>
      </w:r>
      <w:r w:rsidRPr="008E5B0F">
        <w:rPr>
          <w:rFonts w:ascii="Arial" w:hAnsi="Arial" w:cs="Arial"/>
          <w:bCs/>
          <w:sz w:val="24"/>
          <w:szCs w:val="24"/>
        </w:rPr>
        <w:t>.</w:t>
      </w:r>
    </w:p>
    <w:p w14:paraId="404CFB08" w14:textId="77777777" w:rsidR="0012716D" w:rsidRPr="008E5B0F" w:rsidRDefault="001E741F">
      <w:pPr>
        <w:pStyle w:val="Ttulo1"/>
        <w:jc w:val="center"/>
        <w:rPr>
          <w:rFonts w:ascii="Arial" w:hAnsi="Arial" w:cs="Arial"/>
          <w:b/>
          <w:bCs/>
          <w:color w:val="000000" w:themeColor="text1"/>
          <w:sz w:val="24"/>
          <w:szCs w:val="24"/>
        </w:rPr>
      </w:pPr>
      <w:bookmarkStart w:id="7" w:name="_Toc211690210"/>
      <w:r w:rsidRPr="008E5B0F">
        <w:rPr>
          <w:rFonts w:ascii="Arial" w:hAnsi="Arial" w:cs="Arial"/>
          <w:b/>
          <w:bCs/>
          <w:color w:val="000000" w:themeColor="text1"/>
          <w:sz w:val="24"/>
          <w:szCs w:val="24"/>
        </w:rPr>
        <w:t>V</w:t>
      </w:r>
      <w:r w:rsidR="00A32BDE" w:rsidRPr="008E5B0F">
        <w:rPr>
          <w:rFonts w:ascii="Arial" w:hAnsi="Arial" w:cs="Arial"/>
          <w:b/>
          <w:bCs/>
          <w:color w:val="000000" w:themeColor="text1"/>
          <w:sz w:val="24"/>
          <w:szCs w:val="24"/>
        </w:rPr>
        <w:t>I</w:t>
      </w:r>
      <w:r w:rsidRPr="008E5B0F">
        <w:rPr>
          <w:rFonts w:ascii="Arial" w:hAnsi="Arial" w:cs="Arial"/>
          <w:b/>
          <w:bCs/>
          <w:color w:val="000000" w:themeColor="text1"/>
          <w:sz w:val="24"/>
          <w:szCs w:val="24"/>
        </w:rPr>
        <w:t>. CAUSALES DE IMPROCEDENCIA</w:t>
      </w:r>
      <w:bookmarkEnd w:id="7"/>
    </w:p>
    <w:p w14:paraId="404CFB09"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El análisis de las causales de improcedencia es de orden público y de estudio preferente, pues de actualizarse se haría innecesario estudiar el fondo del litigio; esto, en observancia a las garantías de debido proceso y de impartición de </w:t>
      </w:r>
      <w:r w:rsidRPr="008E5B0F">
        <w:rPr>
          <w:rFonts w:ascii="Arial" w:hAnsi="Arial" w:cs="Arial"/>
          <w:sz w:val="24"/>
          <w:szCs w:val="24"/>
        </w:rPr>
        <w:lastRenderedPageBreak/>
        <w:t xml:space="preserve">justicia pronta y expedita, consagradas en los numerales 14 y 17 de la </w:t>
      </w:r>
      <w:r w:rsidRPr="008E5B0F">
        <w:rPr>
          <w:rFonts w:ascii="Arial" w:hAnsi="Arial" w:cs="Arial"/>
          <w:i/>
          <w:iCs/>
          <w:sz w:val="24"/>
          <w:szCs w:val="24"/>
        </w:rPr>
        <w:t>Constitución General</w:t>
      </w:r>
      <w:r w:rsidRPr="008E5B0F">
        <w:rPr>
          <w:rStyle w:val="Refdenotaalpie"/>
          <w:rFonts w:ascii="Arial" w:hAnsi="Arial" w:cs="Arial"/>
          <w:sz w:val="24"/>
          <w:szCs w:val="24"/>
        </w:rPr>
        <w:footnoteReference w:id="18"/>
      </w:r>
      <w:r w:rsidRPr="008E5B0F">
        <w:rPr>
          <w:rFonts w:ascii="Arial" w:hAnsi="Arial" w:cs="Arial"/>
          <w:sz w:val="24"/>
          <w:szCs w:val="24"/>
        </w:rPr>
        <w:t>.</w:t>
      </w:r>
    </w:p>
    <w:p w14:paraId="404CFB0A" w14:textId="77777777" w:rsidR="0012716D" w:rsidRPr="008E5B0F" w:rsidRDefault="001E741F">
      <w:pPr>
        <w:spacing w:before="100" w:beforeAutospacing="1" w:after="100" w:afterAutospacing="1" w:line="360" w:lineRule="auto"/>
        <w:jc w:val="both"/>
        <w:rPr>
          <w:rFonts w:ascii="Arial" w:hAnsi="Arial" w:cs="Arial"/>
          <w:i/>
          <w:iCs/>
          <w:sz w:val="24"/>
          <w:szCs w:val="24"/>
        </w:rPr>
      </w:pPr>
      <w:r w:rsidRPr="008E5B0F">
        <w:rPr>
          <w:rFonts w:ascii="Arial" w:hAnsi="Arial" w:cs="Arial"/>
          <w:sz w:val="24"/>
          <w:szCs w:val="24"/>
        </w:rPr>
        <w:t xml:space="preserve">De la lectura del informe circunstanciado se desprende que las </w:t>
      </w:r>
      <w:r w:rsidRPr="008E5B0F">
        <w:rPr>
          <w:rFonts w:ascii="Arial" w:hAnsi="Arial" w:cs="Arial"/>
          <w:i/>
          <w:iCs/>
          <w:sz w:val="24"/>
          <w:szCs w:val="24"/>
        </w:rPr>
        <w:t>autoridades responsables</w:t>
      </w:r>
      <w:r w:rsidRPr="008E5B0F">
        <w:rPr>
          <w:rFonts w:ascii="Arial" w:hAnsi="Arial" w:cs="Arial"/>
          <w:sz w:val="24"/>
          <w:szCs w:val="24"/>
        </w:rPr>
        <w:t xml:space="preserve">, así como el </w:t>
      </w:r>
      <w:r w:rsidRPr="008E5B0F">
        <w:rPr>
          <w:rFonts w:ascii="Arial" w:hAnsi="Arial" w:cs="Arial"/>
          <w:i/>
          <w:iCs/>
          <w:sz w:val="24"/>
          <w:szCs w:val="24"/>
        </w:rPr>
        <w:t>tercero interesado</w:t>
      </w:r>
      <w:r w:rsidRPr="008E5B0F">
        <w:rPr>
          <w:rFonts w:ascii="Arial" w:hAnsi="Arial" w:cs="Arial"/>
          <w:sz w:val="24"/>
          <w:szCs w:val="24"/>
        </w:rPr>
        <w:t xml:space="preserve"> refieren que</w:t>
      </w:r>
      <w:r w:rsidRPr="008E5B0F">
        <w:rPr>
          <w:rFonts w:ascii="Arial" w:hAnsi="Arial" w:cs="Arial"/>
          <w:i/>
          <w:iCs/>
          <w:sz w:val="24"/>
          <w:szCs w:val="24"/>
        </w:rPr>
        <w:t xml:space="preserve"> </w:t>
      </w:r>
      <w:r w:rsidRPr="008E5B0F">
        <w:rPr>
          <w:rFonts w:ascii="Arial" w:hAnsi="Arial" w:cs="Arial"/>
          <w:sz w:val="24"/>
          <w:szCs w:val="24"/>
        </w:rPr>
        <w:t xml:space="preserve">hacen valer la causal de improcedencia consistente en </w:t>
      </w:r>
      <w:r w:rsidRPr="008E5B0F">
        <w:rPr>
          <w:rFonts w:ascii="Arial" w:hAnsi="Arial" w:cs="Arial"/>
          <w:b/>
          <w:bCs/>
          <w:i/>
          <w:iCs/>
          <w:sz w:val="24"/>
          <w:szCs w:val="24"/>
        </w:rPr>
        <w:t>que se hayan consumado de un modo irreparable; que se hubiesen consentido expresamente</w:t>
      </w:r>
      <w:r w:rsidRPr="008E5B0F">
        <w:rPr>
          <w:rFonts w:ascii="Arial" w:hAnsi="Arial" w:cs="Arial"/>
          <w:i/>
          <w:iCs/>
          <w:sz w:val="24"/>
          <w:szCs w:val="24"/>
        </w:rPr>
        <w:t xml:space="preserve">, </w:t>
      </w:r>
      <w:r w:rsidRPr="008E5B0F">
        <w:rPr>
          <w:rFonts w:ascii="Arial" w:hAnsi="Arial" w:cs="Arial"/>
          <w:b/>
          <w:bCs/>
          <w:i/>
          <w:iCs/>
          <w:sz w:val="24"/>
          <w:szCs w:val="24"/>
        </w:rPr>
        <w:t>entendiéndose por éstos, las manifestaciones de la voluntad que entrañen ese consentimiento</w:t>
      </w:r>
      <w:r w:rsidRPr="008E5B0F">
        <w:rPr>
          <w:rFonts w:ascii="Arial" w:hAnsi="Arial" w:cs="Arial"/>
          <w:i/>
          <w:iCs/>
          <w:sz w:val="24"/>
          <w:szCs w:val="24"/>
        </w:rPr>
        <w:t xml:space="preserve">; o aquéllos contra los cuales no se hubiese interpuesto el medio de impugnación respectivo, dentro de los plazos señalados en esta Ley”, </w:t>
      </w:r>
      <w:r w:rsidRPr="008E5B0F">
        <w:rPr>
          <w:rFonts w:ascii="Arial" w:hAnsi="Arial" w:cs="Arial"/>
          <w:sz w:val="24"/>
          <w:szCs w:val="24"/>
        </w:rPr>
        <w:t xml:space="preserve">prevista en el artículo 11, fracción III del de la </w:t>
      </w:r>
      <w:r w:rsidRPr="008E5B0F">
        <w:rPr>
          <w:rFonts w:ascii="Arial" w:hAnsi="Arial" w:cs="Arial"/>
          <w:i/>
          <w:iCs/>
          <w:sz w:val="24"/>
          <w:szCs w:val="24"/>
        </w:rPr>
        <w:t>Ley de Justicia Electoral.</w:t>
      </w:r>
    </w:p>
    <w:p w14:paraId="404CFB0B"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Ello, al considerar que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hizo una solicitud llena de dolo, al pretender acreditar un hecho que no ha acontecido, solicitando se le tome protesta y se hagan gestiones administrativas para asignarle un salario, cuando no se encuentra en tiempo para pedirlo, pues lo solicita un año después de que el acto fue consumado y reconocido por el </w:t>
      </w:r>
      <w:r w:rsidRPr="008E5B0F">
        <w:rPr>
          <w:rFonts w:ascii="Arial" w:hAnsi="Arial" w:cs="Arial"/>
          <w:i/>
          <w:iCs/>
          <w:sz w:val="24"/>
          <w:szCs w:val="24"/>
        </w:rPr>
        <w:t>IEM</w:t>
      </w:r>
      <w:r w:rsidRPr="008E5B0F">
        <w:rPr>
          <w:rFonts w:ascii="Arial" w:hAnsi="Arial" w:cs="Arial"/>
          <w:sz w:val="24"/>
          <w:szCs w:val="24"/>
        </w:rPr>
        <w:t>.</w:t>
      </w:r>
    </w:p>
    <w:p w14:paraId="404CFB0C" w14:textId="77777777" w:rsidR="0012716D" w:rsidRPr="008E5B0F" w:rsidRDefault="001E741F">
      <w:pPr>
        <w:spacing w:before="240" w:line="360" w:lineRule="auto"/>
        <w:jc w:val="both"/>
        <w:rPr>
          <w:rFonts w:ascii="Arial" w:hAnsi="Arial" w:cs="Arial"/>
          <w:shd w:val="clear" w:color="auto" w:fill="FFFFFF"/>
        </w:rPr>
      </w:pPr>
      <w:r w:rsidRPr="008E5B0F">
        <w:rPr>
          <w:rFonts w:ascii="Arial" w:hAnsi="Arial" w:cs="Arial"/>
          <w:sz w:val="24"/>
          <w:szCs w:val="24"/>
          <w:shd w:val="clear" w:color="auto" w:fill="FFFFFF"/>
        </w:rPr>
        <w:t xml:space="preserve">No obstante, este </w:t>
      </w:r>
      <w:r w:rsidRPr="008E5B0F">
        <w:rPr>
          <w:rFonts w:ascii="Arial" w:hAnsi="Arial" w:cs="Arial"/>
          <w:i/>
          <w:iCs/>
          <w:sz w:val="24"/>
          <w:szCs w:val="24"/>
          <w:shd w:val="clear" w:color="auto" w:fill="FFFFFF"/>
        </w:rPr>
        <w:t>Tribunal Electoral</w:t>
      </w:r>
      <w:r w:rsidRPr="008E5B0F">
        <w:rPr>
          <w:rFonts w:ascii="Arial" w:hAnsi="Arial" w:cs="Arial"/>
          <w:sz w:val="24"/>
          <w:szCs w:val="24"/>
          <w:shd w:val="clear" w:color="auto" w:fill="FFFFFF"/>
        </w:rPr>
        <w:t xml:space="preserve"> considera que dicha causal de improcedencia debe </w:t>
      </w:r>
      <w:r w:rsidRPr="008E5B0F">
        <w:rPr>
          <w:rFonts w:ascii="Arial" w:hAnsi="Arial" w:cs="Arial"/>
          <w:b/>
          <w:bCs/>
          <w:sz w:val="24"/>
          <w:szCs w:val="24"/>
          <w:shd w:val="clear" w:color="auto" w:fill="FFFFFF"/>
        </w:rPr>
        <w:t>desestimarse</w:t>
      </w:r>
      <w:r w:rsidRPr="008E5B0F">
        <w:rPr>
          <w:rFonts w:ascii="Arial" w:hAnsi="Arial" w:cs="Arial"/>
          <w:sz w:val="24"/>
          <w:szCs w:val="24"/>
          <w:shd w:val="clear" w:color="auto" w:fill="FFFFFF"/>
        </w:rPr>
        <w:t xml:space="preserve">, </w:t>
      </w:r>
      <w:r w:rsidRPr="008E5B0F">
        <w:rPr>
          <w:rFonts w:ascii="Arial" w:hAnsi="Arial" w:cs="Arial"/>
          <w:sz w:val="24"/>
          <w:szCs w:val="24"/>
        </w:rPr>
        <w:t xml:space="preserve">dado que las manifestaciones hechas corresponden al </w:t>
      </w:r>
      <w:r w:rsidRPr="008E5B0F">
        <w:rPr>
          <w:rFonts w:ascii="Arial" w:hAnsi="Arial" w:cs="Arial"/>
          <w:b/>
          <w:bCs/>
          <w:sz w:val="24"/>
          <w:szCs w:val="24"/>
        </w:rPr>
        <w:t>estudio de fondo</w:t>
      </w:r>
      <w:r w:rsidRPr="008E5B0F">
        <w:rPr>
          <w:rFonts w:ascii="Arial" w:hAnsi="Arial" w:cs="Arial"/>
          <w:sz w:val="24"/>
          <w:szCs w:val="24"/>
        </w:rPr>
        <w:t xml:space="preserve">, </w:t>
      </w:r>
      <w:r w:rsidRPr="008E5B0F">
        <w:rPr>
          <w:rFonts w:ascii="Arial" w:hAnsi="Arial" w:cs="Arial"/>
          <w:sz w:val="24"/>
          <w:szCs w:val="24"/>
          <w:shd w:val="clear" w:color="auto" w:fill="FFFFFF"/>
        </w:rPr>
        <w:t xml:space="preserve">porque este </w:t>
      </w:r>
      <w:r w:rsidRPr="008E5B0F">
        <w:rPr>
          <w:rFonts w:ascii="Arial" w:hAnsi="Arial" w:cs="Arial"/>
          <w:i/>
          <w:iCs/>
          <w:sz w:val="24"/>
          <w:szCs w:val="24"/>
          <w:shd w:val="clear" w:color="auto" w:fill="FFFFFF"/>
        </w:rPr>
        <w:t>órgano jurisdiccional</w:t>
      </w:r>
      <w:r w:rsidRPr="008E5B0F">
        <w:rPr>
          <w:rFonts w:ascii="Arial" w:hAnsi="Arial" w:cs="Arial"/>
          <w:sz w:val="24"/>
          <w:szCs w:val="24"/>
          <w:shd w:val="clear" w:color="auto" w:fill="FFFFFF"/>
        </w:rPr>
        <w:t xml:space="preserve"> debe analizar si </w:t>
      </w:r>
      <w:bookmarkStart w:id="8" w:name="_ftnref7"/>
      <w:bookmarkEnd w:id="8"/>
      <w:r w:rsidRPr="008E5B0F">
        <w:rPr>
          <w:rFonts w:ascii="Arial" w:hAnsi="Arial" w:cs="Arial"/>
          <w:sz w:val="24"/>
          <w:szCs w:val="24"/>
          <w:shd w:val="clear" w:color="auto" w:fill="FFFFFF"/>
        </w:rPr>
        <w:t xml:space="preserve">tiene o no razón la </w:t>
      </w:r>
      <w:r w:rsidRPr="008E5B0F">
        <w:rPr>
          <w:rFonts w:ascii="Arial" w:hAnsi="Arial" w:cs="Arial"/>
          <w:i/>
          <w:iCs/>
          <w:sz w:val="24"/>
          <w:szCs w:val="24"/>
          <w:shd w:val="clear" w:color="auto" w:fill="FFFFFF"/>
        </w:rPr>
        <w:t>parte</w:t>
      </w:r>
      <w:r w:rsidRPr="008E5B0F">
        <w:rPr>
          <w:rFonts w:ascii="Arial" w:hAnsi="Arial" w:cs="Arial"/>
          <w:sz w:val="24"/>
          <w:szCs w:val="24"/>
          <w:shd w:val="clear" w:color="auto" w:fill="FFFFFF"/>
        </w:rPr>
        <w:t xml:space="preserve"> </w:t>
      </w:r>
      <w:r w:rsidRPr="008E5B0F">
        <w:rPr>
          <w:rFonts w:ascii="Arial" w:hAnsi="Arial" w:cs="Arial"/>
          <w:i/>
          <w:iCs/>
          <w:sz w:val="24"/>
          <w:szCs w:val="24"/>
          <w:shd w:val="clear" w:color="auto" w:fill="FFFFFF"/>
        </w:rPr>
        <w:t>actora</w:t>
      </w:r>
      <w:r w:rsidRPr="008E5B0F">
        <w:rPr>
          <w:rFonts w:ascii="Arial" w:hAnsi="Arial" w:cs="Arial"/>
          <w:sz w:val="24"/>
          <w:szCs w:val="24"/>
          <w:shd w:val="clear" w:color="auto" w:fill="FFFFFF"/>
        </w:rPr>
        <w:t xml:space="preserve"> en sus planteamientos y así determinar si su derecho político-electoral ha sido vulnerado y puede ser restituido o reparable, </w:t>
      </w:r>
      <w:r w:rsidRPr="008E5B0F">
        <w:rPr>
          <w:rFonts w:ascii="Arial" w:hAnsi="Arial" w:cs="Arial"/>
          <w:sz w:val="24"/>
          <w:szCs w:val="24"/>
        </w:rPr>
        <w:t>por lo que será en el fondo que se resolverá lo conducente</w:t>
      </w:r>
      <w:r w:rsidRPr="008E5B0F">
        <w:rPr>
          <w:rStyle w:val="Refdenotaalpie"/>
          <w:rFonts w:ascii="Arial" w:eastAsiaTheme="majorEastAsia" w:hAnsi="Arial" w:cs="Arial"/>
          <w:shd w:val="clear" w:color="auto" w:fill="FFFFFF"/>
        </w:rPr>
        <w:footnoteReference w:id="19"/>
      </w:r>
      <w:r w:rsidRPr="008E5B0F">
        <w:rPr>
          <w:rStyle w:val="Refdenotaalpie"/>
          <w:rFonts w:ascii="Arial" w:eastAsiaTheme="majorEastAsia" w:hAnsi="Arial" w:cs="Arial"/>
          <w:shd w:val="clear" w:color="auto" w:fill="FFFFFF"/>
        </w:rPr>
        <w:t>,</w:t>
      </w:r>
      <w:r w:rsidRPr="008E5B0F">
        <w:rPr>
          <w:rFonts w:ascii="Arial" w:eastAsiaTheme="majorEastAsia" w:hAnsi="Arial" w:cs="Arial"/>
          <w:shd w:val="clear" w:color="auto" w:fill="FFFFFF"/>
        </w:rPr>
        <w:t xml:space="preserve"> </w:t>
      </w:r>
      <w:r w:rsidRPr="008E5B0F">
        <w:rPr>
          <w:rFonts w:ascii="Arial" w:eastAsiaTheme="majorEastAsia" w:hAnsi="Arial" w:cs="Arial"/>
          <w:sz w:val="24"/>
          <w:szCs w:val="24"/>
          <w:shd w:val="clear" w:color="auto" w:fill="FFFFFF"/>
        </w:rPr>
        <w:t xml:space="preserve">pues de no hacerlo así, el </w:t>
      </w:r>
      <w:r w:rsidRPr="008E5B0F">
        <w:rPr>
          <w:rFonts w:ascii="Arial" w:eastAsiaTheme="majorEastAsia" w:hAnsi="Arial" w:cs="Arial"/>
          <w:i/>
          <w:iCs/>
          <w:sz w:val="24"/>
          <w:szCs w:val="24"/>
          <w:shd w:val="clear" w:color="auto" w:fill="FFFFFF"/>
        </w:rPr>
        <w:t xml:space="preserve">Tribunal Electoral </w:t>
      </w:r>
      <w:r w:rsidRPr="008E5B0F">
        <w:rPr>
          <w:rFonts w:ascii="Arial" w:eastAsiaTheme="majorEastAsia" w:hAnsi="Arial" w:cs="Arial"/>
          <w:sz w:val="24"/>
          <w:szCs w:val="24"/>
          <w:shd w:val="clear" w:color="auto" w:fill="FFFFFF"/>
        </w:rPr>
        <w:t>podría caer en el vicio lógico de petición de principio</w:t>
      </w:r>
      <w:r w:rsidRPr="008E5B0F">
        <w:rPr>
          <w:rStyle w:val="Refdenotaalpie"/>
          <w:rFonts w:ascii="Arial" w:eastAsiaTheme="majorEastAsia" w:hAnsi="Arial" w:cs="Arial"/>
          <w:sz w:val="24"/>
          <w:szCs w:val="24"/>
          <w:shd w:val="clear" w:color="auto" w:fill="FFFFFF"/>
        </w:rPr>
        <w:footnoteReference w:id="20"/>
      </w:r>
      <w:r w:rsidRPr="008E5B0F">
        <w:rPr>
          <w:rFonts w:ascii="Arial" w:hAnsi="Arial" w:cs="Arial"/>
          <w:sz w:val="24"/>
          <w:szCs w:val="24"/>
          <w:shd w:val="clear" w:color="auto" w:fill="FFFFFF"/>
        </w:rPr>
        <w:t>.</w:t>
      </w:r>
    </w:p>
    <w:p w14:paraId="404CFB0D" w14:textId="77777777" w:rsidR="0012716D" w:rsidRPr="008E5B0F" w:rsidRDefault="001E741F" w:rsidP="00731F40">
      <w:pPr>
        <w:pStyle w:val="Ttulo1"/>
        <w:numPr>
          <w:ilvl w:val="0"/>
          <w:numId w:val="14"/>
        </w:numPr>
        <w:jc w:val="center"/>
        <w:rPr>
          <w:rFonts w:ascii="Arial" w:eastAsia="Arial" w:hAnsi="Arial" w:cs="Arial"/>
          <w:sz w:val="24"/>
          <w:szCs w:val="24"/>
        </w:rPr>
      </w:pPr>
      <w:bookmarkStart w:id="9" w:name="_Toc211690211"/>
      <w:r w:rsidRPr="008E5B0F">
        <w:rPr>
          <w:rFonts w:ascii="Arial" w:hAnsi="Arial" w:cs="Arial"/>
          <w:b/>
          <w:bCs/>
          <w:color w:val="000000" w:themeColor="text1"/>
          <w:sz w:val="24"/>
          <w:szCs w:val="24"/>
        </w:rPr>
        <w:lastRenderedPageBreak/>
        <w:t>PROCEDENCIA</w:t>
      </w:r>
      <w:bookmarkEnd w:id="9"/>
    </w:p>
    <w:p w14:paraId="404CFB0E" w14:textId="77777777" w:rsidR="0012716D" w:rsidRPr="008E5B0F" w:rsidRDefault="001E741F">
      <w:pPr>
        <w:spacing w:before="100" w:beforeAutospacing="1" w:after="100" w:afterAutospacing="1" w:line="360" w:lineRule="auto"/>
        <w:jc w:val="both"/>
        <w:rPr>
          <w:rFonts w:ascii="Arial" w:hAnsi="Arial" w:cs="Arial"/>
          <w:sz w:val="24"/>
          <w:szCs w:val="24"/>
          <w:lang w:eastAsia="es-MX"/>
        </w:rPr>
      </w:pPr>
      <w:r w:rsidRPr="008E5B0F">
        <w:rPr>
          <w:rFonts w:ascii="Arial" w:hAnsi="Arial" w:cs="Arial"/>
          <w:sz w:val="24"/>
          <w:szCs w:val="24"/>
          <w:lang w:eastAsia="es-MX"/>
        </w:rPr>
        <w:t xml:space="preserve">Se reúnen los requisitos de procedencia establecidos en los artículos 9, 10, 15, fracción IV, 73 y 74, inciso c), de la </w:t>
      </w:r>
      <w:r w:rsidRPr="008E5B0F">
        <w:rPr>
          <w:rFonts w:ascii="Arial" w:hAnsi="Arial" w:cs="Arial"/>
          <w:i/>
          <w:iCs/>
          <w:sz w:val="24"/>
          <w:szCs w:val="24"/>
          <w:lang w:eastAsia="es-MX"/>
        </w:rPr>
        <w:t>Ley de Justicia Electoral,</w:t>
      </w:r>
      <w:r w:rsidRPr="008E5B0F">
        <w:rPr>
          <w:rFonts w:ascii="Arial" w:hAnsi="Arial" w:cs="Arial"/>
          <w:sz w:val="24"/>
          <w:szCs w:val="24"/>
          <w:lang w:eastAsia="es-MX"/>
        </w:rPr>
        <w:t xml:space="preserve"> conforme con lo siguiente: </w:t>
      </w:r>
    </w:p>
    <w:p w14:paraId="404CFB0F" w14:textId="77777777" w:rsidR="0012716D" w:rsidRPr="008E5B0F" w:rsidRDefault="001F7A3E">
      <w:pPr>
        <w:spacing w:before="100" w:beforeAutospacing="1" w:after="100" w:afterAutospacing="1" w:line="360" w:lineRule="auto"/>
        <w:jc w:val="both"/>
        <w:rPr>
          <w:rFonts w:ascii="Arial" w:hAnsi="Arial" w:cs="Arial"/>
          <w:sz w:val="24"/>
          <w:szCs w:val="24"/>
          <w:lang w:eastAsia="es-MX"/>
        </w:rPr>
      </w:pPr>
      <w:r w:rsidRPr="008E5B0F">
        <w:rPr>
          <w:rFonts w:ascii="Arial" w:hAnsi="Arial" w:cs="Arial"/>
          <w:b/>
          <w:bCs/>
          <w:sz w:val="24"/>
          <w:szCs w:val="24"/>
          <w:lang w:eastAsia="es-MX"/>
        </w:rPr>
        <w:t>7.1. Oportunidad.</w:t>
      </w:r>
      <w:r w:rsidRPr="008E5B0F">
        <w:rPr>
          <w:rFonts w:ascii="Arial" w:hAnsi="Arial" w:cs="Arial"/>
          <w:sz w:val="24"/>
          <w:szCs w:val="24"/>
          <w:lang w:eastAsia="es-MX"/>
        </w:rPr>
        <w:t xml:space="preserve"> La </w:t>
      </w:r>
      <w:r w:rsidRPr="008E5B0F">
        <w:rPr>
          <w:rFonts w:ascii="Arial" w:hAnsi="Arial" w:cs="Arial"/>
          <w:i/>
          <w:iCs/>
          <w:sz w:val="24"/>
          <w:szCs w:val="24"/>
          <w:lang w:eastAsia="es-MX"/>
        </w:rPr>
        <w:t>parte</w:t>
      </w:r>
      <w:r w:rsidRPr="008E5B0F">
        <w:rPr>
          <w:rFonts w:ascii="Arial" w:hAnsi="Arial" w:cs="Arial"/>
          <w:sz w:val="24"/>
          <w:szCs w:val="24"/>
          <w:lang w:eastAsia="es-MX"/>
        </w:rPr>
        <w:t xml:space="preserve"> </w:t>
      </w:r>
      <w:r w:rsidRPr="008E5B0F">
        <w:rPr>
          <w:rFonts w:ascii="Arial" w:hAnsi="Arial" w:cs="Arial"/>
          <w:i/>
          <w:iCs/>
          <w:sz w:val="24"/>
          <w:szCs w:val="24"/>
          <w:lang w:eastAsia="es-MX"/>
        </w:rPr>
        <w:t xml:space="preserve">actora </w:t>
      </w:r>
      <w:r w:rsidRPr="008E5B0F">
        <w:rPr>
          <w:rFonts w:ascii="Arial" w:hAnsi="Arial" w:cs="Arial"/>
          <w:sz w:val="24"/>
          <w:szCs w:val="24"/>
          <w:lang w:eastAsia="es-MX"/>
        </w:rPr>
        <w:t xml:space="preserve">controvierte el </w:t>
      </w:r>
      <w:r w:rsidRPr="008E5B0F">
        <w:rPr>
          <w:rFonts w:ascii="Arial" w:hAnsi="Arial" w:cs="Arial"/>
          <w:i/>
          <w:iCs/>
          <w:sz w:val="24"/>
          <w:szCs w:val="24"/>
          <w:lang w:eastAsia="es-MX"/>
        </w:rPr>
        <w:t>oficio impugnado</w:t>
      </w:r>
      <w:r w:rsidRPr="008E5B0F">
        <w:rPr>
          <w:rFonts w:ascii="Arial" w:hAnsi="Arial" w:cs="Arial"/>
          <w:sz w:val="24"/>
          <w:szCs w:val="24"/>
          <w:lang w:eastAsia="es-MX"/>
        </w:rPr>
        <w:t>, emitido el cinco de septiembre; de ahí que, si la demanda se presentó el doce siguiente, ésta se estima oportuna</w:t>
      </w:r>
      <w:r w:rsidRPr="008E5B0F">
        <w:rPr>
          <w:rStyle w:val="Refdenotaalpie"/>
          <w:rFonts w:ascii="Arial" w:hAnsi="Arial" w:cs="Arial"/>
          <w:sz w:val="24"/>
          <w:szCs w:val="24"/>
          <w:lang w:eastAsia="es-MX"/>
        </w:rPr>
        <w:footnoteReference w:id="21"/>
      </w:r>
      <w:r w:rsidRPr="008E5B0F">
        <w:rPr>
          <w:rFonts w:ascii="Arial" w:hAnsi="Arial" w:cs="Arial"/>
          <w:sz w:val="24"/>
          <w:szCs w:val="24"/>
          <w:lang w:eastAsia="es-MX"/>
        </w:rPr>
        <w:t xml:space="preserve">. Aunado a ello, respecto de la omisión de realizar los trámites para su alta jurídico-administrativa como Regidora del </w:t>
      </w:r>
      <w:r w:rsidRPr="008E5B0F">
        <w:rPr>
          <w:rFonts w:ascii="Arial" w:hAnsi="Arial" w:cs="Arial"/>
          <w:i/>
          <w:iCs/>
          <w:sz w:val="24"/>
          <w:szCs w:val="24"/>
          <w:lang w:eastAsia="es-MX"/>
        </w:rPr>
        <w:t>Ayuntamiento</w:t>
      </w:r>
      <w:r w:rsidRPr="008E5B0F">
        <w:rPr>
          <w:rFonts w:ascii="Arial" w:hAnsi="Arial" w:cs="Arial"/>
          <w:sz w:val="24"/>
          <w:szCs w:val="24"/>
          <w:lang w:eastAsia="es-MX"/>
        </w:rPr>
        <w:t xml:space="preserve">, </w:t>
      </w:r>
      <w:r w:rsidRPr="008E5B0F">
        <w:rPr>
          <w:rFonts w:ascii="Arial" w:hAnsi="Arial" w:cs="Arial"/>
          <w:sz w:val="24"/>
          <w:szCs w:val="24"/>
        </w:rPr>
        <w:t>ésta se actualiza de momento a momento, es decir, cada día que transcurre</w:t>
      </w:r>
      <w:r w:rsidRPr="008E5B0F">
        <w:rPr>
          <w:rStyle w:val="Refdenotaalpie"/>
          <w:rFonts w:ascii="Arial" w:hAnsi="Arial" w:cs="Arial"/>
          <w:sz w:val="24"/>
          <w:szCs w:val="24"/>
        </w:rPr>
        <w:footnoteReference w:id="22"/>
      </w:r>
      <w:r w:rsidRPr="008E5B0F">
        <w:rPr>
          <w:rFonts w:ascii="Arial" w:hAnsi="Arial" w:cs="Arial"/>
          <w:sz w:val="24"/>
          <w:szCs w:val="24"/>
        </w:rPr>
        <w:t>.</w:t>
      </w:r>
    </w:p>
    <w:p w14:paraId="404CFB10" w14:textId="77777777" w:rsidR="0012716D" w:rsidRPr="008E5B0F" w:rsidRDefault="001F7A3E">
      <w:pPr>
        <w:spacing w:before="100" w:beforeAutospacing="1" w:after="100" w:afterAutospacing="1" w:line="360" w:lineRule="auto"/>
        <w:jc w:val="both"/>
        <w:rPr>
          <w:rFonts w:ascii="Arial" w:hAnsi="Arial" w:cs="Arial"/>
          <w:sz w:val="24"/>
          <w:szCs w:val="24"/>
          <w:lang w:eastAsia="es-MX"/>
        </w:rPr>
      </w:pPr>
      <w:r w:rsidRPr="008E5B0F">
        <w:rPr>
          <w:rFonts w:ascii="Arial" w:hAnsi="Arial" w:cs="Arial"/>
          <w:b/>
          <w:bCs/>
          <w:sz w:val="24"/>
          <w:szCs w:val="24"/>
          <w:lang w:eastAsia="es-MX"/>
        </w:rPr>
        <w:t>7.2. Forma.</w:t>
      </w:r>
      <w:r w:rsidRPr="008E5B0F">
        <w:rPr>
          <w:rFonts w:ascii="Arial" w:hAnsi="Arial" w:cs="Arial"/>
          <w:sz w:val="24"/>
          <w:szCs w:val="24"/>
          <w:lang w:eastAsia="es-MX"/>
        </w:rPr>
        <w:t xml:space="preserve"> Se satisface, debido a que la demanda se presentó por escrito y señala nombre, firma y carácter con el que comparece a juicio;</w:t>
      </w:r>
      <w:r w:rsidRPr="008E5B0F">
        <w:rPr>
          <w:rFonts w:ascii="Arial" w:hAnsi="Arial" w:cs="Arial"/>
          <w:i/>
          <w:iCs/>
          <w:sz w:val="24"/>
          <w:szCs w:val="24"/>
          <w:lang w:eastAsia="es-MX"/>
        </w:rPr>
        <w:t xml:space="preserve"> </w:t>
      </w:r>
      <w:r w:rsidRPr="008E5B0F">
        <w:rPr>
          <w:rFonts w:ascii="Arial" w:hAnsi="Arial" w:cs="Arial"/>
          <w:sz w:val="24"/>
          <w:szCs w:val="24"/>
          <w:lang w:eastAsia="es-MX"/>
        </w:rPr>
        <w:t xml:space="preserve">el domicilio para recibir notificaciones; identifica los actos impugnados y a las </w:t>
      </w:r>
      <w:r w:rsidRPr="008E5B0F">
        <w:rPr>
          <w:rFonts w:ascii="Arial" w:hAnsi="Arial" w:cs="Arial"/>
          <w:i/>
          <w:iCs/>
          <w:sz w:val="24"/>
          <w:szCs w:val="24"/>
          <w:lang w:eastAsia="es-MX"/>
        </w:rPr>
        <w:t>autoridades responsables</w:t>
      </w:r>
      <w:r w:rsidRPr="008E5B0F">
        <w:rPr>
          <w:rFonts w:ascii="Arial" w:hAnsi="Arial" w:cs="Arial"/>
          <w:sz w:val="24"/>
          <w:szCs w:val="24"/>
          <w:lang w:eastAsia="es-MX"/>
        </w:rPr>
        <w:t>; expone los hechos en los que se basa la impugnación, los agravios y preceptos presuntamente violados; de igual manera ofrece pruebas</w:t>
      </w:r>
      <w:r w:rsidRPr="008E5B0F">
        <w:rPr>
          <w:rStyle w:val="Refdenotaalpie"/>
          <w:rFonts w:ascii="Arial" w:hAnsi="Arial" w:cs="Arial"/>
          <w:sz w:val="24"/>
          <w:szCs w:val="24"/>
        </w:rPr>
        <w:footnoteReference w:id="23"/>
      </w:r>
      <w:r w:rsidRPr="008E5B0F">
        <w:rPr>
          <w:rFonts w:ascii="Arial" w:hAnsi="Arial" w:cs="Arial"/>
          <w:sz w:val="24"/>
          <w:szCs w:val="24"/>
          <w:lang w:eastAsia="es-MX"/>
        </w:rPr>
        <w:t xml:space="preserve">. </w:t>
      </w:r>
    </w:p>
    <w:p w14:paraId="404CFB11" w14:textId="77777777" w:rsidR="0012716D" w:rsidRPr="008E5B0F" w:rsidRDefault="001F7A3E">
      <w:pPr>
        <w:tabs>
          <w:tab w:val="left" w:pos="544"/>
        </w:tabs>
        <w:spacing w:before="240" w:after="0" w:line="360" w:lineRule="auto"/>
        <w:ind w:right="-40"/>
        <w:jc w:val="both"/>
        <w:rPr>
          <w:rFonts w:ascii="Arial" w:hAnsi="Arial" w:cs="Arial"/>
          <w:sz w:val="24"/>
          <w:szCs w:val="24"/>
        </w:rPr>
      </w:pPr>
      <w:r w:rsidRPr="008E5B0F">
        <w:rPr>
          <w:rFonts w:ascii="Arial" w:hAnsi="Arial" w:cs="Arial"/>
          <w:b/>
          <w:bCs/>
          <w:sz w:val="24"/>
          <w:szCs w:val="24"/>
          <w:lang w:eastAsia="es-MX"/>
        </w:rPr>
        <w:t>7.3. Legitimación e interés jurídico.</w:t>
      </w:r>
      <w:r w:rsidRPr="008E5B0F">
        <w:rPr>
          <w:rFonts w:ascii="Arial" w:hAnsi="Arial" w:cs="Arial"/>
          <w:sz w:val="24"/>
          <w:szCs w:val="24"/>
          <w:lang w:eastAsia="es-MX"/>
        </w:rPr>
        <w:t xml:space="preserve"> </w:t>
      </w:r>
      <w:r w:rsidRPr="008E5B0F">
        <w:rPr>
          <w:rFonts w:ascii="Arial" w:hAnsi="Arial" w:cs="Arial"/>
          <w:sz w:val="24"/>
          <w:szCs w:val="24"/>
        </w:rPr>
        <w:t xml:space="preserve">El </w:t>
      </w:r>
      <w:r w:rsidRPr="008E5B0F">
        <w:rPr>
          <w:rFonts w:ascii="Arial" w:hAnsi="Arial" w:cs="Arial"/>
          <w:i/>
          <w:iCs/>
          <w:sz w:val="24"/>
          <w:szCs w:val="24"/>
        </w:rPr>
        <w:t xml:space="preserve">juicio de la ciudadanía </w:t>
      </w:r>
      <w:r w:rsidRPr="008E5B0F">
        <w:rPr>
          <w:rFonts w:ascii="Arial" w:hAnsi="Arial" w:cs="Arial"/>
          <w:sz w:val="24"/>
          <w:szCs w:val="24"/>
        </w:rPr>
        <w:t>fue interpuesto por parte legítima, toda vez que se trata de una persona ciudadana que señala comparecer en su calidad de Regidor</w:t>
      </w:r>
      <w:r w:rsidR="00064E4A" w:rsidRPr="008E5B0F">
        <w:rPr>
          <w:rFonts w:ascii="Arial" w:hAnsi="Arial" w:cs="Arial"/>
          <w:sz w:val="24"/>
          <w:szCs w:val="24"/>
        </w:rPr>
        <w:t>a</w:t>
      </w:r>
      <w:r w:rsidRPr="008E5B0F">
        <w:rPr>
          <w:rFonts w:ascii="Arial" w:hAnsi="Arial" w:cs="Arial"/>
          <w:sz w:val="24"/>
          <w:szCs w:val="24"/>
        </w:rPr>
        <w:t xml:space="preserve"> electa del </w:t>
      </w:r>
      <w:r w:rsidRPr="008E5B0F">
        <w:rPr>
          <w:rFonts w:ascii="Arial" w:hAnsi="Arial" w:cs="Arial"/>
          <w:i/>
          <w:iCs/>
          <w:sz w:val="24"/>
          <w:szCs w:val="24"/>
        </w:rPr>
        <w:t>Ayuntamiento</w:t>
      </w:r>
      <w:r w:rsidRPr="008E5B0F">
        <w:rPr>
          <w:rFonts w:ascii="Arial" w:hAnsi="Arial" w:cs="Arial"/>
          <w:sz w:val="24"/>
          <w:szCs w:val="24"/>
        </w:rPr>
        <w:t xml:space="preserve"> dentro del </w:t>
      </w:r>
      <w:r w:rsidRPr="008E5B0F">
        <w:rPr>
          <w:rFonts w:ascii="Arial" w:hAnsi="Arial" w:cs="Arial"/>
          <w:i/>
          <w:iCs/>
          <w:sz w:val="24"/>
          <w:szCs w:val="24"/>
        </w:rPr>
        <w:t>PEL 2023-2024,</w:t>
      </w:r>
      <w:r w:rsidRPr="008E5B0F">
        <w:rPr>
          <w:rFonts w:ascii="Arial" w:hAnsi="Arial" w:cs="Arial"/>
          <w:sz w:val="24"/>
          <w:szCs w:val="24"/>
        </w:rPr>
        <w:t xml:space="preserve"> y acude en defensa de sus derechos políticos-electorales de ser votada en la vertiente del desempeño al cargo</w:t>
      </w:r>
      <w:r w:rsidRPr="008E5B0F">
        <w:rPr>
          <w:rStyle w:val="Refdenotaalpie"/>
          <w:rFonts w:ascii="Arial" w:hAnsi="Arial" w:cs="Arial"/>
          <w:sz w:val="24"/>
          <w:szCs w:val="24"/>
        </w:rPr>
        <w:footnoteReference w:id="24"/>
      </w:r>
      <w:r w:rsidRPr="008E5B0F">
        <w:rPr>
          <w:rFonts w:ascii="Arial" w:hAnsi="Arial" w:cs="Arial"/>
          <w:sz w:val="24"/>
          <w:szCs w:val="24"/>
        </w:rPr>
        <w:t>.</w:t>
      </w:r>
    </w:p>
    <w:p w14:paraId="404CFB12" w14:textId="77777777" w:rsidR="0012716D" w:rsidRPr="008E5B0F" w:rsidRDefault="001F7A3E">
      <w:pPr>
        <w:spacing w:before="240" w:after="0" w:line="360" w:lineRule="auto"/>
        <w:jc w:val="both"/>
        <w:rPr>
          <w:rFonts w:ascii="Arial" w:hAnsi="Arial" w:cs="Arial"/>
          <w:sz w:val="24"/>
          <w:szCs w:val="24"/>
        </w:rPr>
      </w:pPr>
      <w:r w:rsidRPr="008E5B0F">
        <w:rPr>
          <w:rFonts w:ascii="Arial" w:hAnsi="Arial" w:cs="Arial"/>
          <w:b/>
          <w:bCs/>
          <w:sz w:val="24"/>
          <w:szCs w:val="24"/>
        </w:rPr>
        <w:t>7.4. Definitividad.</w:t>
      </w:r>
      <w:r w:rsidRPr="008E5B0F">
        <w:rPr>
          <w:rFonts w:ascii="Arial" w:hAnsi="Arial" w:cs="Arial"/>
          <w:sz w:val="24"/>
          <w:szCs w:val="24"/>
        </w:rPr>
        <w:t xml:space="preserve"> Se tiene por cumplido, porque no existe medio de defensa que deba ser agotado previo a acudir a esta instancia.</w:t>
      </w:r>
    </w:p>
    <w:p w14:paraId="404CFB13"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Una vez satisfechos los requisitos de procedibilidad del juicio que nos ocupa, se analizará el fondo del asunto.</w:t>
      </w:r>
    </w:p>
    <w:p w14:paraId="404CFB14" w14:textId="77777777" w:rsidR="0012716D" w:rsidRPr="008E5B0F" w:rsidRDefault="001E741F">
      <w:pPr>
        <w:pStyle w:val="Ttulo2"/>
        <w:spacing w:before="100" w:beforeAutospacing="1" w:after="100" w:afterAutospacing="1" w:line="360" w:lineRule="auto"/>
        <w:jc w:val="center"/>
        <w:rPr>
          <w:rFonts w:ascii="Arial" w:hAnsi="Arial" w:cs="Arial"/>
          <w:b/>
          <w:bCs/>
          <w:color w:val="auto"/>
          <w:sz w:val="24"/>
          <w:szCs w:val="24"/>
          <w:lang w:eastAsia="es-MX"/>
        </w:rPr>
      </w:pPr>
      <w:bookmarkStart w:id="10" w:name="_Toc173592110"/>
      <w:bookmarkStart w:id="11" w:name="_Toc211690212"/>
      <w:r w:rsidRPr="008E5B0F">
        <w:rPr>
          <w:rFonts w:ascii="Arial" w:hAnsi="Arial" w:cs="Arial"/>
          <w:b/>
          <w:bCs/>
          <w:color w:val="auto"/>
          <w:sz w:val="24"/>
          <w:szCs w:val="24"/>
          <w:lang w:eastAsia="es-MX"/>
        </w:rPr>
        <w:lastRenderedPageBreak/>
        <w:t>VI</w:t>
      </w:r>
      <w:r w:rsidR="00731F40" w:rsidRPr="008E5B0F">
        <w:rPr>
          <w:rFonts w:ascii="Arial" w:hAnsi="Arial" w:cs="Arial"/>
          <w:b/>
          <w:bCs/>
          <w:color w:val="auto"/>
          <w:sz w:val="24"/>
          <w:szCs w:val="24"/>
          <w:lang w:eastAsia="es-MX"/>
        </w:rPr>
        <w:t>I</w:t>
      </w:r>
      <w:r w:rsidRPr="008E5B0F">
        <w:rPr>
          <w:rFonts w:ascii="Arial" w:hAnsi="Arial" w:cs="Arial"/>
          <w:b/>
          <w:bCs/>
          <w:color w:val="auto"/>
          <w:sz w:val="24"/>
          <w:szCs w:val="24"/>
          <w:lang w:eastAsia="es-MX"/>
        </w:rPr>
        <w:t>I. ESTUDIO DE FONDO</w:t>
      </w:r>
      <w:bookmarkEnd w:id="10"/>
      <w:bookmarkEnd w:id="11"/>
    </w:p>
    <w:p w14:paraId="404CFB15" w14:textId="77777777" w:rsidR="0012716D" w:rsidRPr="008E5B0F" w:rsidRDefault="001F7A3E">
      <w:pPr>
        <w:pStyle w:val="Ttulo2"/>
        <w:spacing w:before="240"/>
        <w:jc w:val="both"/>
        <w:rPr>
          <w:rFonts w:ascii="Arial" w:hAnsi="Arial" w:cs="Arial"/>
          <w:b/>
          <w:bCs/>
          <w:color w:val="auto"/>
          <w:sz w:val="24"/>
          <w:szCs w:val="24"/>
          <w:lang w:eastAsia="es-MX"/>
        </w:rPr>
      </w:pPr>
      <w:bookmarkStart w:id="12" w:name="_Toc211690213"/>
      <w:bookmarkStart w:id="13" w:name="_Toc173592111"/>
      <w:r w:rsidRPr="008E5B0F">
        <w:rPr>
          <w:rFonts w:ascii="Arial" w:hAnsi="Arial" w:cs="Arial"/>
          <w:b/>
          <w:bCs/>
          <w:color w:val="auto"/>
          <w:sz w:val="24"/>
          <w:szCs w:val="24"/>
          <w:lang w:eastAsia="es-MX"/>
        </w:rPr>
        <w:t>8.1. Contexto del caso concreto</w:t>
      </w:r>
      <w:bookmarkEnd w:id="12"/>
    </w:p>
    <w:p w14:paraId="404CFB16"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El tres de septiembre,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 xml:space="preserve">actora </w:t>
      </w:r>
      <w:r w:rsidRPr="008E5B0F">
        <w:rPr>
          <w:rFonts w:ascii="Arial" w:hAnsi="Arial" w:cs="Arial"/>
          <w:sz w:val="24"/>
          <w:szCs w:val="24"/>
        </w:rPr>
        <w:t>presentó escrito</w:t>
      </w:r>
      <w:r w:rsidRPr="008E5B0F">
        <w:rPr>
          <w:rStyle w:val="Refdenotaalpie"/>
          <w:rFonts w:ascii="Arial" w:hAnsi="Arial" w:cs="Arial"/>
          <w:sz w:val="24"/>
          <w:szCs w:val="24"/>
        </w:rPr>
        <w:footnoteReference w:id="25"/>
      </w:r>
      <w:r w:rsidRPr="008E5B0F">
        <w:rPr>
          <w:rFonts w:ascii="Arial" w:hAnsi="Arial" w:cs="Arial"/>
          <w:sz w:val="24"/>
          <w:szCs w:val="24"/>
        </w:rPr>
        <w:t xml:space="preserve"> mediante el que informó al </w:t>
      </w:r>
      <w:r w:rsidRPr="008E5B0F">
        <w:rPr>
          <w:rFonts w:ascii="Arial" w:hAnsi="Arial" w:cs="Arial"/>
          <w:i/>
          <w:iCs/>
          <w:sz w:val="24"/>
          <w:szCs w:val="24"/>
        </w:rPr>
        <w:t>Presidente Municipal</w:t>
      </w:r>
      <w:r w:rsidRPr="008E5B0F">
        <w:rPr>
          <w:rFonts w:ascii="Arial" w:hAnsi="Arial" w:cs="Arial"/>
          <w:sz w:val="24"/>
          <w:szCs w:val="24"/>
        </w:rPr>
        <w:t xml:space="preserve"> su incorporación como Regidora Propietaria con efectos a partir de esa misma fecha, cargo para </w:t>
      </w:r>
      <w:r w:rsidR="00D820D5" w:rsidRPr="008E5B0F">
        <w:rPr>
          <w:rFonts w:ascii="Arial" w:hAnsi="Arial" w:cs="Arial"/>
          <w:sz w:val="24"/>
          <w:szCs w:val="24"/>
        </w:rPr>
        <w:t xml:space="preserve">el </w:t>
      </w:r>
      <w:r w:rsidRPr="008E5B0F">
        <w:rPr>
          <w:rFonts w:ascii="Arial" w:hAnsi="Arial" w:cs="Arial"/>
          <w:sz w:val="24"/>
          <w:szCs w:val="24"/>
        </w:rPr>
        <w:t xml:space="preserve">que señala fue </w:t>
      </w:r>
      <w:r w:rsidR="00D820D5" w:rsidRPr="008E5B0F">
        <w:rPr>
          <w:rFonts w:ascii="Arial" w:hAnsi="Arial" w:cs="Arial"/>
          <w:sz w:val="24"/>
          <w:szCs w:val="24"/>
        </w:rPr>
        <w:t>electa</w:t>
      </w:r>
      <w:r w:rsidRPr="008E5B0F">
        <w:rPr>
          <w:rFonts w:ascii="Arial" w:hAnsi="Arial" w:cs="Arial"/>
          <w:sz w:val="24"/>
          <w:szCs w:val="24"/>
        </w:rPr>
        <w:t xml:space="preserve"> durante el </w:t>
      </w:r>
      <w:r w:rsidRPr="008E5B0F">
        <w:rPr>
          <w:rFonts w:ascii="Arial" w:hAnsi="Arial" w:cs="Arial"/>
          <w:i/>
          <w:iCs/>
          <w:sz w:val="24"/>
          <w:szCs w:val="24"/>
        </w:rPr>
        <w:t>PEL 2023-2024</w:t>
      </w:r>
      <w:r w:rsidRPr="008E5B0F">
        <w:rPr>
          <w:rFonts w:ascii="Arial" w:hAnsi="Arial" w:cs="Arial"/>
          <w:sz w:val="24"/>
          <w:szCs w:val="24"/>
        </w:rPr>
        <w:t xml:space="preserve">. Asimismo, le solicitó se le convoque para la siguiente sesión de Cabildo con la finalidad de tomarle protesta de ley. </w:t>
      </w:r>
    </w:p>
    <w:p w14:paraId="404CFB17"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En respuesta, el cinco siguiente, la Secretaria del </w:t>
      </w:r>
      <w:r w:rsidRPr="008E5B0F">
        <w:rPr>
          <w:rFonts w:ascii="Arial" w:hAnsi="Arial" w:cs="Arial"/>
          <w:i/>
          <w:iCs/>
          <w:sz w:val="24"/>
          <w:szCs w:val="24"/>
        </w:rPr>
        <w:t xml:space="preserve">Ayuntamiento </w:t>
      </w:r>
      <w:r w:rsidRPr="008E5B0F">
        <w:rPr>
          <w:rFonts w:ascii="Arial" w:hAnsi="Arial" w:cs="Arial"/>
          <w:sz w:val="24"/>
          <w:szCs w:val="24"/>
        </w:rPr>
        <w:t xml:space="preserve">—por instrucciones del </w:t>
      </w:r>
      <w:r w:rsidRPr="008E5B0F">
        <w:rPr>
          <w:rFonts w:ascii="Arial" w:hAnsi="Arial" w:cs="Arial"/>
          <w:i/>
          <w:iCs/>
          <w:sz w:val="24"/>
          <w:szCs w:val="24"/>
        </w:rPr>
        <w:t>Presidente Municipal</w:t>
      </w:r>
      <w:r w:rsidRPr="008E5B0F">
        <w:rPr>
          <w:rFonts w:ascii="Arial" w:hAnsi="Arial" w:cs="Arial"/>
          <w:sz w:val="24"/>
          <w:szCs w:val="24"/>
        </w:rPr>
        <w:t>— emitió respuesta</w:t>
      </w:r>
      <w:r w:rsidRPr="008E5B0F">
        <w:rPr>
          <w:rStyle w:val="Refdenotaalpie"/>
          <w:rFonts w:ascii="Arial" w:hAnsi="Arial" w:cs="Arial"/>
          <w:sz w:val="24"/>
          <w:szCs w:val="24"/>
        </w:rPr>
        <w:footnoteReference w:id="26"/>
      </w:r>
      <w:r w:rsidRPr="008E5B0F">
        <w:rPr>
          <w:rFonts w:ascii="Arial" w:hAnsi="Arial" w:cs="Arial"/>
          <w:sz w:val="24"/>
          <w:szCs w:val="24"/>
        </w:rPr>
        <w:t xml:space="preserve">, en la que  hizo de su conocimiento que no era de su competencia determinar y emitir cargos de elección popular, ni resoluciones para hacer efectiva la garantía de audiencia y legalidad previstas en la ley electoral, pues la </w:t>
      </w:r>
      <w:r w:rsidRPr="008E5B0F">
        <w:rPr>
          <w:rFonts w:ascii="Arial" w:hAnsi="Arial" w:cs="Arial"/>
          <w:i/>
          <w:iCs/>
          <w:sz w:val="24"/>
          <w:szCs w:val="24"/>
        </w:rPr>
        <w:t>parte actora</w:t>
      </w:r>
      <w:r w:rsidRPr="008E5B0F">
        <w:rPr>
          <w:rFonts w:ascii="Arial" w:hAnsi="Arial" w:cs="Arial"/>
          <w:sz w:val="24"/>
          <w:szCs w:val="24"/>
        </w:rPr>
        <w:t xml:space="preserve"> pretendía acreditar fuera de tiempo ser Regidora Propietaria, queriendo ejercer un derecho sin apegarse a la normativa y procedimientos electorales.</w:t>
      </w:r>
    </w:p>
    <w:p w14:paraId="404CFB18"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Inconforme con el oficio de respuesta y al considerar que las </w:t>
      </w:r>
      <w:r w:rsidRPr="008E5B0F">
        <w:rPr>
          <w:rFonts w:ascii="Arial" w:hAnsi="Arial" w:cs="Arial"/>
          <w:i/>
          <w:iCs/>
          <w:sz w:val="24"/>
          <w:szCs w:val="24"/>
        </w:rPr>
        <w:t>autoridades responsables</w:t>
      </w:r>
      <w:r w:rsidRPr="008E5B0F">
        <w:rPr>
          <w:rFonts w:ascii="Arial" w:hAnsi="Arial" w:cs="Arial"/>
          <w:sz w:val="24"/>
          <w:szCs w:val="24"/>
        </w:rPr>
        <w:t xml:space="preserve"> han sido omisas en realizar los trámites administrativos necesarios para su alta jurídico-administrativa, así como llamarla a integrar el </w:t>
      </w:r>
      <w:r w:rsidRPr="008E5B0F">
        <w:rPr>
          <w:rFonts w:ascii="Arial" w:hAnsi="Arial" w:cs="Arial"/>
          <w:i/>
          <w:iCs/>
          <w:sz w:val="24"/>
          <w:szCs w:val="24"/>
        </w:rPr>
        <w:t>Ayuntamiento</w:t>
      </w:r>
      <w:r w:rsidRPr="008E5B0F">
        <w:rPr>
          <w:rFonts w:ascii="Arial" w:hAnsi="Arial" w:cs="Arial"/>
          <w:sz w:val="24"/>
          <w:szCs w:val="24"/>
        </w:rPr>
        <w:t xml:space="preserve">, es que presentó el </w:t>
      </w:r>
      <w:r w:rsidRPr="008E5B0F">
        <w:rPr>
          <w:rFonts w:ascii="Arial" w:hAnsi="Arial" w:cs="Arial"/>
          <w:i/>
          <w:iCs/>
          <w:sz w:val="24"/>
          <w:szCs w:val="24"/>
        </w:rPr>
        <w:t xml:space="preserve">juicio de la ciudadanía </w:t>
      </w:r>
      <w:r w:rsidRPr="008E5B0F">
        <w:rPr>
          <w:rFonts w:ascii="Arial" w:hAnsi="Arial" w:cs="Arial"/>
          <w:sz w:val="24"/>
          <w:szCs w:val="24"/>
        </w:rPr>
        <w:t xml:space="preserve">en estudio, señalando expresamente como responsables al </w:t>
      </w:r>
      <w:r w:rsidRPr="008E5B0F">
        <w:rPr>
          <w:rFonts w:ascii="Arial" w:hAnsi="Arial" w:cs="Arial"/>
          <w:i/>
          <w:iCs/>
          <w:sz w:val="24"/>
          <w:szCs w:val="24"/>
        </w:rPr>
        <w:t xml:space="preserve">Presidente Municipal, </w:t>
      </w:r>
      <w:r w:rsidRPr="008E5B0F">
        <w:rPr>
          <w:rFonts w:ascii="Arial" w:hAnsi="Arial" w:cs="Arial"/>
          <w:sz w:val="24"/>
          <w:szCs w:val="24"/>
        </w:rPr>
        <w:t xml:space="preserve">la </w:t>
      </w:r>
      <w:r w:rsidRPr="008E5B0F">
        <w:rPr>
          <w:rFonts w:ascii="Arial" w:hAnsi="Arial" w:cs="Arial"/>
          <w:i/>
          <w:iCs/>
          <w:sz w:val="24"/>
          <w:szCs w:val="24"/>
        </w:rPr>
        <w:t>Secretaria</w:t>
      </w:r>
      <w:r w:rsidRPr="008E5B0F">
        <w:rPr>
          <w:rFonts w:ascii="Arial" w:hAnsi="Arial" w:cs="Arial"/>
          <w:sz w:val="24"/>
          <w:szCs w:val="24"/>
        </w:rPr>
        <w:t xml:space="preserve"> y el </w:t>
      </w:r>
      <w:r w:rsidRPr="008E5B0F">
        <w:rPr>
          <w:rFonts w:ascii="Arial" w:hAnsi="Arial" w:cs="Arial"/>
          <w:i/>
          <w:iCs/>
          <w:sz w:val="24"/>
          <w:szCs w:val="24"/>
        </w:rPr>
        <w:t>Tesorero</w:t>
      </w:r>
      <w:r w:rsidRPr="008E5B0F">
        <w:rPr>
          <w:rFonts w:ascii="Arial" w:hAnsi="Arial" w:cs="Arial"/>
          <w:sz w:val="24"/>
          <w:szCs w:val="24"/>
        </w:rPr>
        <w:t>.</w:t>
      </w:r>
    </w:p>
    <w:p w14:paraId="404CFB19" w14:textId="77777777" w:rsidR="0012716D" w:rsidRPr="008E5B0F" w:rsidRDefault="001F7A3E" w:rsidP="00B331EC">
      <w:pPr>
        <w:pStyle w:val="Ttulo2"/>
        <w:spacing w:before="240" w:line="360" w:lineRule="auto"/>
        <w:jc w:val="both"/>
        <w:rPr>
          <w:rFonts w:ascii="Arial" w:hAnsi="Arial" w:cs="Arial"/>
          <w:b/>
          <w:bCs/>
          <w:color w:val="auto"/>
          <w:sz w:val="24"/>
          <w:szCs w:val="24"/>
          <w:lang w:eastAsia="es-MX"/>
        </w:rPr>
      </w:pPr>
      <w:bookmarkStart w:id="14" w:name="_Toc211690214"/>
      <w:r w:rsidRPr="008E5B0F">
        <w:rPr>
          <w:rFonts w:ascii="Arial" w:hAnsi="Arial" w:cs="Arial"/>
          <w:b/>
          <w:bCs/>
          <w:color w:val="auto"/>
          <w:sz w:val="24"/>
          <w:szCs w:val="24"/>
          <w:lang w:eastAsia="es-MX"/>
        </w:rPr>
        <w:t>8.2. Agravios</w:t>
      </w:r>
      <w:bookmarkEnd w:id="13"/>
      <w:bookmarkEnd w:id="14"/>
      <w:r w:rsidRPr="008E5B0F">
        <w:rPr>
          <w:rFonts w:ascii="Arial" w:hAnsi="Arial" w:cs="Arial"/>
          <w:b/>
          <w:bCs/>
          <w:color w:val="auto"/>
          <w:sz w:val="24"/>
          <w:szCs w:val="24"/>
          <w:lang w:eastAsia="es-MX"/>
        </w:rPr>
        <w:t xml:space="preserve"> </w:t>
      </w:r>
    </w:p>
    <w:p w14:paraId="404CFB1A" w14:textId="77777777" w:rsidR="0012716D" w:rsidRPr="008E5B0F" w:rsidRDefault="001E741F">
      <w:pPr>
        <w:spacing w:before="100" w:beforeAutospacing="1" w:after="100" w:afterAutospacing="1" w:line="360" w:lineRule="auto"/>
        <w:jc w:val="both"/>
        <w:rPr>
          <w:rFonts w:ascii="Arial" w:eastAsia="Arial" w:hAnsi="Arial" w:cs="Arial"/>
          <w:sz w:val="24"/>
          <w:szCs w:val="24"/>
        </w:rPr>
      </w:pPr>
      <w:r w:rsidRPr="008E5B0F">
        <w:rPr>
          <w:rFonts w:ascii="Arial" w:eastAsia="Arial" w:hAnsi="Arial" w:cs="Arial"/>
          <w:sz w:val="24"/>
          <w:szCs w:val="24"/>
        </w:rPr>
        <w:t xml:space="preserve">Ahora bien, conforme a la norma contenida en el artículo 32, fracción II, de la </w:t>
      </w:r>
      <w:r w:rsidRPr="008E5B0F">
        <w:rPr>
          <w:rFonts w:ascii="Arial" w:eastAsia="Arial" w:hAnsi="Arial" w:cs="Arial"/>
          <w:i/>
          <w:iCs/>
          <w:sz w:val="24"/>
          <w:szCs w:val="24"/>
        </w:rPr>
        <w:t>Ley de Justicia Electoral</w:t>
      </w:r>
      <w:r w:rsidRPr="008E5B0F">
        <w:rPr>
          <w:rFonts w:ascii="Arial" w:eastAsia="Arial" w:hAnsi="Arial" w:cs="Arial"/>
          <w:sz w:val="24"/>
          <w:szCs w:val="24"/>
        </w:rPr>
        <w:t xml:space="preserve">, se hace una síntesis de los agravios esgrimidos por la </w:t>
      </w:r>
      <w:r w:rsidRPr="008E5B0F">
        <w:rPr>
          <w:rFonts w:ascii="Arial" w:eastAsia="Arial" w:hAnsi="Arial" w:cs="Arial"/>
          <w:i/>
          <w:iCs/>
          <w:sz w:val="24"/>
          <w:szCs w:val="24"/>
        </w:rPr>
        <w:t xml:space="preserve">actora, </w:t>
      </w:r>
      <w:r w:rsidRPr="008E5B0F">
        <w:rPr>
          <w:rFonts w:ascii="Arial" w:eastAsia="Arial" w:hAnsi="Arial" w:cs="Arial"/>
          <w:sz w:val="24"/>
          <w:szCs w:val="24"/>
        </w:rPr>
        <w:t xml:space="preserve">sin que se desconozca el deber que tiene este </w:t>
      </w:r>
      <w:r w:rsidRPr="008E5B0F">
        <w:rPr>
          <w:rFonts w:ascii="Arial" w:eastAsia="Arial" w:hAnsi="Arial" w:cs="Arial"/>
          <w:i/>
          <w:iCs/>
          <w:sz w:val="24"/>
          <w:szCs w:val="24"/>
        </w:rPr>
        <w:t>órgano jurisdiccional</w:t>
      </w:r>
      <w:r w:rsidRPr="008E5B0F">
        <w:rPr>
          <w:rFonts w:ascii="Arial" w:eastAsia="Arial" w:hAnsi="Arial" w:cs="Arial"/>
          <w:sz w:val="24"/>
          <w:szCs w:val="24"/>
        </w:rPr>
        <w:t xml:space="preserve"> para examinar e interpretar íntegramente la demanda respectiva, a fin de identificar los motivos de disenso expuestos, con el objeto de llevar a cabo su análisis, siempre y cuando se haya expresado con claridad la causa de pedir</w:t>
      </w:r>
      <w:r w:rsidRPr="008E5B0F">
        <w:rPr>
          <w:rStyle w:val="Refdenotaalpie"/>
          <w:rFonts w:ascii="Arial" w:eastAsia="Arial" w:hAnsi="Arial" w:cs="Arial"/>
          <w:i/>
          <w:iCs/>
          <w:sz w:val="24"/>
          <w:szCs w:val="24"/>
        </w:rPr>
        <w:footnoteReference w:id="27"/>
      </w:r>
      <w:r w:rsidRPr="008E5B0F">
        <w:rPr>
          <w:rFonts w:ascii="Arial" w:eastAsia="Arial" w:hAnsi="Arial" w:cs="Arial"/>
          <w:i/>
          <w:iCs/>
          <w:sz w:val="24"/>
          <w:szCs w:val="24"/>
        </w:rPr>
        <w:t>.</w:t>
      </w:r>
    </w:p>
    <w:p w14:paraId="404CFB1B"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eastAsia="Arial" w:hAnsi="Arial" w:cs="Arial"/>
          <w:sz w:val="24"/>
          <w:szCs w:val="24"/>
        </w:rPr>
        <w:lastRenderedPageBreak/>
        <w:t xml:space="preserve">De ahí que, del escrito de demanda se advierta que </w:t>
      </w:r>
      <w:r w:rsidRPr="008E5B0F">
        <w:rPr>
          <w:rFonts w:ascii="Arial" w:hAnsi="Arial" w:cs="Arial"/>
          <w:sz w:val="24"/>
          <w:szCs w:val="24"/>
        </w:rPr>
        <w:t xml:space="preserve">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en esencia, hace valer la vulneración a su derecho político-electoral de ser votada atribuida a las </w:t>
      </w:r>
      <w:r w:rsidRPr="008E5B0F">
        <w:rPr>
          <w:rFonts w:ascii="Arial" w:hAnsi="Arial" w:cs="Arial"/>
          <w:i/>
          <w:iCs/>
          <w:sz w:val="24"/>
          <w:szCs w:val="24"/>
        </w:rPr>
        <w:t>autoridades responsables</w:t>
      </w:r>
      <w:r w:rsidRPr="008E5B0F">
        <w:rPr>
          <w:rFonts w:ascii="Arial" w:hAnsi="Arial" w:cs="Arial"/>
          <w:sz w:val="24"/>
          <w:szCs w:val="24"/>
        </w:rPr>
        <w:t xml:space="preserve"> por:</w:t>
      </w:r>
    </w:p>
    <w:p w14:paraId="404CFB1C" w14:textId="77777777" w:rsidR="0012716D" w:rsidRPr="008E5B0F" w:rsidRDefault="001E741F">
      <w:pPr>
        <w:pStyle w:val="Prrafodelista"/>
        <w:numPr>
          <w:ilvl w:val="0"/>
          <w:numId w:val="2"/>
        </w:num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Impedir su acceso al cargo de Regidora Propietaria por el principio de Representación Proporcional, para el que señala fue electa en el </w:t>
      </w:r>
      <w:r w:rsidRPr="008E5B0F">
        <w:rPr>
          <w:rFonts w:ascii="Arial" w:hAnsi="Arial" w:cs="Arial"/>
          <w:i/>
          <w:iCs/>
          <w:sz w:val="24"/>
          <w:szCs w:val="24"/>
        </w:rPr>
        <w:t>PEL 2023-2024</w:t>
      </w:r>
      <w:r w:rsidRPr="008E5B0F">
        <w:rPr>
          <w:rFonts w:ascii="Arial" w:hAnsi="Arial" w:cs="Arial"/>
          <w:sz w:val="24"/>
          <w:szCs w:val="24"/>
        </w:rPr>
        <w:t xml:space="preserve">, pues refiere no ha sido llamada a integrar el </w:t>
      </w:r>
      <w:r w:rsidRPr="008E5B0F">
        <w:rPr>
          <w:rFonts w:ascii="Arial" w:hAnsi="Arial" w:cs="Arial"/>
          <w:i/>
          <w:iCs/>
          <w:sz w:val="24"/>
          <w:szCs w:val="24"/>
        </w:rPr>
        <w:t>Ayuntamiento</w:t>
      </w:r>
      <w:r w:rsidRPr="008E5B0F">
        <w:rPr>
          <w:rFonts w:ascii="Arial" w:hAnsi="Arial" w:cs="Arial"/>
          <w:sz w:val="24"/>
          <w:szCs w:val="24"/>
        </w:rPr>
        <w:t xml:space="preserve"> y ella no ha renunciado, así como la omisión de realizar los trámites correspondientes para su alta jurídico-administrativa, con efectos a partir del tres de septiembre, fecha de su escrito de incorporación, al considerar que es su derecho constitucional ejercer el cargo con todas las prerrogativas inherentes.</w:t>
      </w:r>
    </w:p>
    <w:p w14:paraId="404CFB1D" w14:textId="77777777" w:rsidR="0012716D" w:rsidRPr="008E5B0F" w:rsidRDefault="0012716D">
      <w:pPr>
        <w:pStyle w:val="Prrafodelista"/>
        <w:spacing w:before="100" w:beforeAutospacing="1" w:after="100" w:afterAutospacing="1" w:line="360" w:lineRule="auto"/>
        <w:jc w:val="both"/>
        <w:rPr>
          <w:rFonts w:ascii="Arial" w:hAnsi="Arial" w:cs="Arial"/>
          <w:sz w:val="24"/>
          <w:szCs w:val="24"/>
        </w:rPr>
      </w:pPr>
    </w:p>
    <w:p w14:paraId="404CFB1E" w14:textId="77777777" w:rsidR="0012716D" w:rsidRPr="008E5B0F" w:rsidRDefault="001E741F">
      <w:pPr>
        <w:pStyle w:val="Prrafodelista"/>
        <w:numPr>
          <w:ilvl w:val="0"/>
          <w:numId w:val="2"/>
        </w:num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Falta o indebida fundamentación y motivación del </w:t>
      </w:r>
      <w:r w:rsidRPr="008E5B0F">
        <w:rPr>
          <w:rFonts w:ascii="Arial" w:hAnsi="Arial" w:cs="Arial"/>
          <w:i/>
          <w:iCs/>
          <w:sz w:val="24"/>
          <w:szCs w:val="24"/>
        </w:rPr>
        <w:t>oficio impugnado</w:t>
      </w:r>
      <w:r w:rsidRPr="008E5B0F">
        <w:rPr>
          <w:rFonts w:ascii="Arial" w:hAnsi="Arial" w:cs="Arial"/>
          <w:sz w:val="24"/>
          <w:szCs w:val="24"/>
        </w:rPr>
        <w:t>,</w:t>
      </w:r>
      <w:r w:rsidRPr="008E5B0F">
        <w:rPr>
          <w:rFonts w:ascii="Arial" w:hAnsi="Arial" w:cs="Arial"/>
          <w:i/>
          <w:iCs/>
          <w:sz w:val="24"/>
          <w:szCs w:val="24"/>
        </w:rPr>
        <w:t xml:space="preserve"> </w:t>
      </w:r>
      <w:r w:rsidRPr="008E5B0F">
        <w:rPr>
          <w:rFonts w:ascii="Arial" w:hAnsi="Arial" w:cs="Arial"/>
          <w:sz w:val="24"/>
          <w:szCs w:val="24"/>
        </w:rPr>
        <w:t>ya que, considera, no se exponen de manera clara y precisa las razones fácticas y jurídicas que justifiquen la negativa de incorporarla al cargo de Regidora Propietaria.</w:t>
      </w:r>
    </w:p>
    <w:p w14:paraId="404CFB1F" w14:textId="77777777" w:rsidR="0012716D" w:rsidRPr="008E5B0F" w:rsidRDefault="0012716D">
      <w:pPr>
        <w:pStyle w:val="Prrafodelista"/>
        <w:spacing w:before="100" w:beforeAutospacing="1" w:after="100" w:afterAutospacing="1" w:line="360" w:lineRule="auto"/>
        <w:jc w:val="both"/>
        <w:rPr>
          <w:rFonts w:ascii="Arial" w:hAnsi="Arial" w:cs="Arial"/>
          <w:sz w:val="24"/>
          <w:szCs w:val="24"/>
        </w:rPr>
      </w:pPr>
    </w:p>
    <w:p w14:paraId="404CFB20" w14:textId="77777777" w:rsidR="0012716D" w:rsidRPr="008E5B0F" w:rsidRDefault="001E741F">
      <w:pPr>
        <w:pStyle w:val="Prrafodelista"/>
        <w:numPr>
          <w:ilvl w:val="0"/>
          <w:numId w:val="2"/>
        </w:num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Violación a los principios de certeza y legalidad contenidos en los artículos 14 y 16 de la </w:t>
      </w:r>
      <w:r w:rsidRPr="008E5B0F">
        <w:rPr>
          <w:rFonts w:ascii="Arial" w:hAnsi="Arial" w:cs="Arial"/>
          <w:i/>
          <w:iCs/>
          <w:sz w:val="24"/>
          <w:szCs w:val="24"/>
        </w:rPr>
        <w:t>Constitución General</w:t>
      </w:r>
      <w:r w:rsidRPr="008E5B0F">
        <w:rPr>
          <w:rFonts w:ascii="Arial" w:hAnsi="Arial" w:cs="Arial"/>
          <w:sz w:val="24"/>
          <w:szCs w:val="24"/>
        </w:rPr>
        <w:t xml:space="preserve">, al señalar en el </w:t>
      </w:r>
      <w:r w:rsidRPr="008E5B0F">
        <w:rPr>
          <w:rFonts w:ascii="Arial" w:hAnsi="Arial" w:cs="Arial"/>
          <w:i/>
          <w:iCs/>
          <w:sz w:val="24"/>
          <w:szCs w:val="24"/>
        </w:rPr>
        <w:t>oficio impugnado</w:t>
      </w:r>
      <w:r w:rsidRPr="008E5B0F">
        <w:rPr>
          <w:rFonts w:ascii="Arial" w:hAnsi="Arial" w:cs="Arial"/>
          <w:sz w:val="24"/>
          <w:szCs w:val="24"/>
        </w:rPr>
        <w:t>, que existe temporalidad para ejercer el cargo de Regidora Propietaria, aduciendo que su pretensión se hizo fuera de tiempo.</w:t>
      </w:r>
    </w:p>
    <w:p w14:paraId="404CFB21" w14:textId="77777777" w:rsidR="0012716D" w:rsidRPr="008E5B0F" w:rsidRDefault="0063771D">
      <w:pPr>
        <w:pStyle w:val="Ttulo2"/>
        <w:jc w:val="both"/>
        <w:rPr>
          <w:rFonts w:ascii="Arial" w:hAnsi="Arial" w:cs="Arial"/>
          <w:b/>
          <w:bCs/>
          <w:color w:val="auto"/>
          <w:sz w:val="24"/>
          <w:szCs w:val="24"/>
        </w:rPr>
      </w:pPr>
      <w:bookmarkStart w:id="15" w:name="_Toc211690215"/>
      <w:bookmarkStart w:id="16" w:name="_Toc173592112"/>
      <w:r w:rsidRPr="008E5B0F">
        <w:rPr>
          <w:rFonts w:ascii="Arial" w:hAnsi="Arial" w:cs="Arial"/>
          <w:b/>
          <w:bCs/>
          <w:color w:val="auto"/>
          <w:sz w:val="24"/>
          <w:szCs w:val="24"/>
        </w:rPr>
        <w:t>8.3. Pretensión</w:t>
      </w:r>
      <w:bookmarkEnd w:id="15"/>
    </w:p>
    <w:p w14:paraId="404CFB22"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La pretensión de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consiste en que se le reconozca su calidad de Regidora Propietaria por el principio de Representación Proporcional, para el que señala fue electa durante el </w:t>
      </w:r>
      <w:r w:rsidRPr="008E5B0F">
        <w:rPr>
          <w:rFonts w:ascii="Arial" w:hAnsi="Arial" w:cs="Arial"/>
          <w:i/>
          <w:iCs/>
          <w:sz w:val="24"/>
          <w:szCs w:val="24"/>
        </w:rPr>
        <w:t>PEL 2023-2024</w:t>
      </w:r>
      <w:r w:rsidRPr="008E5B0F">
        <w:rPr>
          <w:rFonts w:ascii="Arial" w:hAnsi="Arial" w:cs="Arial"/>
          <w:sz w:val="24"/>
          <w:szCs w:val="24"/>
        </w:rPr>
        <w:t>; y, en consecuencia, se le llame a integrarlo, así como que se realicen los trámites administrativos necesarios para su alta, con efectos a partir de su solicitud de incorporación de tres de septiembre.</w:t>
      </w:r>
    </w:p>
    <w:p w14:paraId="404CFB23" w14:textId="77777777" w:rsidR="0012716D" w:rsidRPr="008E5B0F" w:rsidRDefault="0063771D">
      <w:pPr>
        <w:pStyle w:val="Ttulo2"/>
        <w:jc w:val="both"/>
        <w:rPr>
          <w:rFonts w:ascii="Arial" w:hAnsi="Arial" w:cs="Arial"/>
          <w:b/>
          <w:bCs/>
          <w:color w:val="auto"/>
          <w:sz w:val="24"/>
          <w:szCs w:val="24"/>
          <w:lang w:eastAsia="es-MX"/>
        </w:rPr>
      </w:pPr>
      <w:bookmarkStart w:id="17" w:name="_Toc211690216"/>
      <w:r w:rsidRPr="008E5B0F">
        <w:rPr>
          <w:rFonts w:ascii="Arial" w:hAnsi="Arial" w:cs="Arial"/>
          <w:b/>
          <w:bCs/>
          <w:color w:val="auto"/>
          <w:sz w:val="24"/>
          <w:szCs w:val="24"/>
        </w:rPr>
        <w:t>8.</w:t>
      </w:r>
      <w:bookmarkStart w:id="18" w:name="_Toc173592113"/>
      <w:bookmarkEnd w:id="16"/>
      <w:r w:rsidRPr="008E5B0F">
        <w:rPr>
          <w:rFonts w:ascii="Arial" w:hAnsi="Arial" w:cs="Arial"/>
          <w:b/>
          <w:bCs/>
          <w:color w:val="auto"/>
          <w:sz w:val="24"/>
          <w:szCs w:val="24"/>
        </w:rPr>
        <w:t>4</w:t>
      </w:r>
      <w:r w:rsidRPr="008E5B0F">
        <w:rPr>
          <w:rFonts w:ascii="Arial" w:hAnsi="Arial" w:cs="Arial"/>
          <w:b/>
          <w:bCs/>
          <w:color w:val="auto"/>
          <w:sz w:val="24"/>
          <w:szCs w:val="24"/>
          <w:lang w:eastAsia="es-MX"/>
        </w:rPr>
        <w:t>. Marco normativo</w:t>
      </w:r>
      <w:bookmarkEnd w:id="17"/>
      <w:bookmarkEnd w:id="18"/>
    </w:p>
    <w:p w14:paraId="404CFB24" w14:textId="77777777" w:rsidR="0012716D" w:rsidRPr="008E5B0F" w:rsidRDefault="0063771D">
      <w:pPr>
        <w:pStyle w:val="Prrafodelista"/>
        <w:spacing w:before="100" w:beforeAutospacing="1" w:after="100" w:afterAutospacing="1" w:line="360" w:lineRule="auto"/>
        <w:ind w:left="0"/>
        <w:jc w:val="both"/>
        <w:rPr>
          <w:rFonts w:ascii="Arial" w:hAnsi="Arial" w:cs="Arial"/>
          <w:b/>
          <w:bCs/>
          <w:sz w:val="24"/>
          <w:szCs w:val="24"/>
        </w:rPr>
      </w:pPr>
      <w:r w:rsidRPr="008E5B0F">
        <w:rPr>
          <w:rFonts w:ascii="Arial" w:hAnsi="Arial" w:cs="Arial"/>
          <w:b/>
          <w:bCs/>
          <w:sz w:val="24"/>
          <w:szCs w:val="24"/>
          <w:lang w:eastAsia="es-MX"/>
        </w:rPr>
        <w:t xml:space="preserve">8.4.1. </w:t>
      </w:r>
      <w:r w:rsidRPr="008E5B0F">
        <w:rPr>
          <w:rFonts w:ascii="Arial" w:hAnsi="Arial" w:cs="Arial"/>
          <w:b/>
          <w:bCs/>
          <w:sz w:val="24"/>
          <w:szCs w:val="24"/>
        </w:rPr>
        <w:t>Derecho de las personas a ser votadas</w:t>
      </w:r>
    </w:p>
    <w:p w14:paraId="404CFB25" w14:textId="77777777" w:rsidR="0012716D" w:rsidRPr="008E5B0F" w:rsidRDefault="001E741F">
      <w:pPr>
        <w:spacing w:before="100" w:beforeAutospacing="1" w:after="100" w:afterAutospacing="1" w:line="360" w:lineRule="auto"/>
        <w:jc w:val="both"/>
        <w:rPr>
          <w:rFonts w:ascii="Arial" w:eastAsia="Times New Roman" w:hAnsi="Arial" w:cs="Arial"/>
          <w:sz w:val="24"/>
          <w:szCs w:val="24"/>
        </w:rPr>
      </w:pPr>
      <w:r w:rsidRPr="008E5B0F">
        <w:rPr>
          <w:rFonts w:ascii="Arial" w:hAnsi="Arial" w:cs="Arial"/>
          <w:sz w:val="24"/>
          <w:szCs w:val="24"/>
        </w:rPr>
        <w:lastRenderedPageBreak/>
        <w:t xml:space="preserve">La </w:t>
      </w:r>
      <w:r w:rsidRPr="008E5B0F">
        <w:rPr>
          <w:rFonts w:ascii="Arial" w:hAnsi="Arial" w:cs="Arial"/>
          <w:i/>
          <w:iCs/>
          <w:sz w:val="24"/>
          <w:szCs w:val="24"/>
        </w:rPr>
        <w:t>Constitución General</w:t>
      </w:r>
      <w:r w:rsidRPr="008E5B0F">
        <w:rPr>
          <w:rFonts w:ascii="Arial" w:hAnsi="Arial" w:cs="Arial"/>
          <w:sz w:val="24"/>
          <w:szCs w:val="24"/>
        </w:rPr>
        <w:t>, en su artículo 35</w:t>
      </w:r>
      <w:r w:rsidRPr="008E5B0F">
        <w:rPr>
          <w:rStyle w:val="Refdenotaalpie"/>
          <w:rFonts w:ascii="Arial" w:hAnsi="Arial" w:cs="Arial"/>
          <w:sz w:val="24"/>
          <w:szCs w:val="24"/>
        </w:rPr>
        <w:footnoteReference w:id="28"/>
      </w:r>
      <w:r w:rsidRPr="008E5B0F">
        <w:rPr>
          <w:rFonts w:ascii="Arial" w:hAnsi="Arial" w:cs="Arial"/>
          <w:sz w:val="24"/>
          <w:szCs w:val="24"/>
        </w:rPr>
        <w:t>,</w:t>
      </w:r>
      <w:r w:rsidRPr="008E5B0F">
        <w:rPr>
          <w:rFonts w:ascii="Arial" w:hAnsi="Arial" w:cs="Arial"/>
          <w:b/>
          <w:bCs/>
          <w:sz w:val="24"/>
          <w:szCs w:val="24"/>
        </w:rPr>
        <w:t xml:space="preserve"> </w:t>
      </w:r>
      <w:r w:rsidRPr="008E5B0F">
        <w:rPr>
          <w:rFonts w:ascii="Arial" w:hAnsi="Arial" w:cs="Arial"/>
          <w:sz w:val="24"/>
          <w:szCs w:val="24"/>
        </w:rPr>
        <w:t xml:space="preserve">establece a favor de las personas no solo el derecho a votar, sino también a ser votadas, de ahí que la dimensión o modalidad del </w:t>
      </w:r>
      <w:r w:rsidRPr="008E5B0F">
        <w:rPr>
          <w:rFonts w:ascii="Arial" w:hAnsi="Arial" w:cs="Arial"/>
          <w:iCs/>
          <w:sz w:val="24"/>
          <w:szCs w:val="24"/>
        </w:rPr>
        <w:t>derecho a ser votado</w:t>
      </w:r>
      <w:r w:rsidRPr="008E5B0F">
        <w:rPr>
          <w:rFonts w:ascii="Arial" w:hAnsi="Arial" w:cs="Arial"/>
          <w:sz w:val="24"/>
          <w:szCs w:val="24"/>
        </w:rPr>
        <w:t xml:space="preserve"> </w:t>
      </w:r>
      <w:r w:rsidRPr="008E5B0F">
        <w:rPr>
          <w:rFonts w:ascii="Arial" w:eastAsia="Times New Roman" w:hAnsi="Arial" w:cs="Arial"/>
          <w:sz w:val="24"/>
          <w:szCs w:val="24"/>
        </w:rPr>
        <w:t>implica</w:t>
      </w:r>
      <w:r w:rsidRPr="008E5B0F">
        <w:rPr>
          <w:rFonts w:ascii="Arial" w:hAnsi="Arial" w:cs="Arial"/>
          <w:sz w:val="24"/>
          <w:szCs w:val="24"/>
        </w:rPr>
        <w:t xml:space="preserve"> que las candidaturas participen en una </w:t>
      </w:r>
      <w:r w:rsidRPr="008E5B0F">
        <w:rPr>
          <w:rFonts w:ascii="Arial" w:eastAsia="Times New Roman" w:hAnsi="Arial" w:cs="Arial"/>
          <w:sz w:val="24"/>
          <w:szCs w:val="24"/>
        </w:rPr>
        <w:t>campaña electoral y</w:t>
      </w:r>
      <w:r w:rsidRPr="008E5B0F">
        <w:rPr>
          <w:rFonts w:ascii="Arial" w:hAnsi="Arial" w:cs="Arial"/>
          <w:sz w:val="24"/>
          <w:szCs w:val="24"/>
        </w:rPr>
        <w:t xml:space="preserve">, en su caso, </w:t>
      </w:r>
      <w:r w:rsidRPr="008E5B0F">
        <w:rPr>
          <w:rFonts w:ascii="Arial" w:eastAsia="Times New Roman" w:hAnsi="Arial" w:cs="Arial"/>
          <w:sz w:val="24"/>
          <w:szCs w:val="24"/>
        </w:rPr>
        <w:t>su posterior proclamación de acuerdo con los votos efectivamente emitidos. D</w:t>
      </w:r>
      <w:r w:rsidRPr="008E5B0F">
        <w:rPr>
          <w:rFonts w:ascii="Arial" w:hAnsi="Arial" w:cs="Arial"/>
          <w:sz w:val="24"/>
          <w:szCs w:val="24"/>
        </w:rPr>
        <w:t xml:space="preserve">e igual modo, implica el derecho a </w:t>
      </w:r>
      <w:r w:rsidRPr="008E5B0F">
        <w:rPr>
          <w:rFonts w:ascii="Arial" w:eastAsia="Times New Roman" w:hAnsi="Arial" w:cs="Arial"/>
          <w:sz w:val="24"/>
          <w:szCs w:val="24"/>
        </w:rPr>
        <w:t>ocupar el cargo que la propia ciudadanía le encomendó.</w:t>
      </w:r>
    </w:p>
    <w:p w14:paraId="404CFB26" w14:textId="77777777" w:rsidR="0012716D" w:rsidRPr="008E5B0F" w:rsidRDefault="001E741F">
      <w:pPr>
        <w:spacing w:before="100" w:beforeAutospacing="1" w:after="100" w:afterAutospacing="1" w:line="360" w:lineRule="auto"/>
        <w:jc w:val="both"/>
        <w:rPr>
          <w:rFonts w:ascii="Arial" w:hAnsi="Arial" w:cs="Arial"/>
          <w:sz w:val="24"/>
          <w:szCs w:val="24"/>
          <w:lang w:val="es-ES"/>
        </w:rPr>
      </w:pPr>
      <w:r w:rsidRPr="008E5B0F">
        <w:rPr>
          <w:rFonts w:ascii="Arial" w:eastAsia="Times New Roman" w:hAnsi="Arial" w:cs="Arial"/>
          <w:sz w:val="24"/>
          <w:szCs w:val="24"/>
        </w:rPr>
        <w:t>De tal modo que, e</w:t>
      </w:r>
      <w:r w:rsidRPr="008E5B0F">
        <w:rPr>
          <w:rFonts w:ascii="Arial" w:hAnsi="Arial" w:cs="Arial"/>
          <w:sz w:val="24"/>
          <w:szCs w:val="24"/>
          <w:lang w:val="es-ES"/>
        </w:rPr>
        <w:t xml:space="preserve">l derecho a ser votado, no se limita a las etapas de selección de candidaturas </w:t>
      </w:r>
      <w:proofErr w:type="spellStart"/>
      <w:r w:rsidRPr="008E5B0F">
        <w:rPr>
          <w:rFonts w:ascii="Arial" w:hAnsi="Arial" w:cs="Arial"/>
          <w:sz w:val="24"/>
          <w:szCs w:val="24"/>
          <w:lang w:val="es-ES"/>
        </w:rPr>
        <w:t>intrapartidistas</w:t>
      </w:r>
      <w:proofErr w:type="spellEnd"/>
      <w:r w:rsidRPr="008E5B0F">
        <w:rPr>
          <w:rFonts w:ascii="Arial" w:hAnsi="Arial" w:cs="Arial"/>
          <w:sz w:val="24"/>
          <w:szCs w:val="24"/>
          <w:lang w:val="es-ES"/>
        </w:rPr>
        <w:t>, ni a ser registrados como candidaturas electas, tampoco a contender en una campaña electoral y a la posterior proclamación de los electos de acuerdo con los votos efectivamente emitidos, sino también al derecho a ocupar el cargo para el que fueron electas, así como su permanencia en él y participar en la toma de decisiones al interior de los órganos legislativos o colegiados con derecho a voz y voto</w:t>
      </w:r>
      <w:r w:rsidRPr="008E5B0F">
        <w:rPr>
          <w:rStyle w:val="Refdenotaalpie"/>
          <w:rFonts w:ascii="Arial" w:hAnsi="Arial" w:cs="Arial"/>
          <w:sz w:val="24"/>
          <w:szCs w:val="24"/>
          <w:lang w:val="es-ES"/>
        </w:rPr>
        <w:footnoteReference w:id="29"/>
      </w:r>
      <w:r w:rsidRPr="008E5B0F">
        <w:rPr>
          <w:rFonts w:ascii="Arial" w:hAnsi="Arial" w:cs="Arial"/>
          <w:sz w:val="24"/>
          <w:szCs w:val="24"/>
          <w:lang w:val="es-ES"/>
        </w:rPr>
        <w:t>.</w:t>
      </w:r>
      <w:bookmarkStart w:id="19" w:name="_Toc158628469"/>
    </w:p>
    <w:bookmarkEnd w:id="19"/>
    <w:p w14:paraId="404CFB27"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este sentido, el derecho de cualquier persona a ser votada —sufragio pasivo—, no constituye en sí una finalidad, sino un medio para lograr la integración de los órganos del poder público, representativos del pueblo, quien los elige mediante el ejercicio de su derecho a votar —sufragio activo—, por lo que asumir el cargo se convierte en un deber jurídico, conforme al artículo 36, fracción IV, de la </w:t>
      </w:r>
      <w:r w:rsidRPr="008E5B0F">
        <w:rPr>
          <w:rFonts w:ascii="Arial" w:hAnsi="Arial" w:cs="Arial"/>
          <w:i/>
          <w:iCs/>
          <w:sz w:val="24"/>
          <w:szCs w:val="24"/>
        </w:rPr>
        <w:t>Constitución General</w:t>
      </w:r>
      <w:r w:rsidRPr="008E5B0F">
        <w:rPr>
          <w:rStyle w:val="Refdenotaalpie"/>
          <w:rFonts w:ascii="Arial" w:hAnsi="Arial" w:cs="Arial"/>
          <w:sz w:val="24"/>
          <w:szCs w:val="24"/>
        </w:rPr>
        <w:footnoteReference w:id="30"/>
      </w:r>
      <w:r w:rsidRPr="008E5B0F">
        <w:rPr>
          <w:rFonts w:ascii="Arial" w:hAnsi="Arial" w:cs="Arial"/>
          <w:i/>
          <w:iCs/>
          <w:sz w:val="24"/>
          <w:szCs w:val="24"/>
        </w:rPr>
        <w:t>.</w:t>
      </w:r>
    </w:p>
    <w:p w14:paraId="404CFB28"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Entonces, las personas servidoras públicas que desempeñan cargos de elección popular tienen derecho a recibir una remuneración adecuada e irrenunciable por el desempeño de su función, así como desempeñar todas las funciones que se encuentran consagradas a su favor</w:t>
      </w:r>
      <w:r w:rsidRPr="008E5B0F">
        <w:rPr>
          <w:rStyle w:val="Refdenotaalpie"/>
          <w:rFonts w:ascii="Arial" w:hAnsi="Arial" w:cs="Arial"/>
          <w:sz w:val="24"/>
          <w:szCs w:val="24"/>
        </w:rPr>
        <w:footnoteReference w:id="31"/>
      </w:r>
      <w:r w:rsidRPr="008E5B0F">
        <w:rPr>
          <w:rFonts w:ascii="Arial" w:hAnsi="Arial" w:cs="Arial"/>
          <w:sz w:val="24"/>
          <w:szCs w:val="24"/>
        </w:rPr>
        <w:t>.</w:t>
      </w:r>
    </w:p>
    <w:p w14:paraId="404CFB29"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Por lo tanto, el derecho a desempeñar un cargo público de elección popular, con todas las prerrogativas inherentes al mismo y durante el tiempo previsto para ese </w:t>
      </w:r>
      <w:r w:rsidRPr="008E5B0F">
        <w:rPr>
          <w:rFonts w:ascii="Arial" w:hAnsi="Arial" w:cs="Arial"/>
          <w:sz w:val="24"/>
          <w:szCs w:val="24"/>
        </w:rPr>
        <w:lastRenderedPageBreak/>
        <w:t>efecto, es de base constitucional y forma parte del derecho político-electoral a ser votada o votado.</w:t>
      </w:r>
    </w:p>
    <w:p w14:paraId="404CFB2A"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Esto es, las y los miembros de los Ayuntamientos tienen el derecho y la obligación de desempeñarse en el cargo para el que resultaron electos, es decir, de ejercer todas y cada una de las actividades que les fueron encomendados conforme a la ley</w:t>
      </w:r>
      <w:r w:rsidRPr="008E5B0F">
        <w:rPr>
          <w:rStyle w:val="Refdenotaalpie"/>
          <w:rFonts w:ascii="Arial" w:hAnsi="Arial" w:cs="Arial"/>
          <w:sz w:val="24"/>
          <w:szCs w:val="24"/>
        </w:rPr>
        <w:footnoteReference w:id="32"/>
      </w:r>
      <w:r w:rsidRPr="008E5B0F">
        <w:rPr>
          <w:rFonts w:ascii="Arial" w:hAnsi="Arial" w:cs="Arial"/>
          <w:sz w:val="24"/>
          <w:szCs w:val="24"/>
        </w:rPr>
        <w:t>.</w:t>
      </w:r>
    </w:p>
    <w:p w14:paraId="404CFB2B" w14:textId="77777777" w:rsidR="0012716D" w:rsidRPr="008E5B0F" w:rsidRDefault="0063771D">
      <w:pPr>
        <w:spacing w:before="100" w:beforeAutospacing="1" w:after="100" w:afterAutospacing="1" w:line="360" w:lineRule="auto"/>
        <w:jc w:val="both"/>
        <w:rPr>
          <w:rFonts w:ascii="Arial" w:hAnsi="Arial" w:cs="Arial"/>
          <w:b/>
          <w:bCs/>
          <w:sz w:val="24"/>
          <w:szCs w:val="24"/>
          <w:lang w:eastAsia="es-MX"/>
        </w:rPr>
      </w:pPr>
      <w:r w:rsidRPr="008E5B0F">
        <w:rPr>
          <w:rFonts w:ascii="Arial" w:hAnsi="Arial" w:cs="Arial"/>
          <w:b/>
          <w:bCs/>
          <w:sz w:val="24"/>
          <w:szCs w:val="24"/>
          <w:lang w:eastAsia="es-MX"/>
        </w:rPr>
        <w:t>8.4.2. De la integración e instalación de los Ayuntamientos</w:t>
      </w:r>
    </w:p>
    <w:p w14:paraId="404CFB2C" w14:textId="77777777" w:rsidR="0012716D" w:rsidRPr="008E5B0F" w:rsidRDefault="001E741F">
      <w:pPr>
        <w:spacing w:before="240" w:after="0" w:line="360" w:lineRule="auto"/>
        <w:jc w:val="both"/>
        <w:rPr>
          <w:rFonts w:ascii="Arial" w:hAnsi="Arial" w:cs="Arial"/>
          <w:color w:val="202124"/>
          <w:spacing w:val="3"/>
          <w:sz w:val="24"/>
          <w:szCs w:val="24"/>
          <w:shd w:val="clear" w:color="auto" w:fill="FFFFFF"/>
        </w:rPr>
      </w:pPr>
      <w:r w:rsidRPr="008E5B0F">
        <w:rPr>
          <w:rFonts w:ascii="Arial" w:hAnsi="Arial" w:cs="Arial"/>
          <w:color w:val="202124"/>
          <w:spacing w:val="3"/>
          <w:sz w:val="24"/>
          <w:szCs w:val="24"/>
          <w:shd w:val="clear" w:color="auto" w:fill="FFFFFF"/>
        </w:rPr>
        <w:t xml:space="preserve">Los artículos 115, fracción I de la </w:t>
      </w:r>
      <w:r w:rsidRPr="008E5B0F">
        <w:rPr>
          <w:rFonts w:ascii="Arial" w:hAnsi="Arial" w:cs="Arial"/>
          <w:i/>
          <w:color w:val="202124"/>
          <w:spacing w:val="3"/>
          <w:sz w:val="24"/>
          <w:szCs w:val="24"/>
          <w:shd w:val="clear" w:color="auto" w:fill="FFFFFF"/>
        </w:rPr>
        <w:t>Constitución General</w:t>
      </w:r>
      <w:r w:rsidRPr="008E5B0F">
        <w:rPr>
          <w:rFonts w:ascii="Arial" w:hAnsi="Arial" w:cs="Arial"/>
          <w:color w:val="202124"/>
          <w:spacing w:val="3"/>
          <w:sz w:val="24"/>
          <w:szCs w:val="24"/>
          <w:shd w:val="clear" w:color="auto" w:fill="FFFFFF"/>
        </w:rPr>
        <w:t xml:space="preserve">, así como 14 y 17 de la </w:t>
      </w:r>
      <w:r w:rsidRPr="008E5B0F">
        <w:rPr>
          <w:rFonts w:ascii="Arial" w:hAnsi="Arial" w:cs="Arial"/>
          <w:i/>
          <w:iCs/>
          <w:color w:val="202124"/>
          <w:spacing w:val="3"/>
          <w:sz w:val="24"/>
          <w:szCs w:val="24"/>
          <w:shd w:val="clear" w:color="auto" w:fill="FFFFFF"/>
        </w:rPr>
        <w:t>Ley Orgánica Municipal</w:t>
      </w:r>
      <w:r w:rsidRPr="008E5B0F">
        <w:rPr>
          <w:rFonts w:ascii="Arial" w:hAnsi="Arial" w:cs="Arial"/>
          <w:color w:val="202124"/>
          <w:spacing w:val="3"/>
          <w:sz w:val="24"/>
          <w:szCs w:val="24"/>
          <w:shd w:val="clear" w:color="auto" w:fill="FFFFFF"/>
        </w:rPr>
        <w:t xml:space="preserve"> disponen que cada municipio será gobernado por un Ayuntamiento de elección popular directa, integrado por un Presidente o Presidenta Municipal y el número de regidurías y sindicaturas que la ley determine, de conformidad con el principio de paridad. </w:t>
      </w:r>
    </w:p>
    <w:p w14:paraId="404CFB2D"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Por su parte, la </w:t>
      </w:r>
      <w:r w:rsidRPr="008E5B0F">
        <w:rPr>
          <w:rFonts w:ascii="Arial" w:hAnsi="Arial" w:cs="Arial"/>
          <w:i/>
          <w:iCs/>
          <w:sz w:val="24"/>
          <w:szCs w:val="24"/>
        </w:rPr>
        <w:t>Ley Orgánica Municipal</w:t>
      </w:r>
      <w:r w:rsidRPr="008E5B0F">
        <w:rPr>
          <w:rFonts w:ascii="Arial" w:hAnsi="Arial" w:cs="Arial"/>
          <w:sz w:val="24"/>
          <w:szCs w:val="24"/>
        </w:rPr>
        <w:t xml:space="preserve"> establece en su artículo 20 que los cargos de Presidenta o Presidente Municipal, Síndica o Síndico y Regidoras o Regidores de un Ayuntamiento, son obligatorios, pero no gratuitos, sólo podrán ser renunciables por causa grave que califique el Ayuntamiento con sujeción a esa Ley.</w:t>
      </w:r>
    </w:p>
    <w:p w14:paraId="404CFB2E"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También, sus artículos 22, 23 y 25 señalan que las y los integrantes electas o electos del Ayuntamiento tomarán posesión de su cargo, en un acto solemne y público, el primer día del mes de septiembre del año de su elección. Para efectos de la instalación del Ayuntamiento, en la última Sesión ordinaria del mes inmediato anterior a la fecha de terminación de la gestión del Ayuntamiento saliente, se nombrará una Comisión Instaladora</w:t>
      </w:r>
      <w:r w:rsidRPr="008E5B0F">
        <w:rPr>
          <w:rStyle w:val="Refdenotaalpie"/>
          <w:rFonts w:ascii="Arial" w:hAnsi="Arial" w:cs="Arial"/>
          <w:sz w:val="24"/>
          <w:szCs w:val="24"/>
        </w:rPr>
        <w:footnoteReference w:id="33"/>
      </w:r>
      <w:r w:rsidRPr="008E5B0F">
        <w:rPr>
          <w:rFonts w:ascii="Arial" w:hAnsi="Arial" w:cs="Arial"/>
          <w:sz w:val="24"/>
          <w:szCs w:val="24"/>
        </w:rPr>
        <w:t xml:space="preserve">. </w:t>
      </w:r>
    </w:p>
    <w:p w14:paraId="404CFB2F"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Así dicha comisión, previo acuerdo con la Presidenta o Presidente Municipal electo, convocará a quienes integren el Ayuntamiento electo, de conformidad con la constancia de mayoría emitida por el órgano correspondiente o, en su caso la </w:t>
      </w:r>
      <w:r w:rsidRPr="008E5B0F">
        <w:rPr>
          <w:rFonts w:ascii="Arial" w:hAnsi="Arial" w:cs="Arial"/>
          <w:sz w:val="24"/>
          <w:szCs w:val="24"/>
        </w:rPr>
        <w:lastRenderedPageBreak/>
        <w:t xml:space="preserve">resolución del Tribunal Estatal Electoral, al menos con anticipación de cinco días naturales para que concurran a la Sesión Solemne de instalación. </w:t>
      </w:r>
    </w:p>
    <w:p w14:paraId="404CFB30"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La invitación para asistir a dicha Sesión se hará extensiva a la comunidad en general debiendo incluir lugar, fecha y hora de </w:t>
      </w:r>
      <w:proofErr w:type="gramStart"/>
      <w:r w:rsidRPr="008E5B0F">
        <w:rPr>
          <w:rFonts w:ascii="Arial" w:hAnsi="Arial" w:cs="Arial"/>
          <w:sz w:val="24"/>
          <w:szCs w:val="24"/>
        </w:rPr>
        <w:t>la misma</w:t>
      </w:r>
      <w:proofErr w:type="gramEnd"/>
      <w:r w:rsidRPr="008E5B0F">
        <w:rPr>
          <w:rFonts w:ascii="Arial" w:hAnsi="Arial" w:cs="Arial"/>
          <w:sz w:val="24"/>
          <w:szCs w:val="24"/>
        </w:rPr>
        <w:t xml:space="preserve">, así como el orden del día correspondiente. El día señalado para la instalación, la Presidenta o Presidente Municipal electo rendirá protesta ante quienes integran el Ayuntamiento y enseguida les tomará protesta a las y los integrantes de este. </w:t>
      </w:r>
    </w:p>
    <w:p w14:paraId="404CFB31" w14:textId="77777777" w:rsidR="0012716D" w:rsidRPr="008E5B0F" w:rsidRDefault="0063771D">
      <w:pPr>
        <w:spacing w:before="100" w:beforeAutospacing="1" w:after="100" w:afterAutospacing="1" w:line="360" w:lineRule="auto"/>
        <w:jc w:val="both"/>
        <w:rPr>
          <w:rFonts w:ascii="Arial" w:hAnsi="Arial" w:cs="Arial"/>
          <w:b/>
          <w:bCs/>
          <w:sz w:val="24"/>
          <w:szCs w:val="24"/>
          <w:lang w:eastAsia="es-MX"/>
        </w:rPr>
      </w:pPr>
      <w:r w:rsidRPr="008E5B0F">
        <w:rPr>
          <w:rFonts w:ascii="Arial" w:hAnsi="Arial" w:cs="Arial"/>
          <w:b/>
          <w:bCs/>
          <w:sz w:val="24"/>
          <w:szCs w:val="24"/>
          <w:lang w:eastAsia="es-MX"/>
        </w:rPr>
        <w:t>8.4.3. Fundamentación y motivación</w:t>
      </w:r>
    </w:p>
    <w:p w14:paraId="404CFB32" w14:textId="77777777" w:rsidR="0012716D" w:rsidRPr="008E5B0F" w:rsidRDefault="001E741F">
      <w:pPr>
        <w:adjustRightInd w:val="0"/>
        <w:spacing w:before="100" w:beforeAutospacing="1" w:after="100" w:afterAutospacing="1" w:line="360" w:lineRule="auto"/>
        <w:jc w:val="both"/>
        <w:rPr>
          <w:rFonts w:ascii="Arial" w:eastAsia="Calibri" w:hAnsi="Arial" w:cs="Arial"/>
          <w:sz w:val="24"/>
          <w:szCs w:val="24"/>
          <w:lang w:val="es-ES_tradnl"/>
        </w:rPr>
      </w:pPr>
      <w:r w:rsidRPr="008E5B0F">
        <w:rPr>
          <w:rFonts w:ascii="Arial" w:eastAsia="Calibri" w:hAnsi="Arial" w:cs="Arial"/>
          <w:sz w:val="24"/>
          <w:szCs w:val="24"/>
          <w:lang w:val="es-ES_tradnl"/>
        </w:rPr>
        <w:t xml:space="preserve">De la lectura de los artículos 14, 16 y 17 de la </w:t>
      </w:r>
      <w:r w:rsidRPr="008E5B0F">
        <w:rPr>
          <w:rFonts w:ascii="Arial" w:eastAsia="Calibri" w:hAnsi="Arial" w:cs="Arial"/>
          <w:i/>
          <w:iCs/>
          <w:sz w:val="24"/>
          <w:szCs w:val="24"/>
          <w:lang w:val="es-ES_tradnl"/>
        </w:rPr>
        <w:t>Constitución General</w:t>
      </w:r>
      <w:r w:rsidRPr="008E5B0F">
        <w:rPr>
          <w:rFonts w:ascii="Arial" w:eastAsia="Calibri" w:hAnsi="Arial" w:cs="Arial"/>
          <w:sz w:val="24"/>
          <w:szCs w:val="24"/>
          <w:lang w:val="es-ES_tradnl"/>
        </w:rPr>
        <w:t xml:space="preserve"> se advierte que el derecho de acceso a la justicia implica, entre otros aspectos, el deber de las autoridades de ser exhaustivas, así como de exponer las razones de hecho y de derecho para sustentar una determinación y </w:t>
      </w:r>
      <w:r w:rsidRPr="008E5B0F">
        <w:rPr>
          <w:rFonts w:ascii="Arial" w:hAnsi="Arial" w:cs="Arial"/>
          <w:bCs/>
          <w:sz w:val="24"/>
          <w:szCs w:val="24"/>
          <w:lang w:val="es-ES_tradnl"/>
        </w:rPr>
        <w:t>brindar una seguridad jurídica a las personas en el goce y ejercicio de sus derechos</w:t>
      </w:r>
      <w:r w:rsidRPr="008E5B0F">
        <w:rPr>
          <w:rFonts w:ascii="Arial" w:hAnsi="Arial" w:cs="Arial"/>
          <w:sz w:val="24"/>
          <w:szCs w:val="24"/>
          <w:vertAlign w:val="superscript"/>
          <w:lang w:val="es-ES_tradnl"/>
        </w:rPr>
        <w:footnoteReference w:id="34"/>
      </w:r>
      <w:r w:rsidRPr="008E5B0F">
        <w:rPr>
          <w:rFonts w:ascii="Arial" w:eastAsia="Calibri" w:hAnsi="Arial" w:cs="Arial"/>
          <w:sz w:val="24"/>
          <w:szCs w:val="24"/>
          <w:lang w:val="es-ES_tradnl"/>
        </w:rPr>
        <w:t>.</w:t>
      </w:r>
    </w:p>
    <w:p w14:paraId="404CFB33" w14:textId="77777777" w:rsidR="0012716D" w:rsidRPr="008E5B0F" w:rsidRDefault="001E741F">
      <w:pPr>
        <w:adjustRightInd w:val="0"/>
        <w:spacing w:before="100" w:beforeAutospacing="1" w:after="100" w:afterAutospacing="1" w:line="360" w:lineRule="auto"/>
        <w:jc w:val="both"/>
        <w:rPr>
          <w:rFonts w:ascii="Arial" w:eastAsia="Calibri" w:hAnsi="Arial" w:cs="Arial"/>
          <w:sz w:val="24"/>
          <w:szCs w:val="24"/>
          <w:lang w:val="es-ES_tradnl"/>
        </w:rPr>
      </w:pPr>
      <w:r w:rsidRPr="008E5B0F">
        <w:rPr>
          <w:rFonts w:ascii="Arial" w:eastAsia="Calibri" w:hAnsi="Arial" w:cs="Arial"/>
          <w:sz w:val="24"/>
          <w:szCs w:val="24"/>
          <w:lang w:val="es-ES_tradnl"/>
        </w:rPr>
        <w:t xml:space="preserve">En </w:t>
      </w:r>
      <w:r w:rsidRPr="008E5B0F">
        <w:rPr>
          <w:rFonts w:ascii="Arial" w:hAnsi="Arial" w:cs="Arial"/>
          <w:bCs/>
          <w:sz w:val="24"/>
          <w:szCs w:val="24"/>
          <w:lang w:val="es-ES_tradnl"/>
        </w:rPr>
        <w:t>este sentido, siguiendo la jurisprudencia de la Suprema Corte de Justicia de la Nación</w:t>
      </w:r>
      <w:r w:rsidRPr="008E5B0F">
        <w:rPr>
          <w:rFonts w:ascii="Arial" w:hAnsi="Arial" w:cs="Arial"/>
          <w:bCs/>
          <w:sz w:val="24"/>
          <w:szCs w:val="24"/>
          <w:vertAlign w:val="superscript"/>
          <w:lang w:val="es-ES_tradnl"/>
        </w:rPr>
        <w:footnoteReference w:id="35"/>
      </w:r>
      <w:r w:rsidRPr="008E5B0F">
        <w:rPr>
          <w:rFonts w:ascii="Arial" w:hAnsi="Arial" w:cs="Arial"/>
          <w:bCs/>
          <w:sz w:val="24"/>
          <w:szCs w:val="24"/>
          <w:lang w:val="es-ES_tradnl"/>
        </w:rPr>
        <w:t xml:space="preserve">, para satisfacer esos parámetros debe </w:t>
      </w:r>
      <w:r w:rsidRPr="008E5B0F">
        <w:rPr>
          <w:rFonts w:ascii="Arial" w:hAnsi="Arial" w:cs="Arial"/>
          <w:bCs/>
          <w:i/>
          <w:iCs/>
          <w:sz w:val="24"/>
          <w:szCs w:val="24"/>
          <w:lang w:val="es-ES_tradnl"/>
        </w:rPr>
        <w:t>expresarse con precisión el precepto legal aplicable al caso</w:t>
      </w:r>
      <w:r w:rsidRPr="008E5B0F">
        <w:rPr>
          <w:rFonts w:ascii="Arial" w:hAnsi="Arial" w:cs="Arial"/>
          <w:bCs/>
          <w:sz w:val="24"/>
          <w:szCs w:val="24"/>
          <w:lang w:val="es-ES_tradnl"/>
        </w:rPr>
        <w:t xml:space="preserve"> —fundamentación— y </w:t>
      </w:r>
      <w:r w:rsidRPr="008E5B0F">
        <w:rPr>
          <w:rFonts w:ascii="Arial" w:hAnsi="Arial" w:cs="Arial"/>
          <w:bCs/>
          <w:i/>
          <w:iCs/>
          <w:sz w:val="24"/>
          <w:szCs w:val="24"/>
          <w:lang w:val="es-ES_tradnl"/>
        </w:rPr>
        <w:t>deben señalarse, con precisión, las circunstancias especiales, razones particulares o causas inmediatas que se hayan tenido en consideración para la emisión del acto</w:t>
      </w:r>
      <w:r w:rsidRPr="008E5B0F">
        <w:rPr>
          <w:rFonts w:ascii="Arial" w:hAnsi="Arial" w:cs="Arial"/>
          <w:bCs/>
          <w:sz w:val="24"/>
          <w:szCs w:val="24"/>
          <w:lang w:val="es-ES_tradnl"/>
        </w:rPr>
        <w:t xml:space="preserve"> —motivación—.</w:t>
      </w:r>
    </w:p>
    <w:p w14:paraId="404CFB34" w14:textId="77777777" w:rsidR="0012716D" w:rsidRPr="008E5B0F" w:rsidRDefault="001E741F">
      <w:pPr>
        <w:adjustRightInd w:val="0"/>
        <w:spacing w:before="100" w:beforeAutospacing="1" w:after="100" w:afterAutospacing="1" w:line="360" w:lineRule="auto"/>
        <w:jc w:val="both"/>
        <w:rPr>
          <w:rFonts w:ascii="Arial" w:eastAsia="Calibri" w:hAnsi="Arial" w:cs="Arial"/>
          <w:sz w:val="24"/>
          <w:szCs w:val="24"/>
          <w:lang w:val="es-ES_tradnl"/>
        </w:rPr>
      </w:pPr>
      <w:r w:rsidRPr="008E5B0F">
        <w:rPr>
          <w:rFonts w:ascii="Arial" w:eastAsia="Calibri" w:hAnsi="Arial" w:cs="Arial"/>
          <w:sz w:val="24"/>
          <w:szCs w:val="24"/>
          <w:lang w:val="es-ES_tradnl"/>
        </w:rPr>
        <w:t xml:space="preserve">Así, tal como lo ha sostenido la </w:t>
      </w:r>
      <w:r w:rsidRPr="008E5B0F">
        <w:rPr>
          <w:rFonts w:ascii="Arial" w:eastAsia="Calibri" w:hAnsi="Arial" w:cs="Arial"/>
          <w:i/>
          <w:iCs/>
          <w:sz w:val="24"/>
          <w:szCs w:val="24"/>
          <w:lang w:val="es-ES_tradnl"/>
        </w:rPr>
        <w:t>Sala Superior</w:t>
      </w:r>
      <w:r w:rsidRPr="008E5B0F">
        <w:rPr>
          <w:rFonts w:ascii="Arial" w:eastAsia="Calibri" w:hAnsi="Arial" w:cs="Arial"/>
          <w:sz w:val="24"/>
          <w:szCs w:val="24"/>
          <w:lang w:val="es-ES_tradnl"/>
        </w:rPr>
        <w:t>, existe una falta de fundamentación y motivación cuando la autoridad u órgano partidista omite citar el o los preceptos jurídicos aplicables al caso, así como los razonamientos lógico-jurídicos que hacen evidente la aplicación de las normas jurídicas</w:t>
      </w:r>
      <w:r w:rsidRPr="008E5B0F">
        <w:rPr>
          <w:rStyle w:val="Refdenotaalpie"/>
          <w:rFonts w:ascii="Arial" w:eastAsia="Calibri" w:hAnsi="Arial" w:cs="Arial"/>
          <w:sz w:val="24"/>
          <w:szCs w:val="24"/>
          <w:lang w:val="es-ES_tradnl"/>
        </w:rPr>
        <w:footnoteReference w:id="36"/>
      </w:r>
      <w:r w:rsidRPr="008E5B0F">
        <w:rPr>
          <w:rFonts w:ascii="Arial" w:eastAsia="Calibri" w:hAnsi="Arial" w:cs="Arial"/>
          <w:sz w:val="24"/>
          <w:szCs w:val="24"/>
          <w:lang w:val="es-ES_tradnl"/>
        </w:rPr>
        <w:t xml:space="preserve">. </w:t>
      </w:r>
    </w:p>
    <w:p w14:paraId="404CFB35" w14:textId="77777777" w:rsidR="0012716D" w:rsidRPr="008E5B0F" w:rsidRDefault="001E741F">
      <w:pPr>
        <w:adjustRightInd w:val="0"/>
        <w:spacing w:before="100" w:beforeAutospacing="1" w:after="100" w:afterAutospacing="1" w:line="360" w:lineRule="auto"/>
        <w:jc w:val="both"/>
        <w:rPr>
          <w:rFonts w:ascii="Arial" w:eastAsia="Calibri" w:hAnsi="Arial" w:cs="Arial"/>
          <w:sz w:val="24"/>
          <w:szCs w:val="24"/>
          <w:lang w:val="es-ES_tradnl"/>
        </w:rPr>
      </w:pPr>
      <w:r w:rsidRPr="008E5B0F">
        <w:rPr>
          <w:rFonts w:ascii="Arial" w:eastAsia="Calibri" w:hAnsi="Arial" w:cs="Arial"/>
          <w:sz w:val="24"/>
          <w:szCs w:val="24"/>
          <w:lang w:val="es-ES_tradnl"/>
        </w:rPr>
        <w:t xml:space="preserve">Por otra parte, las determinaciones se calificarían de indebida fundamentación si se invocaran preceptos legales que no sean aplicables al caso, y se actualizaría </w:t>
      </w:r>
      <w:r w:rsidRPr="008E5B0F">
        <w:rPr>
          <w:rFonts w:ascii="Arial" w:eastAsia="Calibri" w:hAnsi="Arial" w:cs="Arial"/>
          <w:sz w:val="24"/>
          <w:szCs w:val="24"/>
          <w:lang w:val="es-ES_tradnl"/>
        </w:rPr>
        <w:lastRenderedPageBreak/>
        <w:t>una motivación indebida si se expresaran razones que difieran de lo probado en el expediente y del contenido de las normas jurídicas aplicables</w:t>
      </w:r>
      <w:r w:rsidRPr="008E5B0F">
        <w:rPr>
          <w:rFonts w:ascii="Arial" w:eastAsia="Calibri" w:hAnsi="Arial" w:cs="Arial"/>
          <w:sz w:val="24"/>
          <w:szCs w:val="24"/>
          <w:vertAlign w:val="superscript"/>
          <w:lang w:val="es-ES_tradnl"/>
        </w:rPr>
        <w:footnoteReference w:id="37"/>
      </w:r>
      <w:r w:rsidRPr="008E5B0F">
        <w:rPr>
          <w:rFonts w:ascii="Arial" w:eastAsia="Calibri" w:hAnsi="Arial" w:cs="Arial"/>
          <w:sz w:val="24"/>
          <w:szCs w:val="24"/>
          <w:lang w:val="es-ES_tradnl"/>
        </w:rPr>
        <w:t>.</w:t>
      </w:r>
    </w:p>
    <w:p w14:paraId="404CFB36" w14:textId="77777777" w:rsidR="0012716D" w:rsidRPr="008E5B0F" w:rsidRDefault="001E741F">
      <w:pPr>
        <w:pStyle w:val="Prrafodelista"/>
        <w:spacing w:before="100" w:beforeAutospacing="1" w:after="100" w:afterAutospacing="1" w:line="360" w:lineRule="auto"/>
        <w:ind w:left="0"/>
        <w:jc w:val="both"/>
        <w:rPr>
          <w:rFonts w:ascii="Arial" w:hAnsi="Arial" w:cs="Arial"/>
          <w:sz w:val="24"/>
          <w:szCs w:val="24"/>
        </w:rPr>
      </w:pPr>
      <w:r w:rsidRPr="008E5B0F">
        <w:rPr>
          <w:rFonts w:ascii="Arial" w:hAnsi="Arial" w:cs="Arial"/>
          <w:sz w:val="24"/>
          <w:szCs w:val="24"/>
          <w:lang w:val="es-ES_tradnl"/>
        </w:rPr>
        <w:t xml:space="preserve">Ahora bien, de </w:t>
      </w:r>
      <w:r w:rsidRPr="008E5B0F">
        <w:rPr>
          <w:rFonts w:ascii="Arial" w:hAnsi="Arial" w:cs="Arial"/>
          <w:sz w:val="24"/>
          <w:szCs w:val="24"/>
        </w:rPr>
        <w:t xml:space="preserve">conformidad con los artículos 17 de la </w:t>
      </w:r>
      <w:r w:rsidRPr="008E5B0F">
        <w:rPr>
          <w:rFonts w:ascii="Arial" w:hAnsi="Arial" w:cs="Arial"/>
          <w:i/>
          <w:iCs/>
          <w:sz w:val="24"/>
          <w:szCs w:val="24"/>
        </w:rPr>
        <w:t>Constitución General</w:t>
      </w:r>
      <w:r w:rsidRPr="008E5B0F">
        <w:rPr>
          <w:rFonts w:ascii="Arial" w:hAnsi="Arial" w:cs="Arial"/>
          <w:sz w:val="24"/>
          <w:szCs w:val="24"/>
        </w:rPr>
        <w:t>; así como el 8 y 25 de la Convención Americana sobre Derechos Humanos, toda persona tiene derecho a que se le administre justicia por tribunales que estarán expeditos para impartirla, emitiendo sus resoluciones de manera pronta, completa e imparcial, lo cual comprende la obligación para los órganos de impartición de justicia de emitir las sentencias de forma exhaustiva.</w:t>
      </w:r>
    </w:p>
    <w:p w14:paraId="404CFB37" w14:textId="77777777" w:rsidR="0012716D" w:rsidRPr="008E5B0F" w:rsidRDefault="0063771D">
      <w:pPr>
        <w:spacing w:before="240" w:after="100" w:afterAutospacing="1" w:line="360" w:lineRule="auto"/>
        <w:jc w:val="both"/>
        <w:rPr>
          <w:rFonts w:ascii="Arial" w:hAnsi="Arial" w:cs="Arial"/>
          <w:b/>
          <w:sz w:val="24"/>
          <w:szCs w:val="24"/>
        </w:rPr>
      </w:pPr>
      <w:r w:rsidRPr="008E5B0F">
        <w:rPr>
          <w:rFonts w:ascii="Arial" w:hAnsi="Arial" w:cs="Arial"/>
          <w:b/>
          <w:bCs/>
          <w:sz w:val="24"/>
          <w:szCs w:val="24"/>
        </w:rPr>
        <w:t xml:space="preserve">8.4.3. </w:t>
      </w:r>
      <w:r w:rsidRPr="008E5B0F">
        <w:rPr>
          <w:rFonts w:ascii="Arial" w:hAnsi="Arial" w:cs="Arial"/>
          <w:b/>
          <w:sz w:val="24"/>
          <w:szCs w:val="24"/>
        </w:rPr>
        <w:t xml:space="preserve">Certeza y legalidad </w:t>
      </w:r>
    </w:p>
    <w:p w14:paraId="404CFB38"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Los principios de certeza y legalidad se encuentran contenidos principalmente en los artículos 14, 16 y 41 de la </w:t>
      </w:r>
      <w:r w:rsidRPr="008E5B0F">
        <w:rPr>
          <w:rFonts w:ascii="Arial" w:hAnsi="Arial" w:cs="Arial"/>
          <w:i/>
          <w:sz w:val="24"/>
          <w:szCs w:val="24"/>
        </w:rPr>
        <w:t>Constitución General</w:t>
      </w:r>
      <w:r w:rsidRPr="008E5B0F">
        <w:rPr>
          <w:rFonts w:ascii="Arial" w:hAnsi="Arial" w:cs="Arial"/>
          <w:sz w:val="24"/>
          <w:szCs w:val="24"/>
        </w:rPr>
        <w:t xml:space="preserve">, el </w:t>
      </w:r>
      <w:r w:rsidRPr="008E5B0F">
        <w:rPr>
          <w:rFonts w:ascii="Arial" w:hAnsi="Arial" w:cs="Arial"/>
          <w:bCs/>
          <w:sz w:val="24"/>
          <w:szCs w:val="24"/>
        </w:rPr>
        <w:t>principio de legalidad significa la garantía formal para que los ciudadanos y las autoridades electorales actúen en estricto apego a las disposiciones consignadas en la ley, de tal manera que, no se emitan o desplieguen conductas caprichosas o arbitrarias al margen del texto normativo; y el de certeza consiste</w:t>
      </w:r>
      <w:r w:rsidRPr="008E5B0F">
        <w:rPr>
          <w:rFonts w:ascii="Arial" w:hAnsi="Arial" w:cs="Arial"/>
          <w:sz w:val="24"/>
          <w:szCs w:val="24"/>
        </w:rPr>
        <w:t xml:space="preserve"> en dotar de facultades expresas a las autoridades locales de modo que todos los participantes en el proceso electoral conozcan previamente con claridad y seguridad las reglas a que su propia actuación y la de las autoridades electorales están sujetas</w:t>
      </w:r>
      <w:r w:rsidRPr="008E5B0F">
        <w:rPr>
          <w:rStyle w:val="Refdenotaalpie"/>
          <w:rFonts w:ascii="Arial" w:hAnsi="Arial" w:cs="Arial"/>
          <w:sz w:val="24"/>
          <w:szCs w:val="24"/>
        </w:rPr>
        <w:footnoteReference w:id="38"/>
      </w:r>
      <w:r w:rsidRPr="008E5B0F">
        <w:rPr>
          <w:rFonts w:ascii="Arial" w:hAnsi="Arial" w:cs="Arial"/>
          <w:sz w:val="24"/>
          <w:szCs w:val="24"/>
        </w:rPr>
        <w:t xml:space="preserve">. </w:t>
      </w:r>
    </w:p>
    <w:p w14:paraId="404CFB39" w14:textId="77777777" w:rsidR="0012716D" w:rsidRPr="008E5B0F" w:rsidRDefault="0063771D">
      <w:pPr>
        <w:pStyle w:val="Ttulo2"/>
        <w:jc w:val="both"/>
        <w:rPr>
          <w:rFonts w:ascii="Arial" w:hAnsi="Arial" w:cs="Arial"/>
          <w:b/>
          <w:bCs/>
          <w:color w:val="auto"/>
          <w:sz w:val="24"/>
          <w:szCs w:val="24"/>
        </w:rPr>
      </w:pPr>
      <w:bookmarkStart w:id="21" w:name="_Toc211690217"/>
      <w:r w:rsidRPr="008E5B0F">
        <w:rPr>
          <w:rFonts w:ascii="Arial" w:hAnsi="Arial" w:cs="Arial"/>
          <w:b/>
          <w:bCs/>
          <w:color w:val="auto"/>
          <w:sz w:val="24"/>
          <w:szCs w:val="24"/>
        </w:rPr>
        <w:t>8.5. Metodología de estudio</w:t>
      </w:r>
      <w:bookmarkEnd w:id="21"/>
    </w:p>
    <w:p w14:paraId="404CFB3A"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Ha sido criterio de la </w:t>
      </w:r>
      <w:r w:rsidRPr="008E5B0F">
        <w:rPr>
          <w:rFonts w:ascii="Arial" w:hAnsi="Arial" w:cs="Arial"/>
          <w:i/>
          <w:iCs/>
          <w:sz w:val="24"/>
          <w:szCs w:val="24"/>
        </w:rPr>
        <w:t>Sala Superior</w:t>
      </w:r>
      <w:r w:rsidRPr="008E5B0F">
        <w:rPr>
          <w:rFonts w:ascii="Arial" w:hAnsi="Arial" w:cs="Arial"/>
          <w:sz w:val="24"/>
          <w:szCs w:val="24"/>
        </w:rPr>
        <w:t xml:space="preserve"> que el orden y la forma en la que se aborde el estudio de los motivos de agravios no ocasiona perjuicio a la parte actora, pues lo verdaderamente trascendente es que se analicen todos y cada uno de ellos, sin importar cuáles se estudien primero y cuáles después. Por tanto, se estudiarán en el orden precisado</w:t>
      </w:r>
      <w:r w:rsidRPr="008E5B0F">
        <w:rPr>
          <w:rStyle w:val="Refdenotaalpie"/>
          <w:rFonts w:ascii="Arial" w:hAnsi="Arial" w:cs="Arial"/>
          <w:sz w:val="24"/>
          <w:szCs w:val="24"/>
        </w:rPr>
        <w:footnoteReference w:id="39"/>
      </w:r>
      <w:r w:rsidRPr="008E5B0F">
        <w:rPr>
          <w:rFonts w:ascii="Arial" w:hAnsi="Arial" w:cs="Arial"/>
          <w:sz w:val="24"/>
          <w:szCs w:val="24"/>
        </w:rPr>
        <w:t>.</w:t>
      </w:r>
    </w:p>
    <w:p w14:paraId="404CFB3B" w14:textId="77777777" w:rsidR="0012716D" w:rsidRPr="008E5B0F" w:rsidRDefault="0063771D">
      <w:pPr>
        <w:pStyle w:val="Ttulo2"/>
        <w:rPr>
          <w:rFonts w:ascii="Arial" w:hAnsi="Arial" w:cs="Arial"/>
          <w:b/>
          <w:bCs/>
          <w:color w:val="auto"/>
          <w:sz w:val="24"/>
          <w:szCs w:val="24"/>
          <w:lang w:eastAsia="es-MX"/>
        </w:rPr>
      </w:pPr>
      <w:bookmarkStart w:id="22" w:name="_Toc173592114"/>
      <w:bookmarkStart w:id="23" w:name="_Toc211690218"/>
      <w:r w:rsidRPr="008E5B0F">
        <w:rPr>
          <w:rFonts w:ascii="Arial" w:hAnsi="Arial" w:cs="Arial"/>
          <w:b/>
          <w:bCs/>
          <w:color w:val="auto"/>
          <w:sz w:val="24"/>
          <w:szCs w:val="24"/>
          <w:lang w:eastAsia="es-MX"/>
        </w:rPr>
        <w:lastRenderedPageBreak/>
        <w:t xml:space="preserve">8.6. </w:t>
      </w:r>
      <w:bookmarkEnd w:id="22"/>
      <w:r w:rsidRPr="008E5B0F">
        <w:rPr>
          <w:rFonts w:ascii="Arial" w:hAnsi="Arial" w:cs="Arial"/>
          <w:b/>
          <w:bCs/>
          <w:color w:val="auto"/>
          <w:sz w:val="24"/>
          <w:szCs w:val="24"/>
          <w:lang w:eastAsia="es-MX"/>
        </w:rPr>
        <w:t>Análisis de agravios</w:t>
      </w:r>
      <w:bookmarkEnd w:id="23"/>
    </w:p>
    <w:p w14:paraId="404CFB3C"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Este </w:t>
      </w:r>
      <w:r w:rsidRPr="008E5B0F">
        <w:rPr>
          <w:rFonts w:ascii="Arial" w:hAnsi="Arial" w:cs="Arial"/>
          <w:i/>
          <w:iCs/>
          <w:sz w:val="24"/>
          <w:szCs w:val="24"/>
        </w:rPr>
        <w:t>Tribunal Electoral</w:t>
      </w:r>
      <w:r w:rsidRPr="008E5B0F">
        <w:rPr>
          <w:rFonts w:ascii="Arial" w:hAnsi="Arial" w:cs="Arial"/>
          <w:sz w:val="24"/>
          <w:szCs w:val="24"/>
        </w:rPr>
        <w:t xml:space="preserve"> considera que el agravio </w:t>
      </w:r>
      <w:r w:rsidRPr="008E5B0F">
        <w:rPr>
          <w:rFonts w:ascii="Arial" w:hAnsi="Arial" w:cs="Arial"/>
          <w:b/>
          <w:bCs/>
          <w:sz w:val="24"/>
          <w:szCs w:val="24"/>
        </w:rPr>
        <w:t>a)</w:t>
      </w:r>
      <w:r w:rsidRPr="008E5B0F">
        <w:rPr>
          <w:rFonts w:ascii="Arial" w:hAnsi="Arial" w:cs="Arial"/>
          <w:sz w:val="24"/>
          <w:szCs w:val="24"/>
        </w:rPr>
        <w:t xml:space="preserve"> es </w:t>
      </w:r>
      <w:r w:rsidRPr="008E5B0F">
        <w:rPr>
          <w:rFonts w:ascii="Arial" w:hAnsi="Arial" w:cs="Arial"/>
          <w:b/>
          <w:bCs/>
          <w:sz w:val="24"/>
          <w:szCs w:val="24"/>
        </w:rPr>
        <w:t>infundado</w:t>
      </w:r>
      <w:r w:rsidRPr="008E5B0F">
        <w:rPr>
          <w:rFonts w:ascii="Arial" w:hAnsi="Arial" w:cs="Arial"/>
          <w:sz w:val="24"/>
          <w:szCs w:val="24"/>
        </w:rPr>
        <w:t xml:space="preserve"> e </w:t>
      </w:r>
      <w:r w:rsidRPr="008E5B0F">
        <w:rPr>
          <w:rFonts w:ascii="Arial" w:hAnsi="Arial" w:cs="Arial"/>
          <w:b/>
          <w:bCs/>
          <w:sz w:val="24"/>
          <w:szCs w:val="24"/>
        </w:rPr>
        <w:t>inoperante</w:t>
      </w:r>
      <w:r w:rsidRPr="008E5B0F">
        <w:rPr>
          <w:rFonts w:ascii="Arial" w:hAnsi="Arial" w:cs="Arial"/>
          <w:sz w:val="24"/>
          <w:szCs w:val="24"/>
        </w:rPr>
        <w:t xml:space="preserve"> por las consideraciones siguientes.</w:t>
      </w:r>
    </w:p>
    <w:p w14:paraId="404CFB3D"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relación con el señalamiento formulado por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relativo a una supuesta vulneración a su derecho político-electoral de ser votada en su vertiente del ejercicio del cargo, al considerar que las </w:t>
      </w:r>
      <w:r w:rsidRPr="008E5B0F">
        <w:rPr>
          <w:rFonts w:ascii="Arial" w:hAnsi="Arial" w:cs="Arial"/>
          <w:i/>
          <w:iCs/>
          <w:sz w:val="24"/>
          <w:szCs w:val="24"/>
        </w:rPr>
        <w:t>autoridades responsables</w:t>
      </w:r>
      <w:r w:rsidRPr="008E5B0F">
        <w:rPr>
          <w:rFonts w:ascii="Arial" w:hAnsi="Arial" w:cs="Arial"/>
          <w:sz w:val="24"/>
          <w:szCs w:val="24"/>
        </w:rPr>
        <w:t xml:space="preserve"> han impedido su acceso al cargo de Regidora Propietaria por el principio de Representación Proporcional del </w:t>
      </w:r>
      <w:r w:rsidRPr="008E5B0F">
        <w:rPr>
          <w:rFonts w:ascii="Arial" w:hAnsi="Arial" w:cs="Arial"/>
          <w:i/>
          <w:iCs/>
          <w:sz w:val="24"/>
          <w:szCs w:val="24"/>
        </w:rPr>
        <w:t>Ayuntamiento</w:t>
      </w:r>
      <w:r w:rsidRPr="008E5B0F">
        <w:rPr>
          <w:rFonts w:ascii="Arial" w:hAnsi="Arial" w:cs="Arial"/>
          <w:sz w:val="24"/>
          <w:szCs w:val="24"/>
        </w:rPr>
        <w:t xml:space="preserve">, para el que afirma haber sido electa en el </w:t>
      </w:r>
      <w:r w:rsidRPr="008E5B0F">
        <w:rPr>
          <w:rFonts w:ascii="Arial" w:hAnsi="Arial" w:cs="Arial"/>
          <w:i/>
          <w:iCs/>
          <w:sz w:val="24"/>
          <w:szCs w:val="24"/>
        </w:rPr>
        <w:t>PEL 2023-2024</w:t>
      </w:r>
      <w:r w:rsidRPr="008E5B0F">
        <w:rPr>
          <w:rFonts w:ascii="Arial" w:hAnsi="Arial" w:cs="Arial"/>
          <w:sz w:val="24"/>
          <w:szCs w:val="24"/>
        </w:rPr>
        <w:t xml:space="preserve">, al no haber sido llamada a integrarlo; así como por la omisión de realizar los trámites de su alta jurídico-administrativa con efectos a partir del tres de septiembre, fecha de presentación de su escrito de incorporación, bajo el argumento de que le asiste el derecho de ejercer el cargo con todas las prerrogativas inherentes. Este </w:t>
      </w:r>
      <w:r w:rsidRPr="008E5B0F">
        <w:rPr>
          <w:rFonts w:ascii="Arial" w:hAnsi="Arial" w:cs="Arial"/>
          <w:i/>
          <w:iCs/>
          <w:sz w:val="24"/>
          <w:szCs w:val="24"/>
        </w:rPr>
        <w:t>órgano jurisdiccional</w:t>
      </w:r>
      <w:r w:rsidRPr="008E5B0F">
        <w:rPr>
          <w:rFonts w:ascii="Arial" w:hAnsi="Arial" w:cs="Arial"/>
          <w:sz w:val="24"/>
          <w:szCs w:val="24"/>
        </w:rPr>
        <w:t xml:space="preserve"> estima necesario </w:t>
      </w:r>
      <w:proofErr w:type="gramStart"/>
      <w:r w:rsidRPr="008E5B0F">
        <w:rPr>
          <w:rFonts w:ascii="Arial" w:hAnsi="Arial" w:cs="Arial"/>
          <w:sz w:val="24"/>
          <w:szCs w:val="24"/>
        </w:rPr>
        <w:t>precisar</w:t>
      </w:r>
      <w:proofErr w:type="gramEnd"/>
      <w:r w:rsidRPr="008E5B0F">
        <w:rPr>
          <w:rFonts w:ascii="Arial" w:hAnsi="Arial" w:cs="Arial"/>
          <w:sz w:val="24"/>
          <w:szCs w:val="24"/>
        </w:rPr>
        <w:t xml:space="preserve"> que tal afirmación carece de sustento jurídico, por las razones que a continuación se exponen.</w:t>
      </w:r>
    </w:p>
    <w:p w14:paraId="404CFB3E"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De inicio, es importante señalar que, contrario a lo sostenido por la </w:t>
      </w:r>
      <w:r w:rsidRPr="008E5B0F">
        <w:rPr>
          <w:rFonts w:ascii="Arial" w:hAnsi="Arial" w:cs="Arial"/>
          <w:i/>
          <w:iCs/>
          <w:sz w:val="24"/>
          <w:szCs w:val="24"/>
        </w:rPr>
        <w:t>actora</w:t>
      </w:r>
      <w:r w:rsidRPr="008E5B0F">
        <w:rPr>
          <w:rFonts w:ascii="Arial" w:hAnsi="Arial" w:cs="Arial"/>
          <w:sz w:val="24"/>
          <w:szCs w:val="24"/>
        </w:rPr>
        <w:t xml:space="preserve">, se encuentra plenamente acreditado en autos </w:t>
      </w:r>
      <w:proofErr w:type="gramStart"/>
      <w:r w:rsidRPr="008E5B0F">
        <w:rPr>
          <w:rFonts w:ascii="Arial" w:hAnsi="Arial" w:cs="Arial"/>
          <w:sz w:val="24"/>
          <w:szCs w:val="24"/>
        </w:rPr>
        <w:t>que  no</w:t>
      </w:r>
      <w:proofErr w:type="gramEnd"/>
      <w:r w:rsidRPr="008E5B0F">
        <w:rPr>
          <w:rFonts w:ascii="Arial" w:hAnsi="Arial" w:cs="Arial"/>
          <w:sz w:val="24"/>
          <w:szCs w:val="24"/>
        </w:rPr>
        <w:t xml:space="preserve"> fue electa como candidata propietaria, sino como candidata suplente a la primera Regiduría por el principio de Representación Proporcional en el </w:t>
      </w:r>
      <w:r w:rsidRPr="008E5B0F">
        <w:rPr>
          <w:rFonts w:ascii="Arial" w:hAnsi="Arial" w:cs="Arial"/>
          <w:i/>
          <w:iCs/>
          <w:sz w:val="24"/>
          <w:szCs w:val="24"/>
        </w:rPr>
        <w:t>Ayuntamiento</w:t>
      </w:r>
      <w:r w:rsidRPr="008E5B0F">
        <w:rPr>
          <w:rFonts w:ascii="Arial" w:hAnsi="Arial" w:cs="Arial"/>
          <w:sz w:val="24"/>
          <w:szCs w:val="24"/>
        </w:rPr>
        <w:t xml:space="preserve">, postulada por el </w:t>
      </w:r>
      <w:r w:rsidRPr="008E5B0F">
        <w:rPr>
          <w:rFonts w:ascii="Arial" w:hAnsi="Arial" w:cs="Arial"/>
          <w:i/>
          <w:iCs/>
          <w:sz w:val="24"/>
          <w:szCs w:val="24"/>
        </w:rPr>
        <w:t>PRI</w:t>
      </w:r>
      <w:r w:rsidRPr="008E5B0F">
        <w:rPr>
          <w:rFonts w:ascii="Arial" w:hAnsi="Arial" w:cs="Arial"/>
          <w:sz w:val="24"/>
          <w:szCs w:val="24"/>
        </w:rPr>
        <w:t>; esta situación se corrobora con diferentes medios de convicción, como se verá.</w:t>
      </w:r>
    </w:p>
    <w:p w14:paraId="404CFB3F"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Primeramente, es de precisar que la </w:t>
      </w:r>
      <w:r w:rsidRPr="008E5B0F">
        <w:rPr>
          <w:rFonts w:ascii="Arial" w:hAnsi="Arial" w:cs="Arial"/>
          <w:i/>
          <w:iCs/>
          <w:sz w:val="24"/>
          <w:szCs w:val="24"/>
        </w:rPr>
        <w:t>actora</w:t>
      </w:r>
      <w:r w:rsidRPr="008E5B0F">
        <w:rPr>
          <w:rFonts w:ascii="Arial" w:hAnsi="Arial" w:cs="Arial"/>
          <w:sz w:val="24"/>
          <w:szCs w:val="24"/>
        </w:rPr>
        <w:t xml:space="preserve"> pretende sustentar su pretensión en que el </w:t>
      </w:r>
      <w:r w:rsidRPr="008E5B0F">
        <w:rPr>
          <w:rFonts w:ascii="Arial" w:hAnsi="Arial" w:cs="Arial"/>
          <w:i/>
          <w:iCs/>
          <w:sz w:val="24"/>
          <w:szCs w:val="24"/>
        </w:rPr>
        <w:t>acuerdo IEM-CG-141/2024</w:t>
      </w:r>
      <w:r w:rsidRPr="008E5B0F">
        <w:rPr>
          <w:rStyle w:val="Refdenotaalpie"/>
          <w:rFonts w:ascii="Arial" w:hAnsi="Arial" w:cs="Arial"/>
          <w:i/>
          <w:iCs/>
          <w:sz w:val="24"/>
          <w:szCs w:val="24"/>
        </w:rPr>
        <w:footnoteReference w:id="40"/>
      </w:r>
      <w:r w:rsidRPr="008E5B0F">
        <w:rPr>
          <w:rFonts w:ascii="Arial" w:hAnsi="Arial" w:cs="Arial"/>
          <w:sz w:val="24"/>
          <w:szCs w:val="24"/>
        </w:rPr>
        <w:t xml:space="preserve">, mediante el cual inicialmente se aprobó el registro de la candidatura en estudio, estableciendo a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como propietaria y al </w:t>
      </w:r>
      <w:r w:rsidRPr="008E5B0F">
        <w:rPr>
          <w:rFonts w:ascii="Arial" w:hAnsi="Arial" w:cs="Arial"/>
          <w:i/>
          <w:iCs/>
          <w:sz w:val="24"/>
          <w:szCs w:val="24"/>
        </w:rPr>
        <w:t>tercero interesado</w:t>
      </w:r>
      <w:r w:rsidRPr="008E5B0F">
        <w:rPr>
          <w:rFonts w:ascii="Arial" w:hAnsi="Arial" w:cs="Arial"/>
          <w:sz w:val="24"/>
          <w:szCs w:val="24"/>
        </w:rPr>
        <w:t xml:space="preserve"> como suplente</w:t>
      </w:r>
      <w:r w:rsidRPr="008E5B0F">
        <w:rPr>
          <w:rStyle w:val="Refdenotaalpie"/>
          <w:rFonts w:ascii="Arial" w:hAnsi="Arial" w:cs="Arial"/>
          <w:sz w:val="24"/>
          <w:szCs w:val="24"/>
        </w:rPr>
        <w:footnoteReference w:id="41"/>
      </w:r>
      <w:r w:rsidRPr="008E5B0F">
        <w:rPr>
          <w:rFonts w:ascii="Arial" w:hAnsi="Arial" w:cs="Arial"/>
          <w:sz w:val="24"/>
          <w:szCs w:val="24"/>
        </w:rPr>
        <w:t xml:space="preserve">. Sin embargo, dicha situación fue modificada con posterioridad, derivado de los ajustes realizados a fin de dar </w:t>
      </w:r>
      <w:r w:rsidRPr="008E5B0F">
        <w:rPr>
          <w:rFonts w:ascii="Arial" w:hAnsi="Arial" w:cs="Arial"/>
          <w:sz w:val="24"/>
          <w:szCs w:val="24"/>
        </w:rPr>
        <w:lastRenderedPageBreak/>
        <w:t xml:space="preserve">cumplimiento por el </w:t>
      </w:r>
      <w:r w:rsidRPr="008E5B0F">
        <w:rPr>
          <w:rFonts w:ascii="Arial" w:hAnsi="Arial" w:cs="Arial"/>
          <w:i/>
          <w:iCs/>
          <w:sz w:val="24"/>
          <w:szCs w:val="24"/>
        </w:rPr>
        <w:t>PRI</w:t>
      </w:r>
      <w:r w:rsidRPr="008E5B0F">
        <w:rPr>
          <w:rFonts w:ascii="Arial" w:hAnsi="Arial" w:cs="Arial"/>
          <w:sz w:val="24"/>
          <w:szCs w:val="24"/>
        </w:rPr>
        <w:t xml:space="preserve"> a las cuotas de acciones afirmativas implementadas</w:t>
      </w:r>
      <w:r w:rsidRPr="008E5B0F">
        <w:rPr>
          <w:rStyle w:val="Refdenotaalpie"/>
          <w:rFonts w:ascii="Arial" w:hAnsi="Arial" w:cs="Arial"/>
          <w:sz w:val="24"/>
          <w:szCs w:val="24"/>
        </w:rPr>
        <w:footnoteReference w:id="42"/>
      </w:r>
      <w:r w:rsidRPr="008E5B0F">
        <w:rPr>
          <w:rFonts w:ascii="Arial" w:hAnsi="Arial" w:cs="Arial"/>
          <w:sz w:val="24"/>
          <w:szCs w:val="24"/>
        </w:rPr>
        <w:t xml:space="preserve">, lo cual fue validado por el </w:t>
      </w:r>
      <w:r w:rsidRPr="008E5B0F">
        <w:rPr>
          <w:rFonts w:ascii="Arial" w:hAnsi="Arial" w:cs="Arial"/>
          <w:i/>
          <w:iCs/>
          <w:sz w:val="24"/>
          <w:szCs w:val="24"/>
        </w:rPr>
        <w:t>Instituto</w:t>
      </w:r>
      <w:r w:rsidRPr="008E5B0F">
        <w:rPr>
          <w:rFonts w:ascii="Arial" w:hAnsi="Arial" w:cs="Arial"/>
          <w:sz w:val="24"/>
          <w:szCs w:val="24"/>
        </w:rPr>
        <w:t xml:space="preserve"> mediante el </w:t>
      </w:r>
      <w:r w:rsidRPr="008E5B0F">
        <w:rPr>
          <w:rFonts w:ascii="Arial" w:hAnsi="Arial" w:cs="Arial"/>
          <w:i/>
          <w:iCs/>
          <w:sz w:val="24"/>
          <w:szCs w:val="24"/>
        </w:rPr>
        <w:t>acuerdo IEM-CG-154/2024</w:t>
      </w:r>
      <w:r w:rsidRPr="008E5B0F">
        <w:rPr>
          <w:rStyle w:val="Refdenotaalpie"/>
          <w:rFonts w:ascii="Arial" w:hAnsi="Arial" w:cs="Arial"/>
          <w:i/>
          <w:iCs/>
          <w:sz w:val="24"/>
          <w:szCs w:val="24"/>
        </w:rPr>
        <w:footnoteReference w:id="43"/>
      </w:r>
      <w:r w:rsidRPr="008E5B0F">
        <w:rPr>
          <w:rFonts w:ascii="Arial" w:hAnsi="Arial" w:cs="Arial"/>
          <w:sz w:val="24"/>
          <w:szCs w:val="24"/>
        </w:rPr>
        <w:t xml:space="preserve">. </w:t>
      </w:r>
    </w:p>
    <w:p w14:paraId="404CFB40"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Lo anterior se corrobora mediante el oficio IEM-DEOE-320/2025</w:t>
      </w:r>
      <w:r w:rsidRPr="008E5B0F">
        <w:rPr>
          <w:rStyle w:val="Refdenotaalpie"/>
          <w:rFonts w:ascii="Arial" w:hAnsi="Arial" w:cs="Arial"/>
          <w:sz w:val="24"/>
          <w:szCs w:val="24"/>
        </w:rPr>
        <w:footnoteReference w:id="44"/>
      </w:r>
      <w:r w:rsidRPr="008E5B0F">
        <w:rPr>
          <w:rFonts w:ascii="Arial" w:hAnsi="Arial" w:cs="Arial"/>
          <w:sz w:val="24"/>
          <w:szCs w:val="24"/>
        </w:rPr>
        <w:t xml:space="preserve">, de uno de octubre, signado por el Director Ejecutivo de Organización Electoral del </w:t>
      </w:r>
      <w:r w:rsidRPr="008E5B0F">
        <w:rPr>
          <w:rFonts w:ascii="Arial" w:hAnsi="Arial" w:cs="Arial"/>
          <w:i/>
          <w:iCs/>
          <w:sz w:val="24"/>
          <w:szCs w:val="24"/>
        </w:rPr>
        <w:t>IEM</w:t>
      </w:r>
      <w:r w:rsidRPr="008E5B0F">
        <w:rPr>
          <w:rFonts w:ascii="Arial" w:hAnsi="Arial" w:cs="Arial"/>
          <w:sz w:val="24"/>
          <w:szCs w:val="24"/>
        </w:rPr>
        <w:t xml:space="preserve">, en el cual se precisó que, en el </w:t>
      </w:r>
      <w:r w:rsidRPr="008E5B0F">
        <w:rPr>
          <w:rFonts w:ascii="Arial" w:hAnsi="Arial" w:cs="Arial"/>
          <w:i/>
          <w:iCs/>
          <w:sz w:val="24"/>
          <w:szCs w:val="24"/>
        </w:rPr>
        <w:t>acuerdo</w:t>
      </w:r>
      <w:r w:rsidRPr="008E5B0F">
        <w:rPr>
          <w:rFonts w:ascii="Arial" w:hAnsi="Arial" w:cs="Arial"/>
          <w:sz w:val="24"/>
          <w:szCs w:val="24"/>
        </w:rPr>
        <w:t xml:space="preserve"> </w:t>
      </w:r>
      <w:r w:rsidRPr="008E5B0F">
        <w:rPr>
          <w:rFonts w:ascii="Arial" w:hAnsi="Arial" w:cs="Arial"/>
          <w:i/>
          <w:iCs/>
          <w:sz w:val="24"/>
          <w:szCs w:val="24"/>
        </w:rPr>
        <w:t>IEM-CG-154/2024</w:t>
      </w:r>
      <w:r w:rsidRPr="008E5B0F">
        <w:rPr>
          <w:rFonts w:ascii="Arial" w:hAnsi="Arial" w:cs="Arial"/>
          <w:sz w:val="24"/>
          <w:szCs w:val="24"/>
        </w:rPr>
        <w:t xml:space="preserve">, relativo al cumplimiento de acciones afirmativas, se aprobó la candidatura correspondiente a la Primera Regiduría LGBTI+ del </w:t>
      </w:r>
      <w:r w:rsidRPr="008E5B0F">
        <w:rPr>
          <w:rFonts w:ascii="Arial" w:hAnsi="Arial" w:cs="Arial"/>
          <w:i/>
          <w:iCs/>
          <w:sz w:val="24"/>
          <w:szCs w:val="24"/>
        </w:rPr>
        <w:t>Ayuntamiento</w:t>
      </w:r>
      <w:r w:rsidRPr="008E5B0F">
        <w:rPr>
          <w:rFonts w:ascii="Arial" w:hAnsi="Arial" w:cs="Arial"/>
          <w:sz w:val="24"/>
          <w:szCs w:val="24"/>
        </w:rPr>
        <w:t xml:space="preserve"> por dicho partido, —siendo el </w:t>
      </w:r>
      <w:r w:rsidRPr="008E5B0F">
        <w:rPr>
          <w:rFonts w:ascii="Arial" w:hAnsi="Arial" w:cs="Arial"/>
          <w:i/>
          <w:iCs/>
          <w:sz w:val="24"/>
          <w:szCs w:val="24"/>
        </w:rPr>
        <w:t>tercero interesado</w:t>
      </w:r>
      <w:r w:rsidRPr="008E5B0F">
        <w:rPr>
          <w:rFonts w:ascii="Arial" w:hAnsi="Arial" w:cs="Arial"/>
          <w:sz w:val="24"/>
          <w:szCs w:val="24"/>
        </w:rPr>
        <w:t xml:space="preserve"> candidato propietario y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suplente—, por lo que, es la jurídicamente válida, situación que en efecto se advierte de la imagen del acuerdo de mérito, que se inserta para mayor claridad</w:t>
      </w:r>
      <w:r w:rsidRPr="008E5B0F">
        <w:rPr>
          <w:rStyle w:val="Refdenotaalpie"/>
          <w:rFonts w:ascii="Arial" w:hAnsi="Arial" w:cs="Arial"/>
          <w:i/>
          <w:iCs/>
          <w:sz w:val="24"/>
          <w:szCs w:val="24"/>
        </w:rPr>
        <w:footnoteReference w:id="45"/>
      </w:r>
      <w:r w:rsidRPr="008E5B0F">
        <w:rPr>
          <w:rFonts w:ascii="Arial" w:hAnsi="Arial" w:cs="Arial"/>
          <w:sz w:val="24"/>
          <w:szCs w:val="24"/>
        </w:rPr>
        <w:t>.</w:t>
      </w:r>
    </w:p>
    <w:p w14:paraId="404CFB41" w14:textId="77777777" w:rsidR="0012716D" w:rsidRPr="008E5B0F" w:rsidRDefault="001E741F">
      <w:pPr>
        <w:spacing w:before="100" w:beforeAutospacing="1" w:after="100" w:afterAutospacing="1" w:line="360" w:lineRule="auto"/>
        <w:jc w:val="center"/>
        <w:rPr>
          <w:rFonts w:ascii="Arial" w:hAnsi="Arial" w:cs="Arial"/>
          <w:sz w:val="24"/>
          <w:szCs w:val="24"/>
        </w:rPr>
      </w:pPr>
      <w:r w:rsidRPr="008E5B0F">
        <w:rPr>
          <w:rFonts w:ascii="Arial" w:hAnsi="Arial" w:cs="Arial"/>
          <w:noProof/>
          <w:sz w:val="24"/>
          <w:szCs w:val="24"/>
        </w:rPr>
        <w:lastRenderedPageBreak/>
        <w:drawing>
          <wp:inline distT="0" distB="0" distL="0" distR="0" wp14:anchorId="404CFBB3" wp14:editId="404CFBB4">
            <wp:extent cx="3676497" cy="4909159"/>
            <wp:effectExtent l="0" t="0" r="635" b="6350"/>
            <wp:docPr id="1638956586" name="Imagen 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56586" name="Imagen 6" descr="Texto&#10;&#10;El contenido generado por IA puede ser incorrec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88330" cy="4924959"/>
                    </a:xfrm>
                    <a:prstGeom prst="rect">
                      <a:avLst/>
                    </a:prstGeom>
                    <a:noFill/>
                    <a:ln>
                      <a:noFill/>
                    </a:ln>
                  </pic:spPr>
                </pic:pic>
              </a:graphicData>
            </a:graphic>
          </wp:inline>
        </w:drawing>
      </w:r>
    </w:p>
    <w:p w14:paraId="404CFB42"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Cabe señalar que en el diverso acuerdo IEM-CG-198/2024</w:t>
      </w:r>
      <w:r w:rsidRPr="008E5B0F">
        <w:rPr>
          <w:rStyle w:val="Refdenotaalpie"/>
          <w:rFonts w:ascii="Arial" w:hAnsi="Arial" w:cs="Arial"/>
          <w:sz w:val="24"/>
          <w:szCs w:val="24"/>
        </w:rPr>
        <w:footnoteReference w:id="46"/>
      </w:r>
      <w:r w:rsidRPr="008E5B0F">
        <w:rPr>
          <w:rFonts w:ascii="Arial" w:hAnsi="Arial" w:cs="Arial"/>
          <w:sz w:val="24"/>
          <w:szCs w:val="24"/>
        </w:rPr>
        <w:t xml:space="preserve">, el </w:t>
      </w:r>
      <w:r w:rsidRPr="008E5B0F">
        <w:rPr>
          <w:rFonts w:ascii="Arial" w:hAnsi="Arial" w:cs="Arial"/>
          <w:i/>
          <w:iCs/>
          <w:sz w:val="24"/>
          <w:szCs w:val="24"/>
        </w:rPr>
        <w:t>Consejo General</w:t>
      </w:r>
      <w:r w:rsidRPr="008E5B0F">
        <w:rPr>
          <w:rFonts w:ascii="Arial" w:hAnsi="Arial" w:cs="Arial"/>
          <w:sz w:val="24"/>
          <w:szCs w:val="24"/>
        </w:rPr>
        <w:t xml:space="preserve"> dio cumplimiento a lo mandato por este </w:t>
      </w:r>
      <w:r w:rsidRPr="008E5B0F">
        <w:rPr>
          <w:rFonts w:ascii="Arial" w:hAnsi="Arial" w:cs="Arial"/>
          <w:i/>
          <w:iCs/>
          <w:sz w:val="24"/>
          <w:szCs w:val="24"/>
        </w:rPr>
        <w:t>órgano jurisdiccional</w:t>
      </w:r>
      <w:r w:rsidRPr="008E5B0F">
        <w:rPr>
          <w:rFonts w:ascii="Arial" w:hAnsi="Arial" w:cs="Arial"/>
          <w:sz w:val="24"/>
          <w:szCs w:val="24"/>
        </w:rPr>
        <w:t xml:space="preserve">, al resolver el juicio TEEM-JDC-077/2024, como a lo resuelto por </w:t>
      </w:r>
      <w:r w:rsidRPr="008E5B0F">
        <w:rPr>
          <w:rFonts w:ascii="Arial" w:hAnsi="Arial" w:cs="Arial"/>
          <w:i/>
          <w:iCs/>
          <w:sz w:val="24"/>
          <w:szCs w:val="24"/>
        </w:rPr>
        <w:t>Sala Toluca</w:t>
      </w:r>
      <w:r w:rsidRPr="008E5B0F">
        <w:rPr>
          <w:rFonts w:ascii="Arial" w:hAnsi="Arial" w:cs="Arial"/>
          <w:sz w:val="24"/>
          <w:szCs w:val="24"/>
        </w:rPr>
        <w:t xml:space="preserve"> al resolver el juicio de revisión ST-JRC-32/2024, derivado de la cadena impugnativa derivada del </w:t>
      </w:r>
      <w:r w:rsidRPr="008E5B0F">
        <w:rPr>
          <w:rFonts w:ascii="Arial" w:hAnsi="Arial" w:cs="Arial"/>
          <w:i/>
          <w:iCs/>
          <w:sz w:val="24"/>
          <w:szCs w:val="24"/>
        </w:rPr>
        <w:t>acuerdo IEM-CG-154/2024</w:t>
      </w:r>
      <w:r w:rsidRPr="008E5B0F">
        <w:rPr>
          <w:rFonts w:ascii="Arial" w:hAnsi="Arial" w:cs="Arial"/>
          <w:sz w:val="24"/>
          <w:szCs w:val="24"/>
        </w:rPr>
        <w:t>, sin que se hubiera modificado la integración de dicha candidatura</w:t>
      </w:r>
      <w:r w:rsidRPr="008E5B0F">
        <w:rPr>
          <w:rStyle w:val="Refdenotaalpie"/>
          <w:rFonts w:ascii="Arial" w:hAnsi="Arial" w:cs="Arial"/>
          <w:sz w:val="24"/>
          <w:szCs w:val="24"/>
        </w:rPr>
        <w:footnoteReference w:id="47"/>
      </w:r>
      <w:r w:rsidRPr="008E5B0F">
        <w:rPr>
          <w:rFonts w:ascii="Arial" w:hAnsi="Arial" w:cs="Arial"/>
          <w:sz w:val="24"/>
          <w:szCs w:val="24"/>
        </w:rPr>
        <w:t>.</w:t>
      </w:r>
    </w:p>
    <w:p w14:paraId="404CFB43"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consecuencia, el acuerdo en cita, de fecha posterior, dejó sin efectos la candidatura previa, aprobando de manera definitiva la integrada con el </w:t>
      </w:r>
      <w:r w:rsidRPr="008E5B0F">
        <w:rPr>
          <w:rFonts w:ascii="Arial" w:hAnsi="Arial" w:cs="Arial"/>
          <w:i/>
          <w:iCs/>
          <w:sz w:val="24"/>
          <w:szCs w:val="24"/>
        </w:rPr>
        <w:t xml:space="preserve">tercero </w:t>
      </w:r>
      <w:r w:rsidRPr="008E5B0F">
        <w:rPr>
          <w:rFonts w:ascii="Arial" w:hAnsi="Arial" w:cs="Arial"/>
          <w:i/>
          <w:iCs/>
          <w:sz w:val="24"/>
          <w:szCs w:val="24"/>
        </w:rPr>
        <w:lastRenderedPageBreak/>
        <w:t>interesado</w:t>
      </w:r>
      <w:r w:rsidRPr="008E5B0F">
        <w:rPr>
          <w:rFonts w:ascii="Arial" w:hAnsi="Arial" w:cs="Arial"/>
          <w:sz w:val="24"/>
          <w:szCs w:val="24"/>
        </w:rPr>
        <w:t xml:space="preserve"> como propietario y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como suplente</w:t>
      </w:r>
      <w:r w:rsidR="00912F65" w:rsidRPr="008E5B0F">
        <w:rPr>
          <w:rFonts w:ascii="Arial" w:hAnsi="Arial" w:cs="Arial"/>
          <w:sz w:val="24"/>
          <w:szCs w:val="24"/>
        </w:rPr>
        <w:t xml:space="preserve">, </w:t>
      </w:r>
      <w:r w:rsidRPr="008E5B0F">
        <w:rPr>
          <w:rFonts w:ascii="Arial" w:hAnsi="Arial" w:cs="Arial"/>
          <w:sz w:val="24"/>
          <w:szCs w:val="24"/>
        </w:rPr>
        <w:t xml:space="preserve">por lo que, contrario a lo sostenido por esta, se encuentra plenamente acreditado en autos que ella no fue electa como candidata propietaria, sino como candidata suplente a la Primera Regiduría en el </w:t>
      </w:r>
      <w:r w:rsidRPr="008E5B0F">
        <w:rPr>
          <w:rFonts w:ascii="Arial" w:hAnsi="Arial" w:cs="Arial"/>
          <w:i/>
          <w:iCs/>
          <w:sz w:val="24"/>
          <w:szCs w:val="24"/>
        </w:rPr>
        <w:t>Ayuntamiento</w:t>
      </w:r>
      <w:r w:rsidRPr="008E5B0F">
        <w:rPr>
          <w:rFonts w:ascii="Arial" w:hAnsi="Arial" w:cs="Arial"/>
          <w:sz w:val="24"/>
          <w:szCs w:val="24"/>
        </w:rPr>
        <w:t xml:space="preserve">, postulada por el </w:t>
      </w:r>
      <w:r w:rsidRPr="008E5B0F">
        <w:rPr>
          <w:rFonts w:ascii="Arial" w:hAnsi="Arial" w:cs="Arial"/>
          <w:i/>
          <w:iCs/>
          <w:sz w:val="24"/>
          <w:szCs w:val="24"/>
        </w:rPr>
        <w:t>PRI</w:t>
      </w:r>
      <w:r w:rsidRPr="008E5B0F">
        <w:rPr>
          <w:rFonts w:ascii="Arial" w:hAnsi="Arial" w:cs="Arial"/>
          <w:sz w:val="24"/>
          <w:szCs w:val="24"/>
        </w:rPr>
        <w:t>.</w:t>
      </w:r>
    </w:p>
    <w:p w14:paraId="404CFB44"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De igual manera, la </w:t>
      </w:r>
      <w:r w:rsidRPr="008E5B0F">
        <w:rPr>
          <w:rFonts w:ascii="Arial" w:hAnsi="Arial" w:cs="Arial"/>
          <w:i/>
          <w:iCs/>
          <w:sz w:val="24"/>
          <w:szCs w:val="24"/>
        </w:rPr>
        <w:t xml:space="preserve">actora </w:t>
      </w:r>
      <w:r w:rsidRPr="008E5B0F">
        <w:rPr>
          <w:rFonts w:ascii="Arial" w:hAnsi="Arial" w:cs="Arial"/>
          <w:sz w:val="24"/>
          <w:szCs w:val="24"/>
        </w:rPr>
        <w:t xml:space="preserve">sostiene que, </w:t>
      </w:r>
      <w:r w:rsidRPr="008E5B0F">
        <w:rPr>
          <w:rFonts w:ascii="Arial" w:hAnsi="Arial" w:cs="Arial"/>
          <w:b/>
          <w:bCs/>
          <w:sz w:val="24"/>
          <w:szCs w:val="24"/>
        </w:rPr>
        <w:t xml:space="preserve">una vez instalado el </w:t>
      </w:r>
      <w:r w:rsidRPr="008E5B0F">
        <w:rPr>
          <w:rFonts w:ascii="Arial" w:hAnsi="Arial" w:cs="Arial"/>
          <w:b/>
          <w:bCs/>
          <w:i/>
          <w:iCs/>
          <w:sz w:val="24"/>
          <w:szCs w:val="24"/>
        </w:rPr>
        <w:t>Ayuntamiento</w:t>
      </w:r>
      <w:r w:rsidRPr="008E5B0F">
        <w:rPr>
          <w:rFonts w:ascii="Arial" w:hAnsi="Arial" w:cs="Arial"/>
          <w:sz w:val="24"/>
          <w:szCs w:val="24"/>
        </w:rPr>
        <w:t xml:space="preserve"> para el periodo para el cual —según afirma— fue electa, por cuestiones de índole político permitió que su suplente ejerciera el cargo por el periodo de un año, sin que se le hubiera hecho notificación alguna por parte del </w:t>
      </w:r>
      <w:r w:rsidRPr="008E5B0F">
        <w:rPr>
          <w:rFonts w:ascii="Arial" w:hAnsi="Arial" w:cs="Arial"/>
          <w:i/>
          <w:iCs/>
          <w:sz w:val="24"/>
          <w:szCs w:val="24"/>
        </w:rPr>
        <w:t>Ayuntamiento</w:t>
      </w:r>
      <w:r w:rsidRPr="008E5B0F">
        <w:rPr>
          <w:rFonts w:ascii="Arial" w:hAnsi="Arial" w:cs="Arial"/>
          <w:sz w:val="24"/>
          <w:szCs w:val="24"/>
        </w:rPr>
        <w:t xml:space="preserve"> para dar legalidad a la toma de protesta de su suplente.</w:t>
      </w:r>
    </w:p>
    <w:p w14:paraId="404CFB45"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No obstante, en autos obra copia certificada del </w:t>
      </w:r>
      <w:r w:rsidRPr="008E5B0F">
        <w:rPr>
          <w:rFonts w:ascii="Arial" w:hAnsi="Arial" w:cs="Arial"/>
          <w:i/>
          <w:iCs/>
          <w:sz w:val="24"/>
          <w:szCs w:val="24"/>
        </w:rPr>
        <w:t>Acta de Instalación de Ayuntamiento</w:t>
      </w:r>
      <w:r w:rsidRPr="008E5B0F">
        <w:rPr>
          <w:rStyle w:val="Refdenotaalpie"/>
          <w:rFonts w:ascii="Arial" w:hAnsi="Arial" w:cs="Arial"/>
          <w:i/>
          <w:iCs/>
          <w:sz w:val="24"/>
          <w:szCs w:val="24"/>
        </w:rPr>
        <w:footnoteReference w:id="48"/>
      </w:r>
      <w:r w:rsidRPr="008E5B0F">
        <w:rPr>
          <w:rFonts w:ascii="Arial" w:hAnsi="Arial" w:cs="Arial"/>
          <w:sz w:val="24"/>
          <w:szCs w:val="24"/>
        </w:rPr>
        <w:t xml:space="preserve">, de la que se advierte con claridad que, con fundamento en los artículos 22 y 23 de la </w:t>
      </w:r>
      <w:r w:rsidRPr="008E5B0F">
        <w:rPr>
          <w:rFonts w:ascii="Arial" w:hAnsi="Arial" w:cs="Arial"/>
          <w:i/>
          <w:iCs/>
          <w:sz w:val="24"/>
          <w:szCs w:val="24"/>
        </w:rPr>
        <w:t>Ley Orgánica Municipal</w:t>
      </w:r>
      <w:r w:rsidRPr="008E5B0F">
        <w:rPr>
          <w:rFonts w:ascii="Arial" w:hAnsi="Arial" w:cs="Arial"/>
          <w:sz w:val="24"/>
          <w:szCs w:val="24"/>
        </w:rPr>
        <w:t xml:space="preserve">, el uno de septiembre de dos mil veinticuatro, se llevó a cabo la sesión solemne correspondiente, mediante la cual se </w:t>
      </w:r>
      <w:r w:rsidRPr="008E5B0F">
        <w:rPr>
          <w:rFonts w:ascii="Arial" w:hAnsi="Arial" w:cs="Arial"/>
          <w:b/>
          <w:bCs/>
          <w:sz w:val="24"/>
          <w:szCs w:val="24"/>
        </w:rPr>
        <w:t xml:space="preserve">constituyó legalmente al </w:t>
      </w:r>
      <w:r w:rsidRPr="008E5B0F">
        <w:rPr>
          <w:rFonts w:ascii="Arial" w:hAnsi="Arial" w:cs="Arial"/>
          <w:b/>
          <w:bCs/>
          <w:i/>
          <w:iCs/>
          <w:sz w:val="24"/>
          <w:szCs w:val="24"/>
        </w:rPr>
        <w:t>Ayuntamiento</w:t>
      </w:r>
      <w:r w:rsidRPr="008E5B0F">
        <w:rPr>
          <w:rFonts w:ascii="Arial" w:hAnsi="Arial" w:cs="Arial"/>
          <w:sz w:val="24"/>
          <w:szCs w:val="24"/>
        </w:rPr>
        <w:t xml:space="preserve"> para el periodo comprendido del uno de septiembre de dos mil veinticuatro al treinta y uno de agosto de dos mil veintisiete.</w:t>
      </w:r>
    </w:p>
    <w:p w14:paraId="404CFB46"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Entonces, una vez hecho constar la presencia de las autoridades electas, con las Constancias de Mayoría y Validez de cinco de junio de aquella anualidad, emitidas por el </w:t>
      </w:r>
      <w:r w:rsidRPr="008E5B0F">
        <w:rPr>
          <w:rFonts w:ascii="Arial" w:hAnsi="Arial" w:cs="Arial"/>
          <w:i/>
          <w:iCs/>
          <w:sz w:val="24"/>
          <w:szCs w:val="24"/>
        </w:rPr>
        <w:t xml:space="preserve">IEM, </w:t>
      </w:r>
      <w:r w:rsidRPr="008E5B0F">
        <w:rPr>
          <w:rFonts w:ascii="Arial" w:hAnsi="Arial" w:cs="Arial"/>
          <w:sz w:val="24"/>
          <w:szCs w:val="24"/>
        </w:rPr>
        <w:t xml:space="preserve">en el PRIMER punto del orden del día quedó asentado el pase de lista de quienes integrarían al </w:t>
      </w:r>
      <w:r w:rsidRPr="008E5B0F">
        <w:rPr>
          <w:rFonts w:ascii="Arial" w:hAnsi="Arial" w:cs="Arial"/>
          <w:i/>
          <w:iCs/>
          <w:sz w:val="24"/>
          <w:szCs w:val="24"/>
        </w:rPr>
        <w:t>Ayuntamiento</w:t>
      </w:r>
      <w:r w:rsidRPr="008E5B0F">
        <w:rPr>
          <w:rFonts w:ascii="Arial" w:hAnsi="Arial" w:cs="Arial"/>
          <w:sz w:val="24"/>
          <w:szCs w:val="24"/>
        </w:rPr>
        <w:t xml:space="preserve">, de donde se advierte que el </w:t>
      </w:r>
      <w:r w:rsidRPr="008E5B0F">
        <w:rPr>
          <w:rFonts w:ascii="Arial" w:hAnsi="Arial" w:cs="Arial"/>
          <w:i/>
          <w:iCs/>
          <w:sz w:val="24"/>
          <w:szCs w:val="24"/>
        </w:rPr>
        <w:t>tercero interesado</w:t>
      </w:r>
      <w:r w:rsidRPr="008E5B0F">
        <w:rPr>
          <w:rFonts w:ascii="Arial" w:hAnsi="Arial" w:cs="Arial"/>
          <w:sz w:val="24"/>
          <w:szCs w:val="24"/>
        </w:rPr>
        <w:t xml:space="preserve"> se encuentra enlistado en el numeral 7 como “Regidora Electa”; tal y como se evidencia en la imagen siguiente: </w:t>
      </w:r>
    </w:p>
    <w:p w14:paraId="404CFB47" w14:textId="77777777" w:rsidR="0012716D" w:rsidRPr="008E5B0F" w:rsidRDefault="001E741F">
      <w:pPr>
        <w:spacing w:before="100" w:beforeAutospacing="1" w:after="100" w:afterAutospacing="1" w:line="360" w:lineRule="auto"/>
        <w:jc w:val="center"/>
        <w:rPr>
          <w:rFonts w:ascii="Arial" w:hAnsi="Arial" w:cs="Arial"/>
          <w:sz w:val="24"/>
          <w:szCs w:val="24"/>
        </w:rPr>
      </w:pPr>
      <w:r w:rsidRPr="008E5B0F">
        <w:rPr>
          <w:rFonts w:ascii="Arial" w:hAnsi="Arial" w:cs="Arial"/>
          <w:noProof/>
          <w:sz w:val="24"/>
          <w:szCs w:val="24"/>
        </w:rPr>
        <w:lastRenderedPageBreak/>
        <w:drawing>
          <wp:inline distT="0" distB="0" distL="0" distR="0" wp14:anchorId="404CFBB5" wp14:editId="404CFBB6">
            <wp:extent cx="3812616" cy="1682115"/>
            <wp:effectExtent l="0" t="0" r="0" b="0"/>
            <wp:docPr id="311311310" name="Imagen 10"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311310" name="Imagen 10" descr="Texto&#10;&#10;El contenido generado por IA puede ser incorrec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3969" cy="1682712"/>
                    </a:xfrm>
                    <a:prstGeom prst="rect">
                      <a:avLst/>
                    </a:prstGeom>
                    <a:noFill/>
                    <a:ln>
                      <a:noFill/>
                    </a:ln>
                  </pic:spPr>
                </pic:pic>
              </a:graphicData>
            </a:graphic>
          </wp:inline>
        </w:drawing>
      </w:r>
    </w:p>
    <w:p w14:paraId="404CFB48"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Así, durante la sesión de instalación se procedió a la lectura del orden del día; posteriormente a la toma de protesta del Presidente Municipal; y, en el CUARTO punto, éste tomó protesta a la Síndica, así como Regidoras y Regidores, entre quienes se encontraba el </w:t>
      </w:r>
      <w:r w:rsidRPr="008E5B0F">
        <w:rPr>
          <w:rFonts w:ascii="Arial" w:hAnsi="Arial" w:cs="Arial"/>
          <w:i/>
          <w:iCs/>
          <w:sz w:val="24"/>
          <w:szCs w:val="24"/>
        </w:rPr>
        <w:t>tercero interesado</w:t>
      </w:r>
      <w:r w:rsidRPr="008E5B0F">
        <w:rPr>
          <w:rFonts w:ascii="Arial" w:hAnsi="Arial" w:cs="Arial"/>
          <w:sz w:val="24"/>
          <w:szCs w:val="24"/>
        </w:rPr>
        <w:t xml:space="preserve">. </w:t>
      </w:r>
    </w:p>
    <w:p w14:paraId="404CFB49"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eastAsia="Arial" w:hAnsi="Arial" w:cs="Arial"/>
          <w:sz w:val="24"/>
          <w:szCs w:val="24"/>
        </w:rPr>
        <w:t xml:space="preserve">En consecuencia, dicha circunstancia desvirtúa lo sostenido por la </w:t>
      </w:r>
      <w:r w:rsidRPr="008E5B0F">
        <w:rPr>
          <w:rFonts w:ascii="Arial" w:eastAsia="Arial" w:hAnsi="Arial" w:cs="Arial"/>
          <w:i/>
          <w:iCs/>
          <w:sz w:val="24"/>
          <w:szCs w:val="24"/>
        </w:rPr>
        <w:t>parte</w:t>
      </w:r>
      <w:r w:rsidRPr="008E5B0F">
        <w:rPr>
          <w:rFonts w:ascii="Arial" w:eastAsia="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en el sentido de que una vez instalado el </w:t>
      </w:r>
      <w:r w:rsidRPr="008E5B0F">
        <w:rPr>
          <w:rFonts w:ascii="Arial" w:hAnsi="Arial" w:cs="Arial"/>
          <w:i/>
          <w:iCs/>
          <w:sz w:val="24"/>
          <w:szCs w:val="24"/>
        </w:rPr>
        <w:t>Ayuntamiento</w:t>
      </w:r>
      <w:r w:rsidRPr="008E5B0F">
        <w:rPr>
          <w:rFonts w:ascii="Arial" w:hAnsi="Arial" w:cs="Arial"/>
          <w:sz w:val="24"/>
          <w:szCs w:val="24"/>
        </w:rPr>
        <w:t xml:space="preserve"> permitió que su suplente ejerciera dicho cargo, pues la </w:t>
      </w:r>
      <w:r w:rsidRPr="008E5B0F">
        <w:rPr>
          <w:rFonts w:ascii="Arial" w:hAnsi="Arial" w:cs="Arial"/>
          <w:b/>
          <w:bCs/>
          <w:sz w:val="24"/>
          <w:szCs w:val="24"/>
        </w:rPr>
        <w:t>instalación</w:t>
      </w:r>
      <w:r w:rsidRPr="008E5B0F">
        <w:rPr>
          <w:rFonts w:ascii="Arial" w:hAnsi="Arial" w:cs="Arial"/>
          <w:sz w:val="24"/>
          <w:szCs w:val="24"/>
        </w:rPr>
        <w:t xml:space="preserve"> </w:t>
      </w:r>
      <w:r w:rsidRPr="008E5B0F">
        <w:rPr>
          <w:rFonts w:ascii="Arial" w:hAnsi="Arial" w:cs="Arial"/>
          <w:b/>
          <w:bCs/>
          <w:sz w:val="24"/>
          <w:szCs w:val="24"/>
        </w:rPr>
        <w:t>del órgano colegiado</w:t>
      </w:r>
      <w:r w:rsidRPr="008E5B0F">
        <w:rPr>
          <w:rFonts w:ascii="Arial" w:hAnsi="Arial" w:cs="Arial"/>
          <w:sz w:val="24"/>
          <w:szCs w:val="24"/>
        </w:rPr>
        <w:t xml:space="preserve"> se llevó a cabo con el </w:t>
      </w:r>
      <w:r w:rsidRPr="008E5B0F">
        <w:rPr>
          <w:rFonts w:ascii="Arial" w:hAnsi="Arial" w:cs="Arial"/>
          <w:i/>
          <w:iCs/>
          <w:sz w:val="24"/>
          <w:szCs w:val="24"/>
        </w:rPr>
        <w:t>tercero interesado</w:t>
      </w:r>
      <w:r w:rsidRPr="008E5B0F">
        <w:rPr>
          <w:rFonts w:ascii="Arial" w:hAnsi="Arial" w:cs="Arial"/>
          <w:sz w:val="24"/>
          <w:szCs w:val="24"/>
        </w:rPr>
        <w:t xml:space="preserve"> como Regidora Electa, quien rindió la protesta de ley y asumió el encargo desde ese momento. </w:t>
      </w:r>
    </w:p>
    <w:p w14:paraId="404CFB4A"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De lo anterior se advierte que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nunca rindió protesta</w:t>
      </w:r>
      <w:r w:rsidRPr="008E5B0F">
        <w:rPr>
          <w:rFonts w:ascii="Arial" w:hAnsi="Arial" w:cs="Arial"/>
          <w:bCs/>
          <w:sz w:val="24"/>
          <w:szCs w:val="24"/>
        </w:rPr>
        <w:t xml:space="preserve"> respecto del cargo al que ahora pretende incorporarse</w:t>
      </w:r>
      <w:r w:rsidR="00D1275A" w:rsidRPr="008E5B0F">
        <w:rPr>
          <w:rFonts w:ascii="Arial" w:hAnsi="Arial" w:cs="Arial"/>
          <w:bCs/>
          <w:sz w:val="24"/>
          <w:szCs w:val="24"/>
        </w:rPr>
        <w:t>,</w:t>
      </w:r>
      <w:r w:rsidRPr="008E5B0F">
        <w:rPr>
          <w:rFonts w:ascii="Arial" w:hAnsi="Arial" w:cs="Arial"/>
          <w:bCs/>
          <w:sz w:val="24"/>
          <w:szCs w:val="24"/>
        </w:rPr>
        <w:t xml:space="preserve"> por haber contado con la calidad de suplente en la fórmula; </w:t>
      </w:r>
      <w:r w:rsidRPr="008E5B0F">
        <w:rPr>
          <w:rFonts w:ascii="Arial" w:eastAsia="Arial" w:hAnsi="Arial" w:cs="Arial"/>
          <w:sz w:val="24"/>
          <w:szCs w:val="24"/>
        </w:rPr>
        <w:t xml:space="preserve">por tanto, su dicho carece de sustento y veracidad, al afirmar que, </w:t>
      </w:r>
      <w:r w:rsidRPr="008E5B0F">
        <w:rPr>
          <w:rFonts w:ascii="Arial" w:eastAsia="Arial" w:hAnsi="Arial" w:cs="Arial"/>
          <w:b/>
          <w:bCs/>
          <w:sz w:val="24"/>
          <w:szCs w:val="24"/>
        </w:rPr>
        <w:t>una vez instalado</w:t>
      </w:r>
      <w:r w:rsidRPr="008E5B0F">
        <w:rPr>
          <w:rFonts w:ascii="Arial" w:eastAsia="Arial" w:hAnsi="Arial" w:cs="Arial"/>
          <w:sz w:val="24"/>
          <w:szCs w:val="24"/>
        </w:rPr>
        <w:t xml:space="preserve"> </w:t>
      </w:r>
      <w:r w:rsidRPr="008E5B0F">
        <w:rPr>
          <w:rFonts w:ascii="Arial" w:eastAsia="Arial" w:hAnsi="Arial" w:cs="Arial"/>
          <w:b/>
          <w:bCs/>
          <w:sz w:val="24"/>
          <w:szCs w:val="24"/>
        </w:rPr>
        <w:t xml:space="preserve">el </w:t>
      </w:r>
      <w:r w:rsidRPr="008E5B0F">
        <w:rPr>
          <w:rFonts w:ascii="Arial" w:eastAsia="Arial" w:hAnsi="Arial" w:cs="Arial"/>
          <w:b/>
          <w:bCs/>
          <w:i/>
          <w:iCs/>
          <w:sz w:val="24"/>
          <w:szCs w:val="24"/>
        </w:rPr>
        <w:t>Ayuntamiento</w:t>
      </w:r>
      <w:r w:rsidRPr="008E5B0F">
        <w:rPr>
          <w:rFonts w:ascii="Arial" w:eastAsia="Arial" w:hAnsi="Arial" w:cs="Arial"/>
          <w:sz w:val="24"/>
          <w:szCs w:val="24"/>
        </w:rPr>
        <w:t xml:space="preserve"> permitió que su suplente </w:t>
      </w:r>
      <w:r w:rsidRPr="008E5B0F">
        <w:rPr>
          <w:rFonts w:ascii="Arial" w:hAnsi="Arial" w:cs="Arial"/>
          <w:sz w:val="24"/>
          <w:szCs w:val="24"/>
        </w:rPr>
        <w:t xml:space="preserve">ejerciera las funciones inherentes, lo que deviene en la </w:t>
      </w:r>
      <w:r w:rsidRPr="008E5B0F">
        <w:rPr>
          <w:rFonts w:ascii="Arial" w:hAnsi="Arial" w:cs="Arial"/>
          <w:b/>
          <w:bCs/>
          <w:sz w:val="24"/>
          <w:szCs w:val="24"/>
        </w:rPr>
        <w:t>inoperancia</w:t>
      </w:r>
      <w:r w:rsidRPr="008E5B0F">
        <w:rPr>
          <w:rFonts w:ascii="Arial" w:hAnsi="Arial" w:cs="Arial"/>
          <w:sz w:val="24"/>
          <w:szCs w:val="24"/>
        </w:rPr>
        <w:t xml:space="preserve"> de su agravio</w:t>
      </w:r>
      <w:r w:rsidRPr="008E5B0F">
        <w:rPr>
          <w:rStyle w:val="Refdenotaalpie"/>
          <w:rFonts w:ascii="Arial" w:hAnsi="Arial" w:cs="Arial"/>
          <w:sz w:val="24"/>
          <w:szCs w:val="24"/>
        </w:rPr>
        <w:footnoteReference w:id="49"/>
      </w:r>
      <w:r w:rsidRPr="008E5B0F">
        <w:rPr>
          <w:rFonts w:ascii="Arial" w:hAnsi="Arial" w:cs="Arial"/>
          <w:sz w:val="24"/>
          <w:szCs w:val="24"/>
        </w:rPr>
        <w:t xml:space="preserve">. Ello, toda vez que ha quedado </w:t>
      </w:r>
      <w:r w:rsidRPr="008E5B0F">
        <w:rPr>
          <w:rFonts w:ascii="Arial" w:eastAsia="Arial" w:hAnsi="Arial" w:cs="Arial"/>
          <w:sz w:val="24"/>
          <w:szCs w:val="24"/>
        </w:rPr>
        <w:t xml:space="preserve">plenamente acreditado que, desde la </w:t>
      </w:r>
      <w:r w:rsidRPr="008E5B0F">
        <w:rPr>
          <w:rFonts w:ascii="Arial" w:eastAsia="Arial" w:hAnsi="Arial" w:cs="Arial"/>
          <w:i/>
          <w:iCs/>
          <w:sz w:val="24"/>
          <w:szCs w:val="24"/>
        </w:rPr>
        <w:t>Sesión de Instalación</w:t>
      </w:r>
      <w:r w:rsidRPr="008E5B0F">
        <w:rPr>
          <w:rFonts w:ascii="Arial" w:eastAsia="Arial" w:hAnsi="Arial" w:cs="Arial"/>
          <w:sz w:val="24"/>
          <w:szCs w:val="24"/>
        </w:rPr>
        <w:t xml:space="preserve"> del </w:t>
      </w:r>
      <w:r w:rsidRPr="008E5B0F">
        <w:rPr>
          <w:rFonts w:ascii="Arial" w:eastAsia="Arial" w:hAnsi="Arial" w:cs="Arial"/>
          <w:i/>
          <w:iCs/>
          <w:sz w:val="24"/>
          <w:szCs w:val="24"/>
        </w:rPr>
        <w:t>Ayuntamiento,</w:t>
      </w:r>
      <w:r w:rsidRPr="008E5B0F">
        <w:rPr>
          <w:rFonts w:ascii="Arial" w:eastAsia="Arial" w:hAnsi="Arial" w:cs="Arial"/>
          <w:sz w:val="24"/>
          <w:szCs w:val="24"/>
        </w:rPr>
        <w:t xml:space="preserve"> fue el </w:t>
      </w:r>
      <w:r w:rsidRPr="008E5B0F">
        <w:rPr>
          <w:rFonts w:ascii="Arial" w:eastAsia="Arial" w:hAnsi="Arial" w:cs="Arial"/>
          <w:i/>
          <w:iCs/>
          <w:sz w:val="24"/>
          <w:szCs w:val="24"/>
        </w:rPr>
        <w:t>tercero interesado</w:t>
      </w:r>
      <w:r w:rsidRPr="008E5B0F">
        <w:rPr>
          <w:rFonts w:ascii="Arial" w:eastAsia="Arial" w:hAnsi="Arial" w:cs="Arial"/>
          <w:sz w:val="24"/>
          <w:szCs w:val="24"/>
        </w:rPr>
        <w:t xml:space="preserve"> quien </w:t>
      </w:r>
      <w:r w:rsidRPr="008E5B0F">
        <w:rPr>
          <w:rFonts w:ascii="Arial" w:eastAsia="Arial" w:hAnsi="Arial" w:cs="Arial"/>
          <w:b/>
          <w:bCs/>
          <w:sz w:val="24"/>
          <w:szCs w:val="24"/>
        </w:rPr>
        <w:t>tomó protesta de ley</w:t>
      </w:r>
      <w:r w:rsidRPr="008E5B0F">
        <w:rPr>
          <w:rFonts w:ascii="Arial" w:eastAsia="Arial" w:hAnsi="Arial" w:cs="Arial"/>
          <w:sz w:val="24"/>
          <w:szCs w:val="24"/>
        </w:rPr>
        <w:t xml:space="preserve"> como Regidora </w:t>
      </w:r>
      <w:r w:rsidRPr="008E5B0F">
        <w:rPr>
          <w:rFonts w:ascii="Arial" w:hAnsi="Arial" w:cs="Arial"/>
          <w:sz w:val="24"/>
          <w:szCs w:val="24"/>
        </w:rPr>
        <w:t>Electa y ha ejercido el cargo desde entonces por haber contado con la calidad de propietaria de la fórmula, requisito indispensable para adquirir los derechos y obligaciones inherentes al cargo</w:t>
      </w:r>
      <w:r w:rsidRPr="008E5B0F">
        <w:rPr>
          <w:rStyle w:val="Refdenotaalpie"/>
          <w:rFonts w:ascii="Arial" w:hAnsi="Arial" w:cs="Arial"/>
          <w:sz w:val="24"/>
          <w:szCs w:val="24"/>
        </w:rPr>
        <w:footnoteReference w:id="50"/>
      </w:r>
      <w:r w:rsidRPr="008E5B0F">
        <w:rPr>
          <w:rFonts w:ascii="Arial" w:hAnsi="Arial" w:cs="Arial"/>
          <w:sz w:val="24"/>
          <w:szCs w:val="24"/>
        </w:rPr>
        <w:t>.</w:t>
      </w:r>
    </w:p>
    <w:p w14:paraId="404CFB4B" w14:textId="77777777" w:rsidR="0012716D" w:rsidRPr="008E5B0F" w:rsidRDefault="001E741F">
      <w:pPr>
        <w:spacing w:after="0" w:line="360" w:lineRule="auto"/>
        <w:jc w:val="both"/>
        <w:rPr>
          <w:rFonts w:ascii="Arial" w:hAnsi="Arial" w:cs="Arial"/>
          <w:color w:val="000000"/>
          <w:sz w:val="24"/>
          <w:szCs w:val="24"/>
        </w:rPr>
      </w:pPr>
      <w:r w:rsidRPr="008E5B0F">
        <w:rPr>
          <w:rFonts w:ascii="Arial" w:hAnsi="Arial" w:cs="Arial"/>
          <w:color w:val="000000"/>
          <w:sz w:val="24"/>
          <w:szCs w:val="24"/>
        </w:rPr>
        <w:t xml:space="preserve">De manera que, en el supuesto </w:t>
      </w:r>
      <w:r w:rsidRPr="008E5B0F">
        <w:rPr>
          <w:rFonts w:ascii="Arial" w:hAnsi="Arial" w:cs="Arial"/>
          <w:b/>
          <w:bCs/>
          <w:color w:val="000000"/>
          <w:sz w:val="24"/>
          <w:szCs w:val="24"/>
        </w:rPr>
        <w:t>no concedido</w:t>
      </w:r>
      <w:r w:rsidRPr="008E5B0F">
        <w:rPr>
          <w:rFonts w:ascii="Arial" w:hAnsi="Arial" w:cs="Arial"/>
          <w:color w:val="000000"/>
          <w:sz w:val="24"/>
          <w:szCs w:val="24"/>
        </w:rPr>
        <w:t xml:space="preserve"> de que en efecto hubiera sido la candidata electa, como lo ha sostenido la </w:t>
      </w:r>
      <w:r w:rsidRPr="008E5B0F">
        <w:rPr>
          <w:rFonts w:ascii="Arial" w:hAnsi="Arial" w:cs="Arial"/>
          <w:i/>
          <w:iCs/>
          <w:color w:val="000000"/>
          <w:sz w:val="24"/>
          <w:szCs w:val="24"/>
        </w:rPr>
        <w:t>Sala Superior</w:t>
      </w:r>
      <w:r w:rsidRPr="008E5B0F">
        <w:rPr>
          <w:rFonts w:ascii="Arial" w:hAnsi="Arial" w:cs="Arial"/>
          <w:color w:val="000000"/>
          <w:sz w:val="24"/>
          <w:szCs w:val="24"/>
        </w:rPr>
        <w:t xml:space="preserve">, al no haber rendido protesta </w:t>
      </w:r>
      <w:r w:rsidRPr="008E5B0F">
        <w:rPr>
          <w:rFonts w:ascii="Arial" w:hAnsi="Arial" w:cs="Arial"/>
          <w:b/>
          <w:bCs/>
          <w:color w:val="000000"/>
          <w:sz w:val="24"/>
          <w:szCs w:val="24"/>
        </w:rPr>
        <w:t>sin causa justificada</w:t>
      </w:r>
      <w:r w:rsidRPr="008E5B0F">
        <w:rPr>
          <w:rFonts w:ascii="Arial" w:hAnsi="Arial" w:cs="Arial"/>
          <w:color w:val="000000"/>
          <w:sz w:val="24"/>
          <w:szCs w:val="24"/>
        </w:rPr>
        <w:t xml:space="preserve">, impide que adquiera la titularidad del cargo, ni </w:t>
      </w:r>
      <w:r w:rsidRPr="008E5B0F">
        <w:rPr>
          <w:rFonts w:ascii="Arial" w:hAnsi="Arial" w:cs="Arial"/>
          <w:color w:val="000000"/>
          <w:sz w:val="24"/>
          <w:szCs w:val="24"/>
        </w:rPr>
        <w:lastRenderedPageBreak/>
        <w:t>los derechos y obligaciones inherentes a este, como es la posibilidad de permitir que su suplente lo asuma, previa solicitud de licencia para la separación del encargo</w:t>
      </w:r>
      <w:r w:rsidRPr="008E5B0F">
        <w:rPr>
          <w:rStyle w:val="Refdenotaalpie"/>
          <w:rFonts w:ascii="Arial" w:hAnsi="Arial" w:cs="Arial"/>
          <w:color w:val="000000"/>
          <w:sz w:val="24"/>
          <w:szCs w:val="24"/>
        </w:rPr>
        <w:footnoteReference w:id="51"/>
      </w:r>
      <w:r w:rsidRPr="008E5B0F">
        <w:rPr>
          <w:rFonts w:ascii="Arial" w:hAnsi="Arial" w:cs="Arial"/>
          <w:color w:val="000000"/>
          <w:sz w:val="24"/>
          <w:szCs w:val="24"/>
        </w:rPr>
        <w:t>.</w:t>
      </w:r>
    </w:p>
    <w:p w14:paraId="404CFB4C" w14:textId="77777777" w:rsidR="0012716D" w:rsidRPr="008E5B0F" w:rsidRDefault="001E741F">
      <w:pPr>
        <w:spacing w:before="100" w:beforeAutospacing="1" w:after="100" w:afterAutospacing="1" w:line="360" w:lineRule="auto"/>
        <w:jc w:val="both"/>
        <w:rPr>
          <w:rFonts w:ascii="Arial" w:eastAsia="Arial" w:hAnsi="Arial" w:cs="Arial"/>
          <w:sz w:val="24"/>
          <w:szCs w:val="24"/>
        </w:rPr>
      </w:pPr>
      <w:r w:rsidRPr="008E5B0F">
        <w:rPr>
          <w:rFonts w:ascii="Arial" w:hAnsi="Arial" w:cs="Arial"/>
          <w:color w:val="000000"/>
          <w:sz w:val="24"/>
          <w:szCs w:val="24"/>
        </w:rPr>
        <w:t xml:space="preserve">Lo anterior encuentra sustento en </w:t>
      </w:r>
      <w:r w:rsidRPr="008E5B0F">
        <w:rPr>
          <w:rFonts w:ascii="Arial" w:eastAsia="Arial" w:hAnsi="Arial" w:cs="Arial"/>
          <w:sz w:val="24"/>
          <w:szCs w:val="24"/>
        </w:rPr>
        <w:t xml:space="preserve">el artículo 9º de la </w:t>
      </w:r>
      <w:r w:rsidRPr="008E5B0F">
        <w:rPr>
          <w:rFonts w:ascii="Arial" w:eastAsia="Arial" w:hAnsi="Arial" w:cs="Arial"/>
          <w:i/>
          <w:iCs/>
          <w:sz w:val="24"/>
          <w:szCs w:val="24"/>
        </w:rPr>
        <w:t>Constitución Local</w:t>
      </w:r>
      <w:r w:rsidRPr="008E5B0F">
        <w:rPr>
          <w:rFonts w:ascii="Arial" w:eastAsia="Arial" w:hAnsi="Arial" w:cs="Arial"/>
          <w:sz w:val="24"/>
          <w:szCs w:val="24"/>
        </w:rPr>
        <w:t xml:space="preserve"> el cual establece que es una obligación de la ciudadanía desempeñar los cargos de elección popular del Estado y del Municipio, para los que fueren designados, en concordancia con las contenidas en el artículo 36 de la </w:t>
      </w:r>
      <w:r w:rsidRPr="008E5B0F">
        <w:rPr>
          <w:rFonts w:ascii="Arial" w:eastAsia="Arial" w:hAnsi="Arial" w:cs="Arial"/>
          <w:i/>
          <w:iCs/>
          <w:sz w:val="24"/>
          <w:szCs w:val="24"/>
        </w:rPr>
        <w:t>Constitución General</w:t>
      </w:r>
      <w:r w:rsidRPr="008E5B0F">
        <w:rPr>
          <w:rFonts w:ascii="Arial" w:eastAsia="Arial" w:hAnsi="Arial" w:cs="Arial"/>
          <w:sz w:val="24"/>
          <w:szCs w:val="24"/>
        </w:rPr>
        <w:t xml:space="preserve">. </w:t>
      </w:r>
    </w:p>
    <w:p w14:paraId="404CFB4D" w14:textId="77777777" w:rsidR="0012716D" w:rsidRPr="008E5B0F" w:rsidRDefault="001E741F">
      <w:pPr>
        <w:spacing w:before="100" w:beforeAutospacing="1" w:after="100" w:afterAutospacing="1" w:line="360" w:lineRule="auto"/>
        <w:jc w:val="both"/>
        <w:rPr>
          <w:rFonts w:ascii="Arial" w:hAnsi="Arial" w:cs="Arial"/>
          <w:color w:val="000000"/>
          <w:sz w:val="24"/>
          <w:szCs w:val="24"/>
        </w:rPr>
      </w:pPr>
      <w:r w:rsidRPr="008E5B0F">
        <w:rPr>
          <w:rFonts w:ascii="Arial" w:hAnsi="Arial" w:cs="Arial"/>
          <w:color w:val="000000"/>
          <w:sz w:val="24"/>
          <w:szCs w:val="24"/>
        </w:rPr>
        <w:t xml:space="preserve">Asimismo, los artículos 128 de la </w:t>
      </w:r>
      <w:r w:rsidRPr="008E5B0F">
        <w:rPr>
          <w:rFonts w:ascii="Arial" w:hAnsi="Arial" w:cs="Arial"/>
          <w:i/>
          <w:color w:val="000000"/>
          <w:sz w:val="24"/>
          <w:szCs w:val="24"/>
        </w:rPr>
        <w:t>Constitución General,</w:t>
      </w:r>
      <w:r w:rsidRPr="008E5B0F">
        <w:rPr>
          <w:rFonts w:ascii="Arial" w:hAnsi="Arial" w:cs="Arial"/>
          <w:color w:val="000000"/>
          <w:sz w:val="24"/>
          <w:szCs w:val="24"/>
        </w:rPr>
        <w:t xml:space="preserve"> así como el dispositivo 157 de la</w:t>
      </w:r>
      <w:r w:rsidRPr="008E5B0F">
        <w:rPr>
          <w:rFonts w:ascii="Arial" w:hAnsi="Arial" w:cs="Arial"/>
          <w:color w:val="FF0000"/>
          <w:sz w:val="24"/>
          <w:szCs w:val="24"/>
        </w:rPr>
        <w:t xml:space="preserve"> </w:t>
      </w:r>
      <w:r w:rsidRPr="008E5B0F">
        <w:rPr>
          <w:rFonts w:ascii="Arial" w:hAnsi="Arial" w:cs="Arial"/>
          <w:i/>
          <w:color w:val="000000"/>
          <w:sz w:val="24"/>
          <w:szCs w:val="24"/>
        </w:rPr>
        <w:t xml:space="preserve">Constitución Local </w:t>
      </w:r>
      <w:r w:rsidRPr="008E5B0F">
        <w:rPr>
          <w:rFonts w:ascii="Arial" w:hAnsi="Arial" w:cs="Arial"/>
          <w:color w:val="000000"/>
          <w:sz w:val="24"/>
          <w:szCs w:val="24"/>
        </w:rPr>
        <w:t xml:space="preserve">disponen que toda persona funcionaria pública, sin excepción alguna, antes de tomar posesión de su encargo, deberá rendir la protesta de guardar la </w:t>
      </w:r>
      <w:r w:rsidRPr="008E5B0F">
        <w:rPr>
          <w:rFonts w:ascii="Arial" w:hAnsi="Arial" w:cs="Arial"/>
          <w:i/>
          <w:color w:val="000000"/>
          <w:sz w:val="24"/>
          <w:szCs w:val="24"/>
        </w:rPr>
        <w:t>Constitución General</w:t>
      </w:r>
      <w:r w:rsidRPr="008E5B0F">
        <w:rPr>
          <w:rFonts w:ascii="Arial" w:hAnsi="Arial" w:cs="Arial"/>
          <w:color w:val="000000"/>
          <w:sz w:val="24"/>
          <w:szCs w:val="24"/>
        </w:rPr>
        <w:t xml:space="preserve"> y las leyes que de ella emanen y desempeñar leal y patrióticamente su cargo. </w:t>
      </w:r>
    </w:p>
    <w:p w14:paraId="404CFB4E" w14:textId="77777777" w:rsidR="0012716D" w:rsidRPr="008E5B0F" w:rsidRDefault="001E741F">
      <w:pPr>
        <w:spacing w:before="100" w:beforeAutospacing="1" w:after="100" w:afterAutospacing="1" w:line="360" w:lineRule="auto"/>
        <w:jc w:val="both"/>
        <w:rPr>
          <w:rFonts w:ascii="Arial" w:hAnsi="Arial" w:cs="Arial"/>
          <w:color w:val="000000"/>
          <w:sz w:val="24"/>
          <w:szCs w:val="24"/>
        </w:rPr>
      </w:pPr>
      <w:r w:rsidRPr="008E5B0F">
        <w:rPr>
          <w:rFonts w:ascii="Arial" w:hAnsi="Arial" w:cs="Arial"/>
          <w:sz w:val="24"/>
          <w:szCs w:val="24"/>
        </w:rPr>
        <w:t xml:space="preserve">En consecuencia, si una persona que resultó electa no rinde la protesta constitucional sin que </w:t>
      </w:r>
      <w:r w:rsidRPr="008E5B0F">
        <w:rPr>
          <w:rFonts w:ascii="Arial" w:hAnsi="Arial" w:cs="Arial"/>
          <w:b/>
          <w:bCs/>
          <w:sz w:val="24"/>
          <w:szCs w:val="24"/>
        </w:rPr>
        <w:t>medie causa justificada</w:t>
      </w:r>
      <w:r w:rsidRPr="008E5B0F">
        <w:rPr>
          <w:rFonts w:ascii="Arial" w:hAnsi="Arial" w:cs="Arial"/>
          <w:sz w:val="24"/>
          <w:szCs w:val="24"/>
        </w:rPr>
        <w:t xml:space="preserve">, </w:t>
      </w:r>
      <w:r w:rsidRPr="008E5B0F">
        <w:rPr>
          <w:rStyle w:val="Textoennegrita"/>
          <w:rFonts w:ascii="Arial" w:hAnsi="Arial" w:cs="Arial"/>
          <w:b w:val="0"/>
          <w:bCs w:val="0"/>
          <w:sz w:val="24"/>
          <w:szCs w:val="24"/>
        </w:rPr>
        <w:t>no adquiere los derechos ni las obligaciones inherentes al cargo</w:t>
      </w:r>
      <w:r w:rsidRPr="008E5B0F">
        <w:rPr>
          <w:rFonts w:ascii="Arial" w:hAnsi="Arial" w:cs="Arial"/>
          <w:b/>
          <w:bCs/>
          <w:sz w:val="24"/>
          <w:szCs w:val="24"/>
        </w:rPr>
        <w:t xml:space="preserve">; </w:t>
      </w:r>
      <w:r w:rsidRPr="008E5B0F">
        <w:rPr>
          <w:rFonts w:ascii="Arial" w:hAnsi="Arial" w:cs="Arial"/>
          <w:sz w:val="24"/>
          <w:szCs w:val="24"/>
        </w:rPr>
        <w:t>por lo que carece de sustento jurídico pretender ejercer atribuciones derivadas del mismo</w:t>
      </w:r>
      <w:r w:rsidRPr="008E5B0F">
        <w:rPr>
          <w:vertAlign w:val="superscript"/>
        </w:rPr>
        <w:footnoteReference w:id="52"/>
      </w:r>
      <w:r w:rsidRPr="008E5B0F">
        <w:rPr>
          <w:rFonts w:ascii="Arial" w:hAnsi="Arial" w:cs="Arial"/>
          <w:color w:val="000000"/>
          <w:sz w:val="24"/>
          <w:szCs w:val="24"/>
        </w:rPr>
        <w:t>.</w:t>
      </w:r>
    </w:p>
    <w:p w14:paraId="404CFB4F"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ese sentido, resulta infundado el alegato de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sz w:val="24"/>
          <w:szCs w:val="24"/>
        </w:rPr>
        <w:t>actora</w:t>
      </w:r>
      <w:r w:rsidRPr="008E5B0F">
        <w:rPr>
          <w:rFonts w:ascii="Arial" w:hAnsi="Arial" w:cs="Arial"/>
          <w:sz w:val="24"/>
          <w:szCs w:val="24"/>
        </w:rPr>
        <w:t xml:space="preserve">, toda vez que no le asiste un derecho adquirido que le permita ejercer un cargo distinto de aquel para el cual fue registrada y validada su candidatura; pues, la calidad con la que participó en el </w:t>
      </w:r>
      <w:r w:rsidRPr="008E5B0F">
        <w:rPr>
          <w:rFonts w:ascii="Arial" w:hAnsi="Arial" w:cs="Arial"/>
          <w:i/>
          <w:iCs/>
          <w:sz w:val="24"/>
          <w:szCs w:val="24"/>
        </w:rPr>
        <w:t>PEL 2023-2024</w:t>
      </w:r>
      <w:r w:rsidRPr="008E5B0F">
        <w:rPr>
          <w:rFonts w:ascii="Arial" w:hAnsi="Arial" w:cs="Arial"/>
          <w:sz w:val="24"/>
          <w:szCs w:val="24"/>
        </w:rPr>
        <w:t xml:space="preserve">, fue la de suplente, condición que no le confiere el derecho automático a ocupar el cargo de propietaria. En consecuencia, no existe vulneración alguna al derecho político-electoral de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en su vertiente del ejercicio del cargo. </w:t>
      </w:r>
    </w:p>
    <w:p w14:paraId="404CFB50"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Atender su pretensión de forma favorable implicaría una contradicción a los principios de definitividad, certeza y legalidad que rigen los procesos electorales, pues aspira modificar, después de un año, una determinación firme adoptada por </w:t>
      </w:r>
      <w:r w:rsidRPr="008E5B0F">
        <w:rPr>
          <w:rFonts w:ascii="Arial" w:hAnsi="Arial" w:cs="Arial"/>
          <w:sz w:val="24"/>
          <w:szCs w:val="24"/>
        </w:rPr>
        <w:lastRenderedPageBreak/>
        <w:t>la autoridad electoral y confirmada por las instancias jurisdiccionales correspondientes, como se analizó.</w:t>
      </w:r>
    </w:p>
    <w:p w14:paraId="404CFB51" w14:textId="77777777" w:rsidR="0012716D" w:rsidRPr="008E5B0F" w:rsidRDefault="001E741F">
      <w:pPr>
        <w:spacing w:before="100" w:beforeAutospacing="1" w:after="100" w:afterAutospacing="1" w:line="360" w:lineRule="auto"/>
        <w:jc w:val="both"/>
        <w:rPr>
          <w:rFonts w:ascii="Arial" w:eastAsia="Arial" w:hAnsi="Arial" w:cs="Arial"/>
          <w:sz w:val="24"/>
          <w:szCs w:val="24"/>
        </w:rPr>
      </w:pPr>
      <w:r w:rsidRPr="008E5B0F">
        <w:rPr>
          <w:rFonts w:ascii="Arial" w:eastAsia="Arial" w:hAnsi="Arial" w:cs="Arial"/>
          <w:sz w:val="24"/>
          <w:szCs w:val="24"/>
        </w:rPr>
        <w:t xml:space="preserve">Sin que pase inadvertido para este </w:t>
      </w:r>
      <w:r w:rsidRPr="008E5B0F">
        <w:rPr>
          <w:rFonts w:ascii="Arial" w:eastAsia="Arial" w:hAnsi="Arial" w:cs="Arial"/>
          <w:i/>
          <w:iCs/>
          <w:sz w:val="24"/>
          <w:szCs w:val="24"/>
        </w:rPr>
        <w:t>órgano jurisdiccional</w:t>
      </w:r>
      <w:r w:rsidRPr="008E5B0F">
        <w:rPr>
          <w:rFonts w:ascii="Arial" w:eastAsia="Arial" w:hAnsi="Arial" w:cs="Arial"/>
          <w:sz w:val="24"/>
          <w:szCs w:val="24"/>
        </w:rPr>
        <w:t xml:space="preserve"> la afirmación efectuada por las </w:t>
      </w:r>
      <w:r w:rsidRPr="008E5B0F">
        <w:rPr>
          <w:rFonts w:ascii="Arial" w:eastAsia="Arial" w:hAnsi="Arial" w:cs="Arial"/>
          <w:i/>
          <w:iCs/>
          <w:sz w:val="24"/>
          <w:szCs w:val="24"/>
        </w:rPr>
        <w:t>autoridades responsables</w:t>
      </w:r>
      <w:r w:rsidRPr="008E5B0F">
        <w:rPr>
          <w:rFonts w:ascii="Arial" w:eastAsia="Arial" w:hAnsi="Arial" w:cs="Arial"/>
          <w:sz w:val="24"/>
          <w:szCs w:val="24"/>
        </w:rPr>
        <w:t xml:space="preserve"> al rendir su informe circunstanciado al señalar que la invitación para asistir a la Sesión Solemne de Instalación del </w:t>
      </w:r>
      <w:r w:rsidRPr="008E5B0F">
        <w:rPr>
          <w:rFonts w:ascii="Arial" w:eastAsia="Arial" w:hAnsi="Arial" w:cs="Arial"/>
          <w:i/>
          <w:iCs/>
          <w:sz w:val="24"/>
          <w:szCs w:val="24"/>
        </w:rPr>
        <w:t>Ayuntamiento</w:t>
      </w:r>
      <w:r w:rsidRPr="008E5B0F">
        <w:rPr>
          <w:rFonts w:ascii="Arial" w:eastAsia="Arial" w:hAnsi="Arial" w:cs="Arial"/>
          <w:sz w:val="24"/>
          <w:szCs w:val="24"/>
        </w:rPr>
        <w:t xml:space="preserve"> se hace extensiva a la </w:t>
      </w:r>
      <w:r w:rsidRPr="008E5B0F">
        <w:rPr>
          <w:rFonts w:ascii="Arial" w:eastAsia="Arial" w:hAnsi="Arial" w:cs="Arial"/>
          <w:b/>
          <w:bCs/>
          <w:sz w:val="24"/>
          <w:szCs w:val="24"/>
        </w:rPr>
        <w:t>comunidad en general</w:t>
      </w:r>
      <w:r w:rsidRPr="008E5B0F">
        <w:rPr>
          <w:rFonts w:ascii="Arial" w:eastAsia="Arial" w:hAnsi="Arial" w:cs="Arial"/>
          <w:sz w:val="24"/>
          <w:szCs w:val="24"/>
        </w:rPr>
        <w:t xml:space="preserve">, en término de lo dispuesto en el artículo 23 de la </w:t>
      </w:r>
      <w:r w:rsidRPr="008E5B0F">
        <w:rPr>
          <w:rFonts w:ascii="Arial" w:eastAsia="Arial" w:hAnsi="Arial" w:cs="Arial"/>
          <w:i/>
          <w:iCs/>
          <w:sz w:val="24"/>
          <w:szCs w:val="24"/>
        </w:rPr>
        <w:t>Ley Orgánica Municipal</w:t>
      </w:r>
      <w:r w:rsidRPr="008E5B0F">
        <w:rPr>
          <w:rFonts w:ascii="Arial" w:eastAsia="Arial" w:hAnsi="Arial" w:cs="Arial"/>
          <w:sz w:val="24"/>
          <w:szCs w:val="24"/>
        </w:rPr>
        <w:t xml:space="preserve">, por lo que, si la </w:t>
      </w:r>
      <w:r w:rsidRPr="008E5B0F">
        <w:rPr>
          <w:rFonts w:ascii="Arial" w:eastAsia="Arial" w:hAnsi="Arial" w:cs="Arial"/>
          <w:i/>
          <w:iCs/>
          <w:sz w:val="24"/>
          <w:szCs w:val="24"/>
        </w:rPr>
        <w:t>parte</w:t>
      </w:r>
      <w:r w:rsidRPr="008E5B0F">
        <w:rPr>
          <w:rFonts w:ascii="Arial" w:eastAsia="Arial" w:hAnsi="Arial" w:cs="Arial"/>
          <w:sz w:val="24"/>
          <w:szCs w:val="24"/>
        </w:rPr>
        <w:t xml:space="preserve"> </w:t>
      </w:r>
      <w:r w:rsidRPr="008E5B0F">
        <w:rPr>
          <w:rFonts w:ascii="Arial" w:eastAsia="Arial" w:hAnsi="Arial" w:cs="Arial"/>
          <w:i/>
          <w:iCs/>
          <w:sz w:val="24"/>
          <w:szCs w:val="24"/>
        </w:rPr>
        <w:t>actora</w:t>
      </w:r>
      <w:r w:rsidRPr="008E5B0F">
        <w:rPr>
          <w:rFonts w:ascii="Arial" w:eastAsia="Arial" w:hAnsi="Arial" w:cs="Arial"/>
          <w:sz w:val="24"/>
          <w:szCs w:val="24"/>
        </w:rPr>
        <w:t xml:space="preserve"> consideraba que había una vulneración a sus derechos debió inconformarse en el momento procesal oportuno y no esperar más de un año para inconformarse, de conformidad a lo establecido en los artículos 8 y 9 de la </w:t>
      </w:r>
      <w:r w:rsidRPr="008E5B0F">
        <w:rPr>
          <w:rFonts w:ascii="Arial" w:eastAsia="Arial" w:hAnsi="Arial" w:cs="Arial"/>
          <w:i/>
          <w:iCs/>
          <w:sz w:val="24"/>
          <w:szCs w:val="24"/>
        </w:rPr>
        <w:t>Ley de Justicia Electoral</w:t>
      </w:r>
      <w:r w:rsidRPr="008E5B0F">
        <w:rPr>
          <w:rFonts w:ascii="Arial" w:eastAsia="Arial" w:hAnsi="Arial" w:cs="Arial"/>
          <w:sz w:val="24"/>
          <w:szCs w:val="24"/>
        </w:rPr>
        <w:t>.</w:t>
      </w:r>
    </w:p>
    <w:p w14:paraId="404CFB52"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De igual manera,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sostiene que le asiste el derecho que reclama al argumentar que, en la </w:t>
      </w:r>
      <w:r w:rsidRPr="008E5B0F">
        <w:rPr>
          <w:rFonts w:ascii="Arial" w:hAnsi="Arial" w:cs="Arial"/>
          <w:b/>
          <w:bCs/>
          <w:sz w:val="24"/>
          <w:szCs w:val="24"/>
        </w:rPr>
        <w:t>boleta electoral</w:t>
      </w:r>
      <w:r w:rsidRPr="008E5B0F">
        <w:rPr>
          <w:rFonts w:ascii="Arial" w:hAnsi="Arial" w:cs="Arial"/>
          <w:sz w:val="24"/>
          <w:szCs w:val="24"/>
        </w:rPr>
        <w:t xml:space="preserve"> utilizada en la </w:t>
      </w:r>
      <w:r w:rsidRPr="008E5B0F">
        <w:rPr>
          <w:rFonts w:ascii="Arial" w:hAnsi="Arial" w:cs="Arial"/>
          <w:i/>
          <w:iCs/>
          <w:sz w:val="24"/>
          <w:szCs w:val="24"/>
        </w:rPr>
        <w:t>jornada electoral</w:t>
      </w:r>
      <w:r w:rsidRPr="008E5B0F">
        <w:rPr>
          <w:rFonts w:ascii="Arial" w:hAnsi="Arial" w:cs="Arial"/>
          <w:sz w:val="24"/>
          <w:szCs w:val="24"/>
        </w:rPr>
        <w:t xml:space="preserve"> para la elección de las autoridades del </w:t>
      </w:r>
      <w:r w:rsidRPr="008E5B0F">
        <w:rPr>
          <w:rFonts w:ascii="Arial" w:hAnsi="Arial" w:cs="Arial"/>
          <w:i/>
          <w:iCs/>
          <w:sz w:val="24"/>
          <w:szCs w:val="24"/>
        </w:rPr>
        <w:t>Ayuntamiento</w:t>
      </w:r>
      <w:r w:rsidRPr="008E5B0F">
        <w:rPr>
          <w:rFonts w:ascii="Arial" w:hAnsi="Arial" w:cs="Arial"/>
          <w:sz w:val="24"/>
          <w:szCs w:val="24"/>
        </w:rPr>
        <w:t xml:space="preserve">, contenía los nombres de la candidatura integrada por ella como propietaria y el </w:t>
      </w:r>
      <w:r w:rsidRPr="008E5B0F">
        <w:rPr>
          <w:rFonts w:ascii="Arial" w:hAnsi="Arial" w:cs="Arial"/>
          <w:i/>
          <w:iCs/>
          <w:sz w:val="24"/>
          <w:szCs w:val="24"/>
        </w:rPr>
        <w:t>tercero interesado</w:t>
      </w:r>
      <w:r w:rsidRPr="008E5B0F">
        <w:rPr>
          <w:rFonts w:ascii="Arial" w:hAnsi="Arial" w:cs="Arial"/>
          <w:sz w:val="24"/>
          <w:szCs w:val="24"/>
        </w:rPr>
        <w:t xml:space="preserve"> como suplente, es decir, conforme a la aprobación inicial contenida en el </w:t>
      </w:r>
      <w:r w:rsidRPr="008E5B0F">
        <w:rPr>
          <w:rFonts w:ascii="Arial" w:hAnsi="Arial" w:cs="Arial"/>
          <w:i/>
          <w:iCs/>
          <w:sz w:val="24"/>
          <w:szCs w:val="24"/>
        </w:rPr>
        <w:t>acuerdo IEM-CG-141/2024</w:t>
      </w:r>
      <w:r w:rsidRPr="008E5B0F">
        <w:rPr>
          <w:rFonts w:ascii="Arial" w:hAnsi="Arial" w:cs="Arial"/>
          <w:sz w:val="24"/>
          <w:szCs w:val="24"/>
        </w:rPr>
        <w:t xml:space="preserve"> para lo cual adjuntó copia de una boleta electoral en la que se reflejan tales datos.</w:t>
      </w:r>
    </w:p>
    <w:p w14:paraId="404CFB53"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atención a ello, la Magistrada Ponente formuló el requerimiento correspondiente al </w:t>
      </w:r>
      <w:r w:rsidRPr="008E5B0F">
        <w:rPr>
          <w:rFonts w:ascii="Arial" w:hAnsi="Arial" w:cs="Arial"/>
          <w:i/>
          <w:iCs/>
          <w:sz w:val="24"/>
          <w:szCs w:val="24"/>
        </w:rPr>
        <w:t>Instituto</w:t>
      </w:r>
      <w:r w:rsidRPr="008E5B0F">
        <w:rPr>
          <w:rFonts w:ascii="Arial" w:hAnsi="Arial" w:cs="Arial"/>
          <w:sz w:val="24"/>
          <w:szCs w:val="24"/>
        </w:rPr>
        <w:t xml:space="preserve"> con el propósito de dilucidar dicha circunstancia. En cumplimiento a lo ordenado se recibió el oficio IEM-DEOE-327/2025, signado por el Director Ejecutivo de Organización Electoral</w:t>
      </w:r>
      <w:r w:rsidRPr="008E5B0F">
        <w:rPr>
          <w:rStyle w:val="Refdenotaalpie"/>
          <w:rFonts w:ascii="Arial" w:hAnsi="Arial" w:cs="Arial"/>
          <w:sz w:val="24"/>
          <w:szCs w:val="24"/>
        </w:rPr>
        <w:footnoteReference w:id="53"/>
      </w:r>
      <w:r w:rsidRPr="008E5B0F">
        <w:rPr>
          <w:rFonts w:ascii="Arial" w:hAnsi="Arial" w:cs="Arial"/>
          <w:i/>
          <w:iCs/>
          <w:sz w:val="24"/>
          <w:szCs w:val="24"/>
        </w:rPr>
        <w:t xml:space="preserve">, </w:t>
      </w:r>
      <w:r w:rsidRPr="008E5B0F">
        <w:rPr>
          <w:rFonts w:ascii="Arial" w:hAnsi="Arial" w:cs="Arial"/>
          <w:sz w:val="24"/>
          <w:szCs w:val="24"/>
        </w:rPr>
        <w:t xml:space="preserve">mediante el cual confirmó que la copia proporciona por la </w:t>
      </w:r>
      <w:r w:rsidRPr="008E5B0F">
        <w:rPr>
          <w:rFonts w:ascii="Arial" w:hAnsi="Arial" w:cs="Arial"/>
          <w:i/>
          <w:iCs/>
          <w:sz w:val="24"/>
          <w:szCs w:val="24"/>
        </w:rPr>
        <w:t xml:space="preserve">actora </w:t>
      </w:r>
      <w:r w:rsidRPr="008E5B0F">
        <w:rPr>
          <w:rFonts w:ascii="Arial" w:hAnsi="Arial" w:cs="Arial"/>
          <w:sz w:val="24"/>
          <w:szCs w:val="24"/>
        </w:rPr>
        <w:t xml:space="preserve">correspondía, a la boleta utilizada en la jornada electoral, no obstante lo anterior, en relación con la circunstancia relativa al orden de integración de la candidatura señalada por la </w:t>
      </w:r>
      <w:r w:rsidRPr="008E5B0F">
        <w:rPr>
          <w:rFonts w:ascii="Arial" w:hAnsi="Arial" w:cs="Arial"/>
          <w:i/>
          <w:iCs/>
          <w:sz w:val="24"/>
          <w:szCs w:val="24"/>
        </w:rPr>
        <w:t>actora</w:t>
      </w:r>
      <w:r w:rsidRPr="008E5B0F">
        <w:rPr>
          <w:rFonts w:ascii="Arial" w:hAnsi="Arial" w:cs="Arial"/>
          <w:sz w:val="24"/>
          <w:szCs w:val="24"/>
        </w:rPr>
        <w:t xml:space="preserve">, se advierte que, en efecto, dicha información aparece en la lista de candidaturas impresa en el reverso de la boleta electoral, en la cual se consignan los datos correspondientes a la registrada conforme al </w:t>
      </w:r>
      <w:r w:rsidRPr="008E5B0F">
        <w:rPr>
          <w:rFonts w:ascii="Arial" w:hAnsi="Arial" w:cs="Arial"/>
          <w:i/>
          <w:iCs/>
          <w:sz w:val="24"/>
          <w:szCs w:val="24"/>
        </w:rPr>
        <w:t>acuerdo IEM-CG-141/2024,</w:t>
      </w:r>
      <w:r w:rsidRPr="008E5B0F">
        <w:rPr>
          <w:rFonts w:ascii="Arial" w:hAnsi="Arial" w:cs="Arial"/>
          <w:sz w:val="24"/>
          <w:szCs w:val="24"/>
        </w:rPr>
        <w:t xml:space="preserve"> aprobado en un primer momento.</w:t>
      </w:r>
    </w:p>
    <w:p w14:paraId="404CFB54"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lastRenderedPageBreak/>
        <w:t xml:space="preserve">En este sentido, el Director Ejecutivo precisó que, en el ámbito de la competencia de la Dirección a su cargo, la información contenida en la boleta coincide con los </w:t>
      </w:r>
      <w:r w:rsidRPr="008E5B0F">
        <w:rPr>
          <w:rFonts w:ascii="Arial" w:hAnsi="Arial" w:cs="Arial"/>
          <w:b/>
          <w:bCs/>
          <w:sz w:val="24"/>
          <w:szCs w:val="24"/>
        </w:rPr>
        <w:t>vistos buenos</w:t>
      </w:r>
      <w:r w:rsidRPr="008E5B0F">
        <w:rPr>
          <w:rFonts w:ascii="Arial" w:hAnsi="Arial" w:cs="Arial"/>
          <w:sz w:val="24"/>
          <w:szCs w:val="24"/>
        </w:rPr>
        <w:t xml:space="preserve"> firmados por el representante del </w:t>
      </w:r>
      <w:r w:rsidRPr="008E5B0F">
        <w:rPr>
          <w:rFonts w:ascii="Arial" w:hAnsi="Arial" w:cs="Arial"/>
          <w:i/>
          <w:iCs/>
          <w:sz w:val="24"/>
          <w:szCs w:val="24"/>
        </w:rPr>
        <w:t>PRI</w:t>
      </w:r>
      <w:r w:rsidRPr="008E5B0F">
        <w:rPr>
          <w:rFonts w:ascii="Arial" w:hAnsi="Arial" w:cs="Arial"/>
          <w:sz w:val="24"/>
          <w:szCs w:val="24"/>
        </w:rPr>
        <w:t xml:space="preserve"> previo a su impresión, así como las verificaciones realizadas por el Consejo Municipal de Tangancícuaro. En tal sentido se adjuntó copia certificada del visto bueno de la boleta electoral</w:t>
      </w:r>
      <w:r w:rsidRPr="008E5B0F">
        <w:rPr>
          <w:rStyle w:val="Refdenotaalpie"/>
          <w:rFonts w:ascii="Arial" w:hAnsi="Arial" w:cs="Arial"/>
          <w:sz w:val="24"/>
          <w:szCs w:val="24"/>
        </w:rPr>
        <w:footnoteReference w:id="54"/>
      </w:r>
      <w:r w:rsidRPr="008E5B0F">
        <w:rPr>
          <w:rFonts w:ascii="Arial" w:hAnsi="Arial" w:cs="Arial"/>
          <w:sz w:val="24"/>
          <w:szCs w:val="24"/>
        </w:rPr>
        <w:t>. Para mayor claridad se inserta la parte correspondiente al reverso de la boleta.</w:t>
      </w:r>
    </w:p>
    <w:p w14:paraId="404CFB55" w14:textId="77777777" w:rsidR="0012716D" w:rsidRPr="008E5B0F" w:rsidRDefault="001E741F">
      <w:pPr>
        <w:spacing w:before="100" w:beforeAutospacing="1" w:after="100" w:afterAutospacing="1" w:line="360" w:lineRule="auto"/>
        <w:jc w:val="center"/>
        <w:rPr>
          <w:rFonts w:ascii="Arial" w:hAnsi="Arial" w:cs="Arial"/>
          <w:sz w:val="24"/>
          <w:szCs w:val="24"/>
        </w:rPr>
      </w:pPr>
      <w:r w:rsidRPr="008E5B0F">
        <w:rPr>
          <w:noProof/>
        </w:rPr>
        <w:drawing>
          <wp:inline distT="0" distB="0" distL="0" distR="0" wp14:anchorId="404CFBB7" wp14:editId="404CFBB8">
            <wp:extent cx="3476625" cy="148590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76625" cy="1485900"/>
                    </a:xfrm>
                    <a:prstGeom prst="rect">
                      <a:avLst/>
                    </a:prstGeom>
                  </pic:spPr>
                </pic:pic>
              </a:graphicData>
            </a:graphic>
          </wp:inline>
        </w:drawing>
      </w:r>
    </w:p>
    <w:p w14:paraId="404CFB56"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Al respecto, se puede advertir que la inclusión de los nombres plasmados en el material electoral correspondió, efectivamente, a la integración de la candidatura aprobada en el </w:t>
      </w:r>
      <w:r w:rsidRPr="008E5B0F">
        <w:rPr>
          <w:rFonts w:ascii="Arial" w:hAnsi="Arial" w:cs="Arial"/>
          <w:i/>
          <w:iCs/>
          <w:sz w:val="24"/>
          <w:szCs w:val="24"/>
        </w:rPr>
        <w:t>acuerdo IEM-CG-141/</w:t>
      </w:r>
      <w:r w:rsidRPr="008E5B0F">
        <w:rPr>
          <w:rFonts w:ascii="Arial" w:hAnsi="Arial" w:cs="Arial"/>
          <w:sz w:val="24"/>
          <w:szCs w:val="24"/>
        </w:rPr>
        <w:t>2024 y no a la establecida en el diverso IEM-CG-154/202, el cual, se reitera fue aprobado con posterioridad</w:t>
      </w:r>
      <w:r w:rsidRPr="008E5B0F">
        <w:rPr>
          <w:rFonts w:ascii="Arial" w:hAnsi="Arial" w:cs="Arial"/>
          <w:b/>
          <w:bCs/>
          <w:sz w:val="24"/>
          <w:szCs w:val="24"/>
        </w:rPr>
        <w:t xml:space="preserve"> </w:t>
      </w:r>
      <w:r w:rsidRPr="008E5B0F">
        <w:rPr>
          <w:rFonts w:ascii="Arial" w:hAnsi="Arial" w:cs="Arial"/>
          <w:sz w:val="24"/>
          <w:szCs w:val="24"/>
        </w:rPr>
        <w:t xml:space="preserve">por el </w:t>
      </w:r>
      <w:r w:rsidRPr="008E5B0F">
        <w:rPr>
          <w:rFonts w:ascii="Arial" w:hAnsi="Arial" w:cs="Arial"/>
          <w:i/>
          <w:iCs/>
          <w:sz w:val="24"/>
          <w:szCs w:val="24"/>
        </w:rPr>
        <w:t>IEM</w:t>
      </w:r>
      <w:r w:rsidRPr="008E5B0F">
        <w:rPr>
          <w:rFonts w:ascii="Arial" w:hAnsi="Arial" w:cs="Arial"/>
          <w:sz w:val="24"/>
          <w:szCs w:val="24"/>
        </w:rPr>
        <w:t xml:space="preserve"> y que adquirió firmeza, en cuanto ve a la candidatura en estudio conforme lo analizado con antelación.</w:t>
      </w:r>
    </w:p>
    <w:p w14:paraId="404CFB57"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De igual manera,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pretende acreditar el derecho que reclama con la existencia de una Constancia de Mayoría y Validez de la Elección emitida por el Comité Municipal del </w:t>
      </w:r>
      <w:r w:rsidRPr="008E5B0F">
        <w:rPr>
          <w:rFonts w:ascii="Arial" w:hAnsi="Arial" w:cs="Arial"/>
          <w:i/>
          <w:iCs/>
          <w:sz w:val="24"/>
          <w:szCs w:val="24"/>
        </w:rPr>
        <w:t>Instituto</w:t>
      </w:r>
      <w:r w:rsidRPr="008E5B0F">
        <w:rPr>
          <w:rFonts w:ascii="Arial" w:hAnsi="Arial" w:cs="Arial"/>
          <w:sz w:val="24"/>
          <w:szCs w:val="24"/>
        </w:rPr>
        <w:t xml:space="preserve">, en la que se advierte su nombre como Regidora Propietaria y el del </w:t>
      </w:r>
      <w:r w:rsidRPr="008E5B0F">
        <w:rPr>
          <w:rFonts w:ascii="Arial" w:hAnsi="Arial" w:cs="Arial"/>
          <w:i/>
          <w:iCs/>
          <w:sz w:val="24"/>
          <w:szCs w:val="24"/>
        </w:rPr>
        <w:t>tercero interesado</w:t>
      </w:r>
      <w:r w:rsidRPr="008E5B0F">
        <w:rPr>
          <w:rFonts w:ascii="Arial" w:hAnsi="Arial" w:cs="Arial"/>
          <w:sz w:val="24"/>
          <w:szCs w:val="24"/>
        </w:rPr>
        <w:t xml:space="preserve"> como suplente.</w:t>
      </w:r>
      <w:r w:rsidR="007C7F36" w:rsidRPr="008E5B0F">
        <w:rPr>
          <w:rFonts w:ascii="Arial" w:hAnsi="Arial" w:cs="Arial"/>
          <w:sz w:val="24"/>
          <w:szCs w:val="24"/>
        </w:rPr>
        <w:t xml:space="preserve"> </w:t>
      </w:r>
      <w:r w:rsidRPr="008E5B0F">
        <w:rPr>
          <w:rFonts w:ascii="Arial" w:hAnsi="Arial" w:cs="Arial"/>
          <w:sz w:val="24"/>
          <w:szCs w:val="24"/>
        </w:rPr>
        <w:t>Al respecto, en cumplimiento a los requerimientos realizados por la Magistrada Ponente, mediante oficio IEM-DEOE-320/2025</w:t>
      </w:r>
      <w:r w:rsidRPr="008E5B0F">
        <w:rPr>
          <w:rStyle w:val="Refdenotaalpie"/>
          <w:rFonts w:ascii="Arial" w:hAnsi="Arial" w:cs="Arial"/>
          <w:sz w:val="24"/>
          <w:szCs w:val="24"/>
        </w:rPr>
        <w:footnoteReference w:id="55"/>
      </w:r>
      <w:r w:rsidRPr="008E5B0F">
        <w:rPr>
          <w:rFonts w:ascii="Arial" w:hAnsi="Arial" w:cs="Arial"/>
          <w:sz w:val="24"/>
          <w:szCs w:val="24"/>
        </w:rPr>
        <w:t xml:space="preserve">, de uno de octubre </w:t>
      </w:r>
      <w:r w:rsidRPr="008E5B0F">
        <w:rPr>
          <w:rFonts w:ascii="Arial" w:hAnsi="Arial" w:cs="Arial"/>
          <w:i/>
          <w:iCs/>
          <w:sz w:val="24"/>
          <w:szCs w:val="24"/>
        </w:rPr>
        <w:t>—</w:t>
      </w:r>
      <w:r w:rsidRPr="008E5B0F">
        <w:rPr>
          <w:rFonts w:ascii="Arial" w:hAnsi="Arial" w:cs="Arial"/>
          <w:sz w:val="24"/>
          <w:szCs w:val="24"/>
        </w:rPr>
        <w:t xml:space="preserve">previamente valorado—, y de una revisión de los archivos del </w:t>
      </w:r>
      <w:r w:rsidRPr="008E5B0F">
        <w:rPr>
          <w:rFonts w:ascii="Arial" w:hAnsi="Arial" w:cs="Arial"/>
          <w:i/>
          <w:iCs/>
          <w:sz w:val="24"/>
          <w:szCs w:val="24"/>
        </w:rPr>
        <w:t>IEM</w:t>
      </w:r>
      <w:r w:rsidRPr="008E5B0F">
        <w:rPr>
          <w:rFonts w:ascii="Arial" w:hAnsi="Arial" w:cs="Arial"/>
          <w:sz w:val="24"/>
          <w:szCs w:val="24"/>
        </w:rPr>
        <w:t xml:space="preserve">, el Director Ejecutivo de Organización Electoral precisó que efectivamente el </w:t>
      </w:r>
      <w:r w:rsidR="00C604AE" w:rsidRPr="008E5B0F">
        <w:rPr>
          <w:rFonts w:ascii="Arial" w:hAnsi="Arial" w:cs="Arial"/>
          <w:sz w:val="24"/>
          <w:szCs w:val="24"/>
        </w:rPr>
        <w:t xml:space="preserve">Consejo </w:t>
      </w:r>
      <w:r w:rsidRPr="008E5B0F">
        <w:rPr>
          <w:rFonts w:ascii="Arial" w:hAnsi="Arial" w:cs="Arial"/>
          <w:sz w:val="24"/>
          <w:szCs w:val="24"/>
        </w:rPr>
        <w:t xml:space="preserve">Municipal correspondiente al Municipio de Tangancícuaro del </w:t>
      </w:r>
      <w:r w:rsidRPr="008E5B0F">
        <w:rPr>
          <w:rFonts w:ascii="Arial" w:hAnsi="Arial" w:cs="Arial"/>
          <w:i/>
          <w:iCs/>
          <w:sz w:val="24"/>
          <w:szCs w:val="24"/>
        </w:rPr>
        <w:t>Instituto</w:t>
      </w:r>
      <w:r w:rsidRPr="008E5B0F">
        <w:rPr>
          <w:rFonts w:ascii="Arial" w:hAnsi="Arial" w:cs="Arial"/>
          <w:sz w:val="24"/>
          <w:szCs w:val="24"/>
        </w:rPr>
        <w:t xml:space="preserve"> emitió dos </w:t>
      </w:r>
      <w:r w:rsidRPr="008E5B0F">
        <w:rPr>
          <w:rFonts w:ascii="Arial" w:hAnsi="Arial" w:cs="Arial"/>
          <w:sz w:val="24"/>
          <w:szCs w:val="24"/>
        </w:rPr>
        <w:lastRenderedPageBreak/>
        <w:t>constancias identificadas con los folios 1072 y 1079</w:t>
      </w:r>
      <w:r w:rsidRPr="008E5B0F">
        <w:rPr>
          <w:rStyle w:val="Refdenotaalpie"/>
          <w:rFonts w:ascii="Arial" w:hAnsi="Arial" w:cs="Arial"/>
          <w:sz w:val="24"/>
          <w:szCs w:val="24"/>
        </w:rPr>
        <w:footnoteReference w:id="56"/>
      </w:r>
      <w:r w:rsidRPr="008E5B0F">
        <w:rPr>
          <w:rFonts w:ascii="Arial" w:hAnsi="Arial" w:cs="Arial"/>
          <w:sz w:val="24"/>
          <w:szCs w:val="24"/>
        </w:rPr>
        <w:t xml:space="preserve">, ambas correspondientes a la Primera Regiduría por el principio de Representación Proporcional del </w:t>
      </w:r>
      <w:r w:rsidRPr="008E5B0F">
        <w:rPr>
          <w:rFonts w:ascii="Arial" w:hAnsi="Arial" w:cs="Arial"/>
          <w:i/>
          <w:iCs/>
          <w:sz w:val="24"/>
          <w:szCs w:val="24"/>
        </w:rPr>
        <w:t>PRI</w:t>
      </w:r>
      <w:r w:rsidRPr="008E5B0F">
        <w:rPr>
          <w:rFonts w:ascii="Arial" w:hAnsi="Arial" w:cs="Arial"/>
          <w:sz w:val="24"/>
          <w:szCs w:val="24"/>
        </w:rPr>
        <w:t xml:space="preserve"> en el </w:t>
      </w:r>
      <w:r w:rsidRPr="008E5B0F">
        <w:rPr>
          <w:rFonts w:ascii="Arial" w:hAnsi="Arial" w:cs="Arial"/>
          <w:i/>
          <w:iCs/>
          <w:sz w:val="24"/>
          <w:szCs w:val="24"/>
        </w:rPr>
        <w:t>Ayuntamiento</w:t>
      </w:r>
      <w:r w:rsidRPr="008E5B0F">
        <w:rPr>
          <w:rFonts w:ascii="Arial" w:hAnsi="Arial" w:cs="Arial"/>
          <w:sz w:val="24"/>
          <w:szCs w:val="24"/>
        </w:rPr>
        <w:t xml:space="preserve">. Así, explicó que la constancia identificada con el folio 1072 fue expedida de manera inicial, —consignando los nombres de los integrantes de la candidatura conforme al </w:t>
      </w:r>
      <w:r w:rsidRPr="008E5B0F">
        <w:rPr>
          <w:rFonts w:ascii="Arial" w:hAnsi="Arial" w:cs="Arial"/>
          <w:i/>
          <w:iCs/>
          <w:sz w:val="24"/>
          <w:szCs w:val="24"/>
        </w:rPr>
        <w:t>acuerdo IEM-CG-141/2024</w:t>
      </w:r>
      <w:r w:rsidRPr="008E5B0F">
        <w:rPr>
          <w:rFonts w:ascii="Arial" w:hAnsi="Arial" w:cs="Arial"/>
          <w:sz w:val="24"/>
          <w:szCs w:val="24"/>
        </w:rPr>
        <w:t xml:space="preserve"> —</w:t>
      </w:r>
      <w:r w:rsidRPr="008E5B0F">
        <w:rPr>
          <w:rStyle w:val="Refdenotaalpie"/>
          <w:rFonts w:ascii="Arial" w:hAnsi="Arial" w:cs="Arial"/>
          <w:sz w:val="24"/>
          <w:szCs w:val="24"/>
        </w:rPr>
        <w:footnoteReference w:id="57"/>
      </w:r>
      <w:r w:rsidRPr="008E5B0F">
        <w:rPr>
          <w:rFonts w:ascii="Arial" w:hAnsi="Arial" w:cs="Arial"/>
          <w:sz w:val="24"/>
          <w:szCs w:val="24"/>
        </w:rPr>
        <w:t>.</w:t>
      </w:r>
    </w:p>
    <w:p w14:paraId="404CFB58"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Sin embargo, posteriormente el Co</w:t>
      </w:r>
      <w:r w:rsidR="00C604AE" w:rsidRPr="008E5B0F">
        <w:rPr>
          <w:rFonts w:ascii="Arial" w:hAnsi="Arial" w:cs="Arial"/>
          <w:sz w:val="24"/>
          <w:szCs w:val="24"/>
        </w:rPr>
        <w:t>nsejo</w:t>
      </w:r>
      <w:r w:rsidRPr="008E5B0F">
        <w:rPr>
          <w:rFonts w:ascii="Arial" w:hAnsi="Arial" w:cs="Arial"/>
          <w:sz w:val="24"/>
          <w:szCs w:val="24"/>
        </w:rPr>
        <w:t xml:space="preserve"> Municipal del </w:t>
      </w:r>
      <w:r w:rsidRPr="008E5B0F">
        <w:rPr>
          <w:rFonts w:ascii="Arial" w:hAnsi="Arial" w:cs="Arial"/>
          <w:i/>
          <w:iCs/>
          <w:sz w:val="24"/>
          <w:szCs w:val="24"/>
        </w:rPr>
        <w:t>Instituto</w:t>
      </w:r>
      <w:r w:rsidRPr="008E5B0F">
        <w:rPr>
          <w:rFonts w:ascii="Arial" w:hAnsi="Arial" w:cs="Arial"/>
          <w:sz w:val="24"/>
          <w:szCs w:val="24"/>
        </w:rPr>
        <w:t xml:space="preserve"> emitió la constancia con folio 1079, conforme al </w:t>
      </w:r>
      <w:r w:rsidRPr="008E5B0F">
        <w:rPr>
          <w:rFonts w:ascii="Arial" w:hAnsi="Arial" w:cs="Arial"/>
          <w:i/>
          <w:iCs/>
          <w:sz w:val="24"/>
          <w:szCs w:val="24"/>
        </w:rPr>
        <w:t>acuerdo IEM-CG-154/2024</w:t>
      </w:r>
      <w:r w:rsidRPr="008E5B0F">
        <w:rPr>
          <w:rFonts w:ascii="Arial" w:hAnsi="Arial" w:cs="Arial"/>
          <w:sz w:val="24"/>
          <w:szCs w:val="24"/>
        </w:rPr>
        <w:t xml:space="preserve">, que correspondía al </w:t>
      </w:r>
      <w:r w:rsidRPr="008E5B0F">
        <w:rPr>
          <w:rFonts w:ascii="Arial" w:hAnsi="Arial" w:cs="Arial"/>
          <w:i/>
          <w:iCs/>
          <w:sz w:val="24"/>
          <w:szCs w:val="24"/>
        </w:rPr>
        <w:t>tercero interesado</w:t>
      </w:r>
      <w:r w:rsidRPr="008E5B0F">
        <w:rPr>
          <w:rFonts w:ascii="Arial" w:hAnsi="Arial" w:cs="Arial"/>
          <w:sz w:val="24"/>
          <w:szCs w:val="24"/>
        </w:rPr>
        <w:t xml:space="preserve"> como propietario y la parte </w:t>
      </w:r>
      <w:r w:rsidRPr="008E5B0F">
        <w:rPr>
          <w:rFonts w:ascii="Arial" w:hAnsi="Arial" w:cs="Arial"/>
          <w:i/>
          <w:iCs/>
          <w:sz w:val="24"/>
          <w:szCs w:val="24"/>
        </w:rPr>
        <w:t>actora</w:t>
      </w:r>
      <w:r w:rsidRPr="008E5B0F">
        <w:rPr>
          <w:rFonts w:ascii="Arial" w:hAnsi="Arial" w:cs="Arial"/>
          <w:sz w:val="24"/>
          <w:szCs w:val="24"/>
        </w:rPr>
        <w:t xml:space="preserve"> como suplente, la cual —señaló— que es la que cuenta con </w:t>
      </w:r>
      <w:r w:rsidRPr="008E5B0F">
        <w:rPr>
          <w:rFonts w:ascii="Arial" w:hAnsi="Arial" w:cs="Arial"/>
          <w:b/>
          <w:bCs/>
          <w:sz w:val="24"/>
          <w:szCs w:val="24"/>
        </w:rPr>
        <w:t>validez jurídica</w:t>
      </w:r>
      <w:r w:rsidRPr="008E5B0F">
        <w:rPr>
          <w:rFonts w:ascii="Arial" w:hAnsi="Arial" w:cs="Arial"/>
          <w:sz w:val="24"/>
          <w:szCs w:val="24"/>
        </w:rPr>
        <w:t>.</w:t>
      </w:r>
    </w:p>
    <w:p w14:paraId="404CFB59"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Bajo este contexto, este </w:t>
      </w:r>
      <w:r w:rsidRPr="008E5B0F">
        <w:rPr>
          <w:rFonts w:ascii="Arial" w:hAnsi="Arial" w:cs="Arial"/>
          <w:i/>
          <w:iCs/>
          <w:sz w:val="24"/>
          <w:szCs w:val="24"/>
        </w:rPr>
        <w:t>órgano jurisdiccional</w:t>
      </w:r>
      <w:r w:rsidRPr="008E5B0F">
        <w:rPr>
          <w:rFonts w:ascii="Arial" w:hAnsi="Arial" w:cs="Arial"/>
          <w:sz w:val="24"/>
          <w:szCs w:val="24"/>
        </w:rPr>
        <w:t xml:space="preserve"> considera que la diferencia entre la información impresa en la boleta electoral, así como la constancia identificada con el folio 1072 y la candidatura definitiva no </w:t>
      </w:r>
      <w:r w:rsidRPr="008E5B0F">
        <w:rPr>
          <w:rFonts w:ascii="Arial" w:hAnsi="Arial" w:cs="Arial"/>
          <w:b/>
          <w:bCs/>
          <w:sz w:val="24"/>
          <w:szCs w:val="24"/>
        </w:rPr>
        <w:t xml:space="preserve">genera derecho alguno a favor de la </w:t>
      </w:r>
      <w:r w:rsidRPr="008E5B0F">
        <w:rPr>
          <w:rFonts w:ascii="Arial" w:hAnsi="Arial" w:cs="Arial"/>
          <w:b/>
          <w:bCs/>
          <w:i/>
          <w:iCs/>
          <w:sz w:val="24"/>
          <w:szCs w:val="24"/>
        </w:rPr>
        <w:t>actora</w:t>
      </w:r>
      <w:r w:rsidRPr="008E5B0F">
        <w:rPr>
          <w:rFonts w:ascii="Arial" w:hAnsi="Arial" w:cs="Arial"/>
          <w:sz w:val="24"/>
          <w:szCs w:val="24"/>
        </w:rPr>
        <w:t xml:space="preserve">, toda vez que la validez de la candidatura y sus efectos jurídicos se encuentran determinados por el acuerdo firme del </w:t>
      </w:r>
      <w:r w:rsidRPr="008E5B0F">
        <w:rPr>
          <w:rFonts w:ascii="Arial" w:hAnsi="Arial" w:cs="Arial"/>
          <w:i/>
          <w:iCs/>
          <w:sz w:val="24"/>
          <w:szCs w:val="24"/>
        </w:rPr>
        <w:t>Instituto</w:t>
      </w:r>
      <w:r w:rsidRPr="008E5B0F">
        <w:rPr>
          <w:rFonts w:ascii="Arial" w:hAnsi="Arial" w:cs="Arial"/>
          <w:sz w:val="24"/>
          <w:szCs w:val="24"/>
        </w:rPr>
        <w:t xml:space="preserve">, y no por la documentación electoral elaborada, aún y cuando éstos pudieran contener errores en su emisión. </w:t>
      </w:r>
    </w:p>
    <w:p w14:paraId="404CFB5A"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Máxime que, como se puede advertir de la imagen aportada de la boleta, la lista de regidurías incluye el visto bueno del representante de dicho instituto político, sin haber manifestado, ni hacer valer ninguna inconformidad; derecho y carga procesal que le correspondía, de interponer el medio de impugnación correspondiente de considerarlo pertinente.</w:t>
      </w:r>
    </w:p>
    <w:p w14:paraId="2EEC2AB1" w14:textId="7DE2F7BF" w:rsidR="00F54AE2" w:rsidRPr="008E5B0F" w:rsidRDefault="00F54AE2">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De igual manera, la </w:t>
      </w:r>
      <w:r w:rsidRPr="008E5B0F">
        <w:rPr>
          <w:rFonts w:ascii="Arial" w:hAnsi="Arial" w:cs="Arial"/>
          <w:i/>
          <w:iCs/>
          <w:sz w:val="24"/>
          <w:szCs w:val="24"/>
        </w:rPr>
        <w:t>parte actora</w:t>
      </w:r>
      <w:r w:rsidRPr="008E5B0F">
        <w:rPr>
          <w:rFonts w:ascii="Arial" w:hAnsi="Arial" w:cs="Arial"/>
          <w:sz w:val="24"/>
          <w:szCs w:val="24"/>
        </w:rPr>
        <w:t xml:space="preserve"> en cuanto persona registrada en un proceso </w:t>
      </w:r>
      <w:r w:rsidR="00602EB9" w:rsidRPr="008E5B0F">
        <w:rPr>
          <w:rFonts w:ascii="Arial" w:hAnsi="Arial" w:cs="Arial"/>
          <w:sz w:val="24"/>
          <w:szCs w:val="24"/>
        </w:rPr>
        <w:t>electoral</w:t>
      </w:r>
      <w:r w:rsidRPr="008E5B0F">
        <w:rPr>
          <w:rFonts w:ascii="Arial" w:hAnsi="Arial" w:cs="Arial"/>
          <w:sz w:val="24"/>
          <w:szCs w:val="24"/>
        </w:rPr>
        <w:t xml:space="preserve"> le correspondía el deber de mantenerse informada y atenta a los actos relacionados con el registro y eventual modificación de su candidatura, especialmente tratándose de los ajustes derivados del cumplimiento de acciones afirmativas y de los acuerdos emitidos </w:t>
      </w:r>
      <w:r w:rsidR="00C40040" w:rsidRPr="008E5B0F">
        <w:rPr>
          <w:rFonts w:ascii="Arial" w:hAnsi="Arial" w:cs="Arial"/>
          <w:sz w:val="24"/>
          <w:szCs w:val="24"/>
        </w:rPr>
        <w:t xml:space="preserve">por </w:t>
      </w:r>
      <w:r w:rsidRPr="008E5B0F">
        <w:rPr>
          <w:rFonts w:ascii="Arial" w:hAnsi="Arial" w:cs="Arial"/>
          <w:sz w:val="24"/>
          <w:szCs w:val="24"/>
        </w:rPr>
        <w:t xml:space="preserve">el </w:t>
      </w:r>
      <w:r w:rsidRPr="008E5B0F">
        <w:rPr>
          <w:rFonts w:ascii="Arial" w:hAnsi="Arial" w:cs="Arial"/>
          <w:i/>
          <w:iCs/>
          <w:sz w:val="24"/>
          <w:szCs w:val="24"/>
        </w:rPr>
        <w:t>IEM.</w:t>
      </w:r>
    </w:p>
    <w:p w14:paraId="404CFB5B"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consecuencia, no puede invocarse tal boleta electoral como base para acreditar la titularidad del cargo que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ahora pretende ejercer, dado </w:t>
      </w:r>
      <w:r w:rsidRPr="008E5B0F">
        <w:rPr>
          <w:rFonts w:ascii="Arial" w:hAnsi="Arial" w:cs="Arial"/>
          <w:sz w:val="24"/>
          <w:szCs w:val="24"/>
        </w:rPr>
        <w:lastRenderedPageBreak/>
        <w:t>que dicho documento no constituye un instrumento que genere por sí mismo su derecho político-electoral, sino un medio material destinado a la emisión del voto ciudadano, así como tampoco puede producir efectos jurídicos la invocación de una constancia que carece de validez jurídica.</w:t>
      </w:r>
    </w:p>
    <w:p w14:paraId="404CFB5C" w14:textId="77777777" w:rsidR="0012716D" w:rsidRPr="008E5B0F" w:rsidRDefault="001E741F" w:rsidP="003431C7">
      <w:pPr>
        <w:spacing w:before="100" w:beforeAutospacing="1" w:after="100" w:afterAutospacing="1" w:line="360" w:lineRule="auto"/>
        <w:jc w:val="both"/>
        <w:rPr>
          <w:rFonts w:ascii="Arial" w:hAnsi="Arial" w:cs="Arial"/>
          <w:i/>
          <w:iCs/>
          <w:sz w:val="24"/>
          <w:szCs w:val="24"/>
        </w:rPr>
      </w:pPr>
      <w:r w:rsidRPr="008E5B0F">
        <w:rPr>
          <w:rFonts w:ascii="Arial" w:hAnsi="Arial" w:cs="Arial"/>
          <w:sz w:val="24"/>
          <w:szCs w:val="24"/>
        </w:rPr>
        <w:t xml:space="preserve">Porque, se reitera, la validez de las candidaturas y la integración de los órganos de representación popular dependen de los acuerdos y resoluciones firmes emitidos por las autoridades electorales competentes, en atención a los principios de certeza y legalidad consagrados en los artículos 14, 16 y 41 de la </w:t>
      </w:r>
      <w:r w:rsidRPr="008E5B0F">
        <w:rPr>
          <w:rFonts w:ascii="Arial" w:hAnsi="Arial" w:cs="Arial"/>
          <w:i/>
          <w:iCs/>
          <w:sz w:val="24"/>
          <w:szCs w:val="24"/>
        </w:rPr>
        <w:t>Constitución General.</w:t>
      </w:r>
    </w:p>
    <w:p w14:paraId="404CFB5D"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consecuencia, al resultar </w:t>
      </w:r>
      <w:r w:rsidRPr="008E5B0F">
        <w:rPr>
          <w:rFonts w:ascii="Arial" w:hAnsi="Arial" w:cs="Arial"/>
          <w:b/>
          <w:sz w:val="24"/>
          <w:szCs w:val="24"/>
        </w:rPr>
        <w:t>infundado</w:t>
      </w:r>
      <w:r w:rsidRPr="008E5B0F">
        <w:rPr>
          <w:rFonts w:ascii="Arial" w:hAnsi="Arial" w:cs="Arial"/>
          <w:sz w:val="24"/>
          <w:szCs w:val="24"/>
        </w:rPr>
        <w:t xml:space="preserve"> el agravio de la </w:t>
      </w:r>
      <w:r w:rsidRPr="008E5B0F">
        <w:rPr>
          <w:rFonts w:ascii="Arial" w:hAnsi="Arial" w:cs="Arial"/>
          <w:i/>
          <w:iCs/>
          <w:sz w:val="24"/>
          <w:szCs w:val="24"/>
        </w:rPr>
        <w:t xml:space="preserve">parte </w:t>
      </w:r>
      <w:r w:rsidRPr="008E5B0F">
        <w:rPr>
          <w:rFonts w:ascii="Arial" w:hAnsi="Arial" w:cs="Arial"/>
          <w:i/>
          <w:sz w:val="24"/>
          <w:szCs w:val="24"/>
        </w:rPr>
        <w:t>actora</w:t>
      </w:r>
      <w:r w:rsidRPr="008E5B0F">
        <w:rPr>
          <w:rFonts w:ascii="Arial" w:hAnsi="Arial" w:cs="Arial"/>
          <w:sz w:val="24"/>
          <w:szCs w:val="24"/>
        </w:rPr>
        <w:t xml:space="preserve">, al no haber acreditado ser la candidata electa, y al no asistirle razón para ser llamada a integrar el </w:t>
      </w:r>
      <w:r w:rsidRPr="008E5B0F">
        <w:rPr>
          <w:rFonts w:ascii="Arial" w:hAnsi="Arial" w:cs="Arial"/>
          <w:i/>
          <w:iCs/>
          <w:sz w:val="24"/>
          <w:szCs w:val="24"/>
        </w:rPr>
        <w:t>Ayuntamiento</w:t>
      </w:r>
      <w:r w:rsidRPr="008E5B0F">
        <w:rPr>
          <w:rFonts w:ascii="Arial" w:hAnsi="Arial" w:cs="Arial"/>
          <w:sz w:val="24"/>
          <w:szCs w:val="24"/>
        </w:rPr>
        <w:t xml:space="preserve"> como Regidora </w:t>
      </w:r>
      <w:r w:rsidR="00980469" w:rsidRPr="008E5B0F">
        <w:rPr>
          <w:rFonts w:ascii="Arial" w:hAnsi="Arial" w:cs="Arial"/>
          <w:sz w:val="24"/>
          <w:szCs w:val="24"/>
        </w:rPr>
        <w:t>P</w:t>
      </w:r>
      <w:r w:rsidRPr="008E5B0F">
        <w:rPr>
          <w:rFonts w:ascii="Arial" w:hAnsi="Arial" w:cs="Arial"/>
          <w:sz w:val="24"/>
          <w:szCs w:val="24"/>
        </w:rPr>
        <w:t xml:space="preserve">ropietaria, tampoco puede considerarse fundada la alegación respecto de la omisión de las autoridades responsables de dar trámite a cualquier procedimiento administrativo relacionado con la percepción de remuneración por dicho cargo. </w:t>
      </w:r>
    </w:p>
    <w:p w14:paraId="404CFB5E"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Por lo que, en otro orden de ideas, en lo que respecta al motivo de disenso enunciado en el inciso </w:t>
      </w:r>
      <w:r w:rsidRPr="008E5B0F">
        <w:rPr>
          <w:rFonts w:ascii="Arial" w:hAnsi="Arial" w:cs="Arial"/>
          <w:b/>
          <w:bCs/>
          <w:sz w:val="24"/>
          <w:szCs w:val="24"/>
        </w:rPr>
        <w:t>b)</w:t>
      </w:r>
      <w:r w:rsidRPr="008E5B0F">
        <w:rPr>
          <w:rFonts w:ascii="Arial" w:hAnsi="Arial" w:cs="Arial"/>
          <w:sz w:val="24"/>
          <w:szCs w:val="24"/>
        </w:rPr>
        <w:t xml:space="preserve">,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se agravia, en esencia, de una falta o indebida </w:t>
      </w:r>
      <w:r w:rsidRPr="008E5B0F">
        <w:rPr>
          <w:rFonts w:ascii="Arial" w:hAnsi="Arial" w:cs="Arial"/>
          <w:b/>
          <w:bCs/>
          <w:sz w:val="24"/>
          <w:szCs w:val="24"/>
        </w:rPr>
        <w:t>fundamentación y motivación</w:t>
      </w:r>
      <w:r w:rsidRPr="008E5B0F">
        <w:rPr>
          <w:rFonts w:ascii="Arial" w:hAnsi="Arial" w:cs="Arial"/>
          <w:sz w:val="24"/>
          <w:szCs w:val="24"/>
        </w:rPr>
        <w:t xml:space="preserve"> del </w:t>
      </w:r>
      <w:r w:rsidRPr="008E5B0F">
        <w:rPr>
          <w:rFonts w:ascii="Arial" w:hAnsi="Arial" w:cs="Arial"/>
          <w:i/>
          <w:iCs/>
          <w:sz w:val="24"/>
          <w:szCs w:val="24"/>
        </w:rPr>
        <w:t xml:space="preserve">oficio impugnado </w:t>
      </w:r>
      <w:r w:rsidRPr="008E5B0F">
        <w:rPr>
          <w:rFonts w:ascii="Arial" w:hAnsi="Arial" w:cs="Arial"/>
          <w:sz w:val="24"/>
          <w:szCs w:val="24"/>
        </w:rPr>
        <w:t xml:space="preserve">por parte del </w:t>
      </w:r>
      <w:r w:rsidRPr="008E5B0F">
        <w:rPr>
          <w:rFonts w:ascii="Arial" w:hAnsi="Arial" w:cs="Arial"/>
          <w:i/>
          <w:iCs/>
          <w:sz w:val="24"/>
          <w:szCs w:val="24"/>
        </w:rPr>
        <w:t>Presidente Municipal</w:t>
      </w:r>
      <w:r w:rsidRPr="008E5B0F">
        <w:rPr>
          <w:rFonts w:ascii="Arial" w:hAnsi="Arial" w:cs="Arial"/>
          <w:sz w:val="24"/>
          <w:szCs w:val="24"/>
        </w:rPr>
        <w:t xml:space="preserve"> y </w:t>
      </w:r>
      <w:r w:rsidRPr="008E5B0F">
        <w:rPr>
          <w:rFonts w:ascii="Arial" w:hAnsi="Arial" w:cs="Arial"/>
          <w:i/>
          <w:iCs/>
          <w:sz w:val="24"/>
          <w:szCs w:val="24"/>
        </w:rPr>
        <w:t>Secretaria</w:t>
      </w:r>
      <w:r w:rsidRPr="008E5B0F">
        <w:rPr>
          <w:rFonts w:ascii="Arial" w:hAnsi="Arial" w:cs="Arial"/>
          <w:sz w:val="24"/>
          <w:szCs w:val="24"/>
        </w:rPr>
        <w:t>, pues, a su consideración no se exponen de manera clara y precisa las razones fácticas y jurídicas que justifiquen la negativa de incorporarla al cargo de Regidora Propietaria; ni se detallan de manera correcta artículos o cuerpos normativos la negativa a su petición.</w:t>
      </w:r>
      <w:r w:rsidR="00690321" w:rsidRPr="008E5B0F">
        <w:rPr>
          <w:rFonts w:ascii="Arial" w:hAnsi="Arial" w:cs="Arial"/>
          <w:sz w:val="24"/>
          <w:szCs w:val="24"/>
        </w:rPr>
        <w:t xml:space="preserve"> </w:t>
      </w:r>
      <w:r w:rsidRPr="008E5B0F">
        <w:rPr>
          <w:rFonts w:ascii="Arial" w:hAnsi="Arial" w:cs="Arial"/>
          <w:sz w:val="24"/>
          <w:szCs w:val="24"/>
        </w:rPr>
        <w:t xml:space="preserve">Sin embargo, contrario a lo sostenido por la parte </w:t>
      </w:r>
      <w:r w:rsidRPr="008E5B0F">
        <w:rPr>
          <w:rFonts w:ascii="Arial" w:hAnsi="Arial" w:cs="Arial"/>
          <w:i/>
          <w:iCs/>
          <w:sz w:val="24"/>
          <w:szCs w:val="24"/>
        </w:rPr>
        <w:t>actora</w:t>
      </w:r>
      <w:r w:rsidRPr="008E5B0F">
        <w:rPr>
          <w:rFonts w:ascii="Arial" w:hAnsi="Arial" w:cs="Arial"/>
          <w:sz w:val="24"/>
          <w:szCs w:val="24"/>
        </w:rPr>
        <w:t xml:space="preserve">, del análisis del </w:t>
      </w:r>
      <w:r w:rsidRPr="008E5B0F">
        <w:rPr>
          <w:rFonts w:ascii="Arial" w:hAnsi="Arial" w:cs="Arial"/>
          <w:i/>
          <w:iCs/>
          <w:sz w:val="24"/>
          <w:szCs w:val="24"/>
        </w:rPr>
        <w:t>oficio impugnado</w:t>
      </w:r>
      <w:r w:rsidRPr="008E5B0F">
        <w:rPr>
          <w:rStyle w:val="Refdenotaalpie"/>
          <w:rFonts w:ascii="Arial" w:hAnsi="Arial" w:cs="Arial"/>
          <w:sz w:val="24"/>
          <w:szCs w:val="24"/>
        </w:rPr>
        <w:footnoteReference w:id="58"/>
      </w:r>
      <w:r w:rsidRPr="008E5B0F">
        <w:rPr>
          <w:rFonts w:ascii="Arial" w:hAnsi="Arial" w:cs="Arial"/>
          <w:sz w:val="24"/>
          <w:szCs w:val="24"/>
        </w:rPr>
        <w:t xml:space="preserve"> se advierte, en primer término, que las </w:t>
      </w:r>
      <w:r w:rsidRPr="008E5B0F">
        <w:rPr>
          <w:rFonts w:ascii="Arial" w:hAnsi="Arial" w:cs="Arial"/>
          <w:i/>
          <w:iCs/>
          <w:sz w:val="24"/>
          <w:szCs w:val="24"/>
        </w:rPr>
        <w:t>autoridades responsables</w:t>
      </w:r>
      <w:r w:rsidRPr="008E5B0F">
        <w:rPr>
          <w:rFonts w:ascii="Arial" w:hAnsi="Arial" w:cs="Arial"/>
          <w:sz w:val="24"/>
          <w:szCs w:val="24"/>
        </w:rPr>
        <w:t xml:space="preserve"> señalaron que la promovente pretendía acreditar fuera de tiempo su calidad de Regidora Propietaria, con la intención de ejercer un derecho sin observar las normativas y procedimientos electorales aplicables. Asimismo, precisó que no era de su competencia determinar y emitir cargos de elección popular, ni mucho menos </w:t>
      </w:r>
      <w:r w:rsidRPr="008E5B0F">
        <w:rPr>
          <w:rFonts w:ascii="Arial" w:hAnsi="Arial" w:cs="Arial"/>
          <w:sz w:val="24"/>
          <w:szCs w:val="24"/>
        </w:rPr>
        <w:lastRenderedPageBreak/>
        <w:t xml:space="preserve">resolver cuestiones o emitir resoluciones para hacer efectiva la garantía de audiencia y legalidad previstos en la legislación electoral. </w:t>
      </w:r>
    </w:p>
    <w:p w14:paraId="404CFB5F"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En mérito de lo anterior, la </w:t>
      </w:r>
      <w:r w:rsidRPr="008E5B0F">
        <w:rPr>
          <w:rFonts w:ascii="Arial" w:hAnsi="Arial" w:cs="Arial"/>
          <w:i/>
          <w:iCs/>
          <w:sz w:val="24"/>
          <w:szCs w:val="24"/>
        </w:rPr>
        <w:t>Secretaria</w:t>
      </w:r>
      <w:r w:rsidRPr="008E5B0F">
        <w:rPr>
          <w:rFonts w:ascii="Arial" w:hAnsi="Arial" w:cs="Arial"/>
          <w:sz w:val="24"/>
          <w:szCs w:val="24"/>
        </w:rPr>
        <w:t xml:space="preserve"> enfatizó que los nombramientos y designaciones relativos a cargos de elección popular son expedidos por autoridades competentes, con sujeción a los principios de igualdad, publicidad, audiencia y legalidad, quienes además poseen la facultad exclusiva para dirimir y resolver en forma definitiva las controversias que se susciten por actos u omisiones de naturaleza electoral, de conformidad en lo dispuesto en los artículos 44, fracción XX, 95, 112, 114, 115, 116, 117 de la </w:t>
      </w:r>
      <w:r w:rsidRPr="008E5B0F">
        <w:rPr>
          <w:rFonts w:ascii="Arial" w:hAnsi="Arial" w:cs="Arial"/>
          <w:i/>
          <w:iCs/>
          <w:sz w:val="24"/>
          <w:szCs w:val="24"/>
        </w:rPr>
        <w:t>Constitución Local</w:t>
      </w:r>
      <w:r w:rsidRPr="008E5B0F">
        <w:rPr>
          <w:rFonts w:ascii="Arial" w:hAnsi="Arial" w:cs="Arial"/>
          <w:sz w:val="24"/>
          <w:szCs w:val="24"/>
        </w:rPr>
        <w:t xml:space="preserve">, 13, 21 53 fracción XIII, 212 y 213 del </w:t>
      </w:r>
      <w:r w:rsidRPr="008E5B0F">
        <w:rPr>
          <w:rFonts w:ascii="Arial" w:hAnsi="Arial" w:cs="Arial"/>
          <w:i/>
          <w:iCs/>
          <w:sz w:val="24"/>
          <w:szCs w:val="24"/>
        </w:rPr>
        <w:t>Código Electoral</w:t>
      </w:r>
      <w:r w:rsidRPr="008E5B0F">
        <w:rPr>
          <w:rFonts w:ascii="Arial" w:hAnsi="Arial" w:cs="Arial"/>
          <w:sz w:val="24"/>
          <w:szCs w:val="24"/>
        </w:rPr>
        <w:t>.</w:t>
      </w:r>
    </w:p>
    <w:p w14:paraId="404CFB60"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Asimismo, hizo constar que desde el uno de septiembre de dos mil veinticuatro, el </w:t>
      </w:r>
      <w:r w:rsidRPr="008E5B0F">
        <w:rPr>
          <w:rFonts w:ascii="Arial" w:hAnsi="Arial" w:cs="Arial"/>
          <w:i/>
          <w:iCs/>
          <w:sz w:val="24"/>
          <w:szCs w:val="24"/>
        </w:rPr>
        <w:t>tercero interesado</w:t>
      </w:r>
      <w:r w:rsidRPr="008E5B0F">
        <w:rPr>
          <w:rFonts w:ascii="Arial" w:hAnsi="Arial" w:cs="Arial"/>
          <w:sz w:val="24"/>
          <w:szCs w:val="24"/>
        </w:rPr>
        <w:t xml:space="preserve"> había comparecido y acreditado su carácter con la correspondiente Constancia de Mayoría y Validez de la Elección emitida por el </w:t>
      </w:r>
      <w:r w:rsidRPr="008E5B0F">
        <w:rPr>
          <w:rFonts w:ascii="Arial" w:hAnsi="Arial" w:cs="Arial"/>
          <w:i/>
          <w:iCs/>
          <w:sz w:val="24"/>
          <w:szCs w:val="24"/>
        </w:rPr>
        <w:t>IEM</w:t>
      </w:r>
      <w:r w:rsidRPr="008E5B0F">
        <w:rPr>
          <w:rFonts w:ascii="Arial" w:hAnsi="Arial" w:cs="Arial"/>
          <w:sz w:val="24"/>
          <w:szCs w:val="24"/>
        </w:rPr>
        <w:t xml:space="preserve"> desempeñándose desde esa fecha como titular de la regiduría en cuestión.</w:t>
      </w:r>
    </w:p>
    <w:p w14:paraId="404CFB61"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Al respecto, este </w:t>
      </w:r>
      <w:r w:rsidRPr="008E5B0F">
        <w:rPr>
          <w:rFonts w:ascii="Arial" w:hAnsi="Arial" w:cs="Arial"/>
          <w:i/>
          <w:iCs/>
          <w:sz w:val="24"/>
          <w:szCs w:val="24"/>
        </w:rPr>
        <w:t>órgano jurisdiccional</w:t>
      </w:r>
      <w:r w:rsidRPr="008E5B0F">
        <w:rPr>
          <w:rFonts w:ascii="Arial" w:hAnsi="Arial" w:cs="Arial"/>
          <w:sz w:val="24"/>
          <w:szCs w:val="24"/>
        </w:rPr>
        <w:t xml:space="preserve"> considera que no le asiste la razón a la </w:t>
      </w:r>
      <w:r w:rsidRPr="008E5B0F">
        <w:rPr>
          <w:rFonts w:ascii="Arial" w:hAnsi="Arial" w:cs="Arial"/>
          <w:i/>
          <w:iCs/>
          <w:sz w:val="24"/>
          <w:szCs w:val="24"/>
        </w:rPr>
        <w:t>parte</w:t>
      </w:r>
      <w:r w:rsidRPr="008E5B0F">
        <w:rPr>
          <w:rFonts w:ascii="Arial" w:hAnsi="Arial" w:cs="Arial"/>
          <w:sz w:val="24"/>
          <w:szCs w:val="24"/>
        </w:rPr>
        <w:t xml:space="preserve"> </w:t>
      </w:r>
      <w:r w:rsidRPr="008E5B0F">
        <w:rPr>
          <w:rFonts w:ascii="Arial" w:hAnsi="Arial" w:cs="Arial"/>
          <w:i/>
          <w:iCs/>
          <w:sz w:val="24"/>
          <w:szCs w:val="24"/>
        </w:rPr>
        <w:t>actora</w:t>
      </w:r>
      <w:r w:rsidRPr="008E5B0F">
        <w:rPr>
          <w:rFonts w:ascii="Arial" w:hAnsi="Arial" w:cs="Arial"/>
          <w:sz w:val="24"/>
          <w:szCs w:val="24"/>
        </w:rPr>
        <w:t xml:space="preserve">, toda vez que se advierte que la </w:t>
      </w:r>
      <w:r w:rsidRPr="008E5B0F">
        <w:rPr>
          <w:rFonts w:ascii="Arial" w:hAnsi="Arial" w:cs="Arial"/>
          <w:i/>
          <w:iCs/>
          <w:sz w:val="24"/>
          <w:szCs w:val="24"/>
        </w:rPr>
        <w:t>Secretaría</w:t>
      </w:r>
      <w:r w:rsidRPr="008E5B0F">
        <w:rPr>
          <w:rFonts w:ascii="Arial" w:hAnsi="Arial" w:cs="Arial"/>
          <w:sz w:val="24"/>
          <w:szCs w:val="24"/>
        </w:rPr>
        <w:t xml:space="preserve"> por instrucción del </w:t>
      </w:r>
      <w:r w:rsidRPr="008E5B0F">
        <w:rPr>
          <w:rFonts w:ascii="Arial" w:hAnsi="Arial" w:cs="Arial"/>
          <w:i/>
          <w:iCs/>
          <w:sz w:val="24"/>
          <w:szCs w:val="24"/>
        </w:rPr>
        <w:t>Presidente Municipal</w:t>
      </w:r>
      <w:r w:rsidRPr="008E5B0F">
        <w:rPr>
          <w:rFonts w:ascii="Arial" w:hAnsi="Arial" w:cs="Arial"/>
          <w:sz w:val="24"/>
          <w:szCs w:val="24"/>
        </w:rPr>
        <w:t xml:space="preserve">, realizó un análisis de la solicitud presentada, arribando correctamente a la conclusión de que no contaba con facultades para contravenir determinaciones emitidas por los órganos electorales competentes, pues carecía de atribuciones para atender favorablemente la solicitud de la </w:t>
      </w:r>
      <w:r w:rsidRPr="008E5B0F">
        <w:rPr>
          <w:rFonts w:ascii="Arial" w:hAnsi="Arial" w:cs="Arial"/>
          <w:i/>
          <w:iCs/>
          <w:sz w:val="24"/>
          <w:szCs w:val="24"/>
        </w:rPr>
        <w:t xml:space="preserve">parte </w:t>
      </w:r>
      <w:r w:rsidRPr="008E5B0F">
        <w:rPr>
          <w:rFonts w:ascii="Arial" w:hAnsi="Arial" w:cs="Arial"/>
          <w:i/>
          <w:sz w:val="24"/>
          <w:szCs w:val="24"/>
        </w:rPr>
        <w:t>actora</w:t>
      </w:r>
      <w:r w:rsidRPr="008E5B0F">
        <w:rPr>
          <w:rFonts w:ascii="Arial" w:hAnsi="Arial" w:cs="Arial"/>
          <w:sz w:val="24"/>
          <w:szCs w:val="24"/>
        </w:rPr>
        <w:t xml:space="preserve">; de igual manera, señaló los preceptos legales que estimó pertinentes. De ahí, lo </w:t>
      </w:r>
      <w:r w:rsidRPr="008E5B0F">
        <w:rPr>
          <w:rFonts w:ascii="Arial" w:hAnsi="Arial" w:cs="Arial"/>
          <w:b/>
          <w:bCs/>
          <w:sz w:val="24"/>
          <w:szCs w:val="24"/>
        </w:rPr>
        <w:t>infundado</w:t>
      </w:r>
      <w:r w:rsidRPr="008E5B0F">
        <w:rPr>
          <w:rFonts w:ascii="Arial" w:hAnsi="Arial" w:cs="Arial"/>
          <w:sz w:val="24"/>
          <w:szCs w:val="24"/>
        </w:rPr>
        <w:t xml:space="preserve"> de su agravio.</w:t>
      </w:r>
    </w:p>
    <w:p w14:paraId="404CFB62"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Ahora bien, en relación con el agravio identificado con el inciso </w:t>
      </w:r>
      <w:r w:rsidRPr="008E5B0F">
        <w:rPr>
          <w:rFonts w:ascii="Arial" w:hAnsi="Arial" w:cs="Arial"/>
          <w:b/>
          <w:bCs/>
          <w:sz w:val="24"/>
          <w:szCs w:val="24"/>
        </w:rPr>
        <w:t>c)</w:t>
      </w:r>
      <w:r w:rsidRPr="008E5B0F">
        <w:rPr>
          <w:rFonts w:ascii="Arial" w:hAnsi="Arial" w:cs="Arial"/>
          <w:sz w:val="24"/>
          <w:szCs w:val="24"/>
        </w:rPr>
        <w:t xml:space="preserve"> relativo a la violación a los principios de </w:t>
      </w:r>
      <w:r w:rsidRPr="008E5B0F">
        <w:rPr>
          <w:rFonts w:ascii="Arial" w:hAnsi="Arial" w:cs="Arial"/>
          <w:b/>
          <w:bCs/>
          <w:sz w:val="24"/>
          <w:szCs w:val="24"/>
        </w:rPr>
        <w:t xml:space="preserve">certeza </w:t>
      </w:r>
      <w:r w:rsidRPr="008E5B0F">
        <w:rPr>
          <w:rFonts w:ascii="Arial" w:hAnsi="Arial" w:cs="Arial"/>
          <w:sz w:val="24"/>
          <w:szCs w:val="24"/>
        </w:rPr>
        <w:t xml:space="preserve">y </w:t>
      </w:r>
      <w:r w:rsidRPr="008E5B0F">
        <w:rPr>
          <w:rFonts w:ascii="Arial" w:hAnsi="Arial" w:cs="Arial"/>
          <w:b/>
          <w:bCs/>
          <w:sz w:val="24"/>
          <w:szCs w:val="24"/>
        </w:rPr>
        <w:t>legalidad</w:t>
      </w:r>
      <w:r w:rsidRPr="008E5B0F">
        <w:rPr>
          <w:rFonts w:ascii="Arial" w:hAnsi="Arial" w:cs="Arial"/>
          <w:sz w:val="24"/>
          <w:szCs w:val="24"/>
        </w:rPr>
        <w:t xml:space="preserve">, derivada de lo señalado en el </w:t>
      </w:r>
      <w:r w:rsidRPr="008E5B0F">
        <w:rPr>
          <w:rFonts w:ascii="Arial" w:hAnsi="Arial" w:cs="Arial"/>
          <w:i/>
          <w:iCs/>
          <w:sz w:val="24"/>
          <w:szCs w:val="24"/>
        </w:rPr>
        <w:t>oficio impugnado</w:t>
      </w:r>
      <w:r w:rsidRPr="008E5B0F">
        <w:rPr>
          <w:rFonts w:ascii="Arial" w:hAnsi="Arial" w:cs="Arial"/>
          <w:sz w:val="24"/>
          <w:szCs w:val="24"/>
        </w:rPr>
        <w:t xml:space="preserve">, respecto a que existe temporalidad para ejercer el cargo de Regidora Propietaria, aduciendo que su pretensión es fuera de tiempo, este </w:t>
      </w:r>
      <w:r w:rsidRPr="008E5B0F">
        <w:rPr>
          <w:rFonts w:ascii="Arial" w:hAnsi="Arial" w:cs="Arial"/>
          <w:i/>
          <w:iCs/>
          <w:sz w:val="24"/>
          <w:szCs w:val="24"/>
        </w:rPr>
        <w:t>Tribunal Electoral</w:t>
      </w:r>
      <w:r w:rsidRPr="008E5B0F">
        <w:rPr>
          <w:rFonts w:ascii="Arial" w:hAnsi="Arial" w:cs="Arial"/>
          <w:sz w:val="24"/>
          <w:szCs w:val="24"/>
        </w:rPr>
        <w:t xml:space="preserve"> considera que dicho agravio deviene </w:t>
      </w:r>
      <w:r w:rsidRPr="008E5B0F">
        <w:rPr>
          <w:rFonts w:ascii="Arial" w:hAnsi="Arial" w:cs="Arial"/>
          <w:b/>
          <w:bCs/>
          <w:sz w:val="24"/>
          <w:szCs w:val="24"/>
        </w:rPr>
        <w:t>infundado</w:t>
      </w:r>
      <w:r w:rsidRPr="008E5B0F">
        <w:rPr>
          <w:rFonts w:ascii="Arial" w:hAnsi="Arial" w:cs="Arial"/>
          <w:sz w:val="24"/>
          <w:szCs w:val="24"/>
        </w:rPr>
        <w:t xml:space="preserve"> por las consideraciones que a continuación se precisan.</w:t>
      </w:r>
    </w:p>
    <w:p w14:paraId="404CFB63"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El </w:t>
      </w:r>
      <w:r w:rsidRPr="008E5B0F">
        <w:rPr>
          <w:rFonts w:ascii="Arial" w:hAnsi="Arial" w:cs="Arial"/>
          <w:i/>
          <w:iCs/>
          <w:sz w:val="24"/>
          <w:szCs w:val="24"/>
        </w:rPr>
        <w:t>oficio impugnado</w:t>
      </w:r>
      <w:r w:rsidRPr="008E5B0F">
        <w:rPr>
          <w:rFonts w:ascii="Arial" w:hAnsi="Arial" w:cs="Arial"/>
          <w:sz w:val="24"/>
          <w:szCs w:val="24"/>
        </w:rPr>
        <w:t xml:space="preserve"> no vulnera tales principios, en tanto su contenido no limita ni restringe indebidamente derechos político-electorales, sino que únicamente le </w:t>
      </w:r>
      <w:r w:rsidRPr="008E5B0F">
        <w:rPr>
          <w:rFonts w:ascii="Arial" w:hAnsi="Arial" w:cs="Arial"/>
          <w:b/>
          <w:bCs/>
          <w:sz w:val="24"/>
          <w:szCs w:val="24"/>
        </w:rPr>
        <w:t>informa</w:t>
      </w:r>
      <w:r w:rsidRPr="008E5B0F">
        <w:rPr>
          <w:rFonts w:ascii="Arial" w:hAnsi="Arial" w:cs="Arial"/>
          <w:sz w:val="24"/>
          <w:szCs w:val="24"/>
        </w:rPr>
        <w:t xml:space="preserve"> que no era posible atender de forma favorable su solicitud, al considerar </w:t>
      </w:r>
      <w:r w:rsidRPr="008E5B0F">
        <w:rPr>
          <w:rFonts w:ascii="Arial" w:hAnsi="Arial" w:cs="Arial"/>
          <w:sz w:val="24"/>
          <w:szCs w:val="24"/>
        </w:rPr>
        <w:lastRenderedPageBreak/>
        <w:t xml:space="preserve">que la </w:t>
      </w:r>
      <w:r w:rsidRPr="008E5B0F">
        <w:rPr>
          <w:rFonts w:ascii="Arial" w:hAnsi="Arial" w:cs="Arial"/>
          <w:i/>
          <w:iCs/>
          <w:sz w:val="24"/>
          <w:szCs w:val="24"/>
        </w:rPr>
        <w:t>promovente</w:t>
      </w:r>
      <w:r w:rsidRPr="008E5B0F">
        <w:rPr>
          <w:rFonts w:ascii="Arial" w:hAnsi="Arial" w:cs="Arial"/>
          <w:sz w:val="24"/>
          <w:szCs w:val="24"/>
        </w:rPr>
        <w:t xml:space="preserve"> pretendía acreditar fuera de tiempo su calidad de Regidora Propietaria, con la intención de ejercer un derecho sin observar la normativa y procedimientos electorales aplicables. Asimismo, precisó que no era de su competencia determinar y emitir cargos de elección popular. </w:t>
      </w:r>
    </w:p>
    <w:p w14:paraId="404CFB64"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En ese sentido, la mención a la temporalidad para ejercer el cargo se encuentra plenamente justificada, toda vez que la titularidad de la Regiduría solo puede adquirirse mediante los procedimientos y dentro de los plazos establecidos en la legislación electoral y no con posterioridad a la integración formal del </w:t>
      </w:r>
      <w:r w:rsidRPr="008E5B0F">
        <w:rPr>
          <w:rFonts w:ascii="Arial" w:hAnsi="Arial" w:cs="Arial"/>
          <w:i/>
          <w:iCs/>
          <w:sz w:val="24"/>
          <w:szCs w:val="24"/>
        </w:rPr>
        <w:t>Ayuntamiento</w:t>
      </w:r>
      <w:r w:rsidRPr="008E5B0F">
        <w:rPr>
          <w:rFonts w:ascii="Arial" w:hAnsi="Arial" w:cs="Arial"/>
          <w:sz w:val="24"/>
          <w:szCs w:val="24"/>
        </w:rPr>
        <w:t>.</w:t>
      </w:r>
    </w:p>
    <w:p w14:paraId="404CFB65"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Por lo que las </w:t>
      </w:r>
      <w:r w:rsidRPr="008E5B0F">
        <w:rPr>
          <w:rFonts w:ascii="Arial" w:hAnsi="Arial" w:cs="Arial"/>
          <w:i/>
          <w:iCs/>
          <w:sz w:val="24"/>
          <w:szCs w:val="24"/>
        </w:rPr>
        <w:t>autoridades responsables</w:t>
      </w:r>
      <w:r w:rsidRPr="008E5B0F">
        <w:rPr>
          <w:rFonts w:ascii="Arial" w:hAnsi="Arial" w:cs="Arial"/>
          <w:sz w:val="24"/>
          <w:szCs w:val="24"/>
        </w:rPr>
        <w:t xml:space="preserve"> carecían de atribuciones para desconocer la situación jurídica previamente definida, consistente en que desde la Sesión Solemne de Instalación del </w:t>
      </w:r>
      <w:r w:rsidRPr="008E5B0F">
        <w:rPr>
          <w:rFonts w:ascii="Arial" w:hAnsi="Arial" w:cs="Arial"/>
          <w:i/>
          <w:iCs/>
          <w:sz w:val="24"/>
          <w:szCs w:val="24"/>
        </w:rPr>
        <w:t>Ayuntamiento</w:t>
      </w:r>
      <w:r w:rsidRPr="008E5B0F">
        <w:rPr>
          <w:rFonts w:ascii="Arial" w:hAnsi="Arial" w:cs="Arial"/>
          <w:sz w:val="24"/>
          <w:szCs w:val="24"/>
        </w:rPr>
        <w:t xml:space="preserve"> fue el </w:t>
      </w:r>
      <w:r w:rsidRPr="008E5B0F">
        <w:rPr>
          <w:rFonts w:ascii="Arial" w:hAnsi="Arial" w:cs="Arial"/>
          <w:i/>
          <w:iCs/>
          <w:sz w:val="24"/>
          <w:szCs w:val="24"/>
        </w:rPr>
        <w:t>tercero interesado</w:t>
      </w:r>
      <w:r w:rsidRPr="008E5B0F">
        <w:rPr>
          <w:rFonts w:ascii="Arial" w:hAnsi="Arial" w:cs="Arial"/>
          <w:sz w:val="24"/>
          <w:szCs w:val="24"/>
        </w:rPr>
        <w:t xml:space="preserve"> quien rindió protesta y ha ejercido el cargo de Regidora </w:t>
      </w:r>
      <w:r w:rsidR="00CC6A43" w:rsidRPr="008E5B0F">
        <w:rPr>
          <w:rFonts w:ascii="Arial" w:hAnsi="Arial" w:cs="Arial"/>
          <w:sz w:val="24"/>
          <w:szCs w:val="24"/>
        </w:rPr>
        <w:t>P</w:t>
      </w:r>
      <w:r w:rsidRPr="008E5B0F">
        <w:rPr>
          <w:rFonts w:ascii="Arial" w:hAnsi="Arial" w:cs="Arial"/>
          <w:sz w:val="24"/>
          <w:szCs w:val="24"/>
        </w:rPr>
        <w:t xml:space="preserve">ropietaria por el principio de Representación Proporcional. </w:t>
      </w:r>
    </w:p>
    <w:p w14:paraId="404CFB66" w14:textId="77777777" w:rsidR="0012716D" w:rsidRPr="008E5B0F" w:rsidRDefault="001E741F">
      <w:pPr>
        <w:tabs>
          <w:tab w:val="left" w:pos="544"/>
        </w:tabs>
        <w:spacing w:before="240" w:after="0" w:line="360" w:lineRule="auto"/>
        <w:ind w:right="-40"/>
        <w:jc w:val="both"/>
        <w:rPr>
          <w:rFonts w:ascii="Arial" w:hAnsi="Arial" w:cs="Arial"/>
          <w:sz w:val="24"/>
          <w:szCs w:val="24"/>
        </w:rPr>
      </w:pPr>
      <w:r w:rsidRPr="008E5B0F">
        <w:rPr>
          <w:rFonts w:ascii="Arial" w:hAnsi="Arial" w:cs="Arial"/>
          <w:sz w:val="24"/>
          <w:szCs w:val="24"/>
        </w:rPr>
        <w:t xml:space="preserve">En consecuencia, este </w:t>
      </w:r>
      <w:r w:rsidRPr="008E5B0F">
        <w:rPr>
          <w:rFonts w:ascii="Arial" w:hAnsi="Arial" w:cs="Arial"/>
          <w:i/>
          <w:sz w:val="24"/>
          <w:szCs w:val="24"/>
        </w:rPr>
        <w:t>órgano jurisdiccional</w:t>
      </w:r>
      <w:r w:rsidRPr="008E5B0F">
        <w:rPr>
          <w:rFonts w:ascii="Arial" w:hAnsi="Arial" w:cs="Arial"/>
          <w:sz w:val="24"/>
          <w:szCs w:val="24"/>
        </w:rPr>
        <w:t xml:space="preserve"> considera que la comunicación de la </w:t>
      </w:r>
      <w:r w:rsidRPr="008E5B0F">
        <w:rPr>
          <w:rFonts w:ascii="Arial" w:hAnsi="Arial" w:cs="Arial"/>
          <w:i/>
          <w:iCs/>
          <w:sz w:val="24"/>
          <w:szCs w:val="24"/>
        </w:rPr>
        <w:t>Secretaria</w:t>
      </w:r>
      <w:r w:rsidRPr="008E5B0F">
        <w:rPr>
          <w:rFonts w:ascii="Arial" w:hAnsi="Arial" w:cs="Arial"/>
          <w:sz w:val="24"/>
          <w:szCs w:val="24"/>
        </w:rPr>
        <w:t xml:space="preserve"> por —instrucciones del </w:t>
      </w:r>
      <w:r w:rsidRPr="008E5B0F">
        <w:rPr>
          <w:rFonts w:ascii="Arial" w:hAnsi="Arial" w:cs="Arial"/>
          <w:i/>
          <w:iCs/>
          <w:sz w:val="24"/>
          <w:szCs w:val="24"/>
        </w:rPr>
        <w:t>Presidente Municipal—</w:t>
      </w:r>
      <w:r w:rsidRPr="008E5B0F">
        <w:rPr>
          <w:rFonts w:ascii="Arial" w:hAnsi="Arial" w:cs="Arial"/>
          <w:sz w:val="24"/>
          <w:szCs w:val="24"/>
        </w:rPr>
        <w:t xml:space="preserve"> simplemente se limitó a informar la imposibilidad jurídica de atender una pretensión fuera de tiempo, con fundamento en la situación jurídica vigente, observando los principios de legalidad, certeza y seguridad jurídica previstos en los artículos 14 y 16 de la </w:t>
      </w:r>
      <w:r w:rsidRPr="008E5B0F">
        <w:rPr>
          <w:rFonts w:ascii="Arial" w:hAnsi="Arial" w:cs="Arial"/>
          <w:i/>
          <w:iCs/>
          <w:sz w:val="24"/>
          <w:szCs w:val="24"/>
        </w:rPr>
        <w:t>Constitución General</w:t>
      </w:r>
      <w:r w:rsidRPr="008E5B0F">
        <w:rPr>
          <w:rFonts w:ascii="Arial" w:hAnsi="Arial" w:cs="Arial"/>
          <w:sz w:val="24"/>
          <w:szCs w:val="24"/>
        </w:rPr>
        <w:t>, que rigen la actuación de la autoridad municipal.</w:t>
      </w:r>
    </w:p>
    <w:p w14:paraId="404CFB67" w14:textId="77777777" w:rsidR="0012716D" w:rsidRPr="008E5B0F" w:rsidRDefault="0063771D">
      <w:pPr>
        <w:pStyle w:val="Ttulo2"/>
        <w:spacing w:before="240"/>
        <w:rPr>
          <w:rFonts w:ascii="Arial" w:hAnsi="Arial" w:cs="Arial"/>
          <w:b/>
          <w:bCs/>
          <w:color w:val="auto"/>
          <w:sz w:val="24"/>
          <w:szCs w:val="24"/>
        </w:rPr>
      </w:pPr>
      <w:bookmarkStart w:id="24" w:name="_Toc211690219"/>
      <w:r w:rsidRPr="008E5B0F">
        <w:rPr>
          <w:rFonts w:ascii="Arial" w:hAnsi="Arial" w:cs="Arial"/>
          <w:b/>
          <w:bCs/>
          <w:color w:val="auto"/>
          <w:sz w:val="24"/>
          <w:szCs w:val="24"/>
        </w:rPr>
        <w:t>8.7. Vista</w:t>
      </w:r>
      <w:bookmarkEnd w:id="24"/>
    </w:p>
    <w:p w14:paraId="404CFB68"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Finalmente, la </w:t>
      </w:r>
      <w:r w:rsidRPr="008E5B0F">
        <w:rPr>
          <w:rFonts w:ascii="Arial" w:hAnsi="Arial" w:cs="Arial"/>
          <w:i/>
          <w:iCs/>
          <w:sz w:val="24"/>
          <w:szCs w:val="24"/>
        </w:rPr>
        <w:t>actora</w:t>
      </w:r>
      <w:r w:rsidRPr="008E5B0F">
        <w:rPr>
          <w:rFonts w:ascii="Arial" w:hAnsi="Arial" w:cs="Arial"/>
          <w:sz w:val="24"/>
          <w:szCs w:val="24"/>
        </w:rPr>
        <w:t xml:space="preserve"> señala que la existencia de otra Constancia de Mayoría y Validez de la Elección, diversa a la suya, en cuanto Regidora Propietaria, va en contra de los principios de certeza y legalidad, lo que pudiera evidenciar la posible comisión de algún delito, como la falsificación de documentos o uso de documentos falsos, así como posibles responsabilidades administrativas. </w:t>
      </w:r>
    </w:p>
    <w:p w14:paraId="404CFB69" w14:textId="00598C18"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Al respecto, este </w:t>
      </w:r>
      <w:r w:rsidRPr="008E5B0F">
        <w:rPr>
          <w:rFonts w:ascii="Arial" w:hAnsi="Arial" w:cs="Arial"/>
          <w:i/>
          <w:iCs/>
          <w:sz w:val="24"/>
          <w:szCs w:val="24"/>
        </w:rPr>
        <w:t>Tribunal Electoral</w:t>
      </w:r>
      <w:r w:rsidRPr="008E5B0F">
        <w:rPr>
          <w:rFonts w:ascii="Arial" w:hAnsi="Arial" w:cs="Arial"/>
          <w:sz w:val="24"/>
          <w:szCs w:val="24"/>
        </w:rPr>
        <w:t xml:space="preserve">, considera oportuno, con fundamento en los artículos 46 y 50, inciso j) y p), del </w:t>
      </w:r>
      <w:r w:rsidRPr="008E5B0F">
        <w:rPr>
          <w:rFonts w:ascii="Arial" w:hAnsi="Arial" w:cs="Arial"/>
          <w:i/>
          <w:iCs/>
          <w:sz w:val="24"/>
          <w:szCs w:val="24"/>
        </w:rPr>
        <w:t>Código Electoral</w:t>
      </w:r>
      <w:r w:rsidRPr="008E5B0F">
        <w:rPr>
          <w:rFonts w:ascii="Arial" w:hAnsi="Arial" w:cs="Arial"/>
          <w:sz w:val="24"/>
          <w:szCs w:val="24"/>
        </w:rPr>
        <w:t xml:space="preserve">, </w:t>
      </w:r>
      <w:r w:rsidRPr="008E5B0F">
        <w:rPr>
          <w:rFonts w:ascii="Arial" w:hAnsi="Arial" w:cs="Arial"/>
          <w:b/>
          <w:bCs/>
          <w:sz w:val="24"/>
          <w:szCs w:val="24"/>
        </w:rPr>
        <w:t>dar vista</w:t>
      </w:r>
      <w:r w:rsidRPr="008E5B0F">
        <w:rPr>
          <w:rFonts w:ascii="Arial" w:hAnsi="Arial" w:cs="Arial"/>
          <w:sz w:val="24"/>
          <w:szCs w:val="24"/>
        </w:rPr>
        <w:t xml:space="preserve"> con copia certificada de la presente resolución, el escrito de demanda que dio origen al presente juicio, así como las dos Constancias de Mayoría y Validez de la Elección con folios 1072 y 1079 que obran en autos, al </w:t>
      </w:r>
      <w:r w:rsidRPr="008E5B0F">
        <w:rPr>
          <w:rFonts w:ascii="Arial" w:hAnsi="Arial" w:cs="Arial"/>
          <w:b/>
          <w:bCs/>
          <w:sz w:val="24"/>
          <w:szCs w:val="24"/>
        </w:rPr>
        <w:t xml:space="preserve">Órgano Interno de Control del </w:t>
      </w:r>
      <w:r w:rsidRPr="008E5B0F">
        <w:rPr>
          <w:rFonts w:ascii="Arial" w:hAnsi="Arial" w:cs="Arial"/>
          <w:b/>
          <w:bCs/>
          <w:i/>
          <w:iCs/>
          <w:sz w:val="24"/>
          <w:szCs w:val="24"/>
        </w:rPr>
        <w:lastRenderedPageBreak/>
        <w:t>IEM</w:t>
      </w:r>
      <w:r w:rsidRPr="008E5B0F">
        <w:rPr>
          <w:rFonts w:ascii="Arial" w:hAnsi="Arial" w:cs="Arial"/>
          <w:sz w:val="24"/>
          <w:szCs w:val="24"/>
        </w:rPr>
        <w:t xml:space="preserve">, para que en plenitud de atribuciones determine lo que en derecho corresponda, </w:t>
      </w:r>
      <w:r w:rsidR="00F54AE2" w:rsidRPr="008E5B0F">
        <w:rPr>
          <w:rFonts w:ascii="Arial" w:hAnsi="Arial" w:cs="Arial"/>
          <w:sz w:val="24"/>
          <w:szCs w:val="24"/>
        </w:rPr>
        <w:t>sin prejuzgar sobre alguna responsabilidad, en relación a</w:t>
      </w:r>
      <w:r w:rsidRPr="008E5B0F">
        <w:rPr>
          <w:rFonts w:ascii="Arial" w:hAnsi="Arial" w:cs="Arial"/>
          <w:sz w:val="24"/>
          <w:szCs w:val="24"/>
        </w:rPr>
        <w:t xml:space="preserve"> los hechos referidos, ante la posible constitución de alguna irregularidad, al ser esa la autoridad a quien le corresponde conocer de las responsabilidades de los servidores públicos de dicho </w:t>
      </w:r>
      <w:r w:rsidRPr="008E5B0F">
        <w:rPr>
          <w:rFonts w:ascii="Arial" w:hAnsi="Arial" w:cs="Arial"/>
          <w:i/>
          <w:iCs/>
          <w:sz w:val="24"/>
          <w:szCs w:val="24"/>
        </w:rPr>
        <w:t>Instituto</w:t>
      </w:r>
      <w:r w:rsidRPr="008E5B0F">
        <w:rPr>
          <w:rFonts w:ascii="Arial" w:hAnsi="Arial" w:cs="Arial"/>
          <w:sz w:val="24"/>
          <w:szCs w:val="24"/>
        </w:rPr>
        <w:t>; desahogar los procedimientos a que haya lugar; y, en su caso, fincar las responsabilidades e imponer las sanciones que correspondan en términos de ley.</w:t>
      </w:r>
    </w:p>
    <w:p w14:paraId="404CFB6A" w14:textId="77777777" w:rsidR="0012716D" w:rsidRPr="008E5B0F" w:rsidRDefault="001E741F">
      <w:pPr>
        <w:spacing w:before="100" w:beforeAutospacing="1" w:after="100" w:afterAutospacing="1" w:line="360" w:lineRule="auto"/>
        <w:jc w:val="both"/>
        <w:rPr>
          <w:rFonts w:ascii="Arial" w:hAnsi="Arial" w:cs="Arial"/>
          <w:sz w:val="24"/>
          <w:szCs w:val="24"/>
        </w:rPr>
      </w:pPr>
      <w:r w:rsidRPr="008E5B0F">
        <w:rPr>
          <w:rFonts w:ascii="Arial" w:hAnsi="Arial" w:cs="Arial"/>
          <w:sz w:val="24"/>
          <w:szCs w:val="24"/>
        </w:rPr>
        <w:t xml:space="preserve">Por lo que se </w:t>
      </w:r>
      <w:r w:rsidRPr="008E5B0F">
        <w:rPr>
          <w:rFonts w:ascii="Arial" w:hAnsi="Arial" w:cs="Arial"/>
          <w:b/>
          <w:bCs/>
          <w:sz w:val="24"/>
          <w:szCs w:val="24"/>
        </w:rPr>
        <w:t>instruye</w:t>
      </w:r>
      <w:r w:rsidRPr="008E5B0F">
        <w:rPr>
          <w:rFonts w:ascii="Arial" w:hAnsi="Arial" w:cs="Arial"/>
          <w:sz w:val="24"/>
          <w:szCs w:val="24"/>
        </w:rPr>
        <w:t xml:space="preserve"> al Secretario General de Acuerdos de este </w:t>
      </w:r>
      <w:r w:rsidRPr="008E5B0F">
        <w:rPr>
          <w:rFonts w:ascii="Arial" w:hAnsi="Arial" w:cs="Arial"/>
          <w:i/>
          <w:iCs/>
          <w:sz w:val="24"/>
          <w:szCs w:val="24"/>
        </w:rPr>
        <w:t>Tribunal Electoral</w:t>
      </w:r>
      <w:r w:rsidRPr="008E5B0F">
        <w:rPr>
          <w:rFonts w:ascii="Arial" w:hAnsi="Arial" w:cs="Arial"/>
          <w:sz w:val="24"/>
          <w:szCs w:val="24"/>
        </w:rPr>
        <w:t xml:space="preserve"> que actúe conforme corresponda a la vista ordenada.</w:t>
      </w:r>
    </w:p>
    <w:p w14:paraId="404CFB6B" w14:textId="77777777" w:rsidR="0012716D" w:rsidRPr="008E5B0F" w:rsidRDefault="001E741F">
      <w:pPr>
        <w:spacing w:before="240" w:after="240" w:line="360" w:lineRule="auto"/>
        <w:jc w:val="both"/>
        <w:rPr>
          <w:rFonts w:ascii="Arial" w:eastAsia="Arial" w:hAnsi="Arial" w:cs="Arial"/>
          <w:sz w:val="24"/>
          <w:szCs w:val="24"/>
        </w:rPr>
      </w:pPr>
      <w:r w:rsidRPr="008E5B0F">
        <w:rPr>
          <w:rFonts w:ascii="Arial" w:eastAsia="Arial" w:hAnsi="Arial" w:cs="Arial"/>
          <w:sz w:val="24"/>
          <w:szCs w:val="24"/>
        </w:rPr>
        <w:t>Por lo expuesto y fundado se emiten los siguientes </w:t>
      </w:r>
    </w:p>
    <w:p w14:paraId="404CFB6C" w14:textId="77777777" w:rsidR="0012716D" w:rsidRPr="008E5B0F" w:rsidRDefault="0063771D">
      <w:pPr>
        <w:shd w:val="clear" w:color="auto" w:fill="FFFFFF" w:themeFill="background1"/>
        <w:spacing w:before="240" w:after="0" w:line="360" w:lineRule="auto"/>
        <w:jc w:val="center"/>
        <w:outlineLvl w:val="2"/>
        <w:rPr>
          <w:rFonts w:ascii="Arial" w:hAnsi="Arial" w:cs="Arial"/>
          <w:b/>
          <w:bCs/>
          <w:color w:val="000000" w:themeColor="text1"/>
          <w:sz w:val="24"/>
          <w:szCs w:val="24"/>
        </w:rPr>
      </w:pPr>
      <w:bookmarkStart w:id="25" w:name="_Toc191821370"/>
      <w:bookmarkStart w:id="26" w:name="_Toc211690220"/>
      <w:r w:rsidRPr="008E5B0F">
        <w:rPr>
          <w:rFonts w:ascii="Arial" w:hAnsi="Arial" w:cs="Arial"/>
          <w:b/>
          <w:bCs/>
          <w:color w:val="000000" w:themeColor="text1"/>
          <w:sz w:val="24"/>
          <w:szCs w:val="24"/>
        </w:rPr>
        <w:t>IX. RESOLUTIVOS</w:t>
      </w:r>
      <w:bookmarkEnd w:id="25"/>
      <w:bookmarkEnd w:id="26"/>
    </w:p>
    <w:p w14:paraId="404CFB6D" w14:textId="095681D6" w:rsidR="0012716D" w:rsidRPr="008E5B0F" w:rsidRDefault="001E741F">
      <w:pPr>
        <w:spacing w:before="100" w:beforeAutospacing="1" w:after="100" w:afterAutospacing="1" w:line="360" w:lineRule="auto"/>
        <w:jc w:val="both"/>
        <w:rPr>
          <w:rFonts w:ascii="Arial" w:eastAsia="Arial" w:hAnsi="Arial" w:cs="Arial"/>
          <w:sz w:val="24"/>
          <w:szCs w:val="24"/>
        </w:rPr>
      </w:pPr>
      <w:r w:rsidRPr="008E5B0F">
        <w:rPr>
          <w:rFonts w:ascii="Arial" w:eastAsia="Arial" w:hAnsi="Arial" w:cs="Arial"/>
          <w:b/>
          <w:bCs/>
          <w:sz w:val="24"/>
          <w:szCs w:val="24"/>
        </w:rPr>
        <w:t xml:space="preserve">PRIMERO. </w:t>
      </w:r>
      <w:r w:rsidRPr="008E5B0F">
        <w:rPr>
          <w:rFonts w:ascii="Arial" w:eastAsia="Arial" w:hAnsi="Arial" w:cs="Arial"/>
          <w:sz w:val="24"/>
          <w:szCs w:val="24"/>
        </w:rPr>
        <w:t xml:space="preserve">Se declara la </w:t>
      </w:r>
      <w:r w:rsidRPr="008E5B0F">
        <w:rPr>
          <w:rFonts w:ascii="Arial" w:eastAsia="Arial" w:hAnsi="Arial" w:cs="Arial"/>
          <w:b/>
          <w:sz w:val="24"/>
          <w:szCs w:val="24"/>
        </w:rPr>
        <w:t xml:space="preserve">inexistencia </w:t>
      </w:r>
      <w:r w:rsidRPr="008E5B0F">
        <w:rPr>
          <w:rFonts w:ascii="Arial" w:eastAsia="Arial" w:hAnsi="Arial" w:cs="Arial"/>
          <w:sz w:val="24"/>
          <w:szCs w:val="24"/>
        </w:rPr>
        <w:t>de la vulneración al derecho político-electoral de votar y ser votada en su vertiente del ejercicio del cargo de la parte actora</w:t>
      </w:r>
      <w:r w:rsidR="00485DE2" w:rsidRPr="008E5B0F">
        <w:rPr>
          <w:rFonts w:ascii="Arial" w:eastAsia="Arial" w:hAnsi="Arial" w:cs="Arial"/>
          <w:sz w:val="24"/>
          <w:szCs w:val="24"/>
        </w:rPr>
        <w:t>,</w:t>
      </w:r>
      <w:r w:rsidR="00812D85" w:rsidRPr="008E5B0F">
        <w:rPr>
          <w:rFonts w:ascii="Arial" w:eastAsia="Arial" w:hAnsi="Arial" w:cs="Arial"/>
          <w:sz w:val="24"/>
          <w:szCs w:val="24"/>
        </w:rPr>
        <w:t xml:space="preserve"> en consecuencia</w:t>
      </w:r>
      <w:r w:rsidR="00485DE2" w:rsidRPr="008E5B0F">
        <w:rPr>
          <w:rFonts w:ascii="Arial" w:eastAsia="Arial" w:hAnsi="Arial" w:cs="Arial"/>
          <w:sz w:val="24"/>
          <w:szCs w:val="24"/>
        </w:rPr>
        <w:t>,</w:t>
      </w:r>
      <w:r w:rsidR="00812D85" w:rsidRPr="008E5B0F">
        <w:rPr>
          <w:rFonts w:ascii="Arial" w:eastAsia="Arial" w:hAnsi="Arial" w:cs="Arial"/>
          <w:sz w:val="24"/>
          <w:szCs w:val="24"/>
        </w:rPr>
        <w:t xml:space="preserve"> </w:t>
      </w:r>
      <w:r w:rsidRPr="008E5B0F">
        <w:rPr>
          <w:rFonts w:ascii="Arial" w:eastAsia="Arial" w:hAnsi="Arial" w:cs="Arial"/>
          <w:sz w:val="24"/>
          <w:szCs w:val="24"/>
        </w:rPr>
        <w:t xml:space="preserve">se </w:t>
      </w:r>
      <w:r w:rsidR="00812D85" w:rsidRPr="008E5B0F">
        <w:rPr>
          <w:rFonts w:ascii="Arial" w:eastAsia="Arial" w:hAnsi="Arial" w:cs="Arial"/>
          <w:sz w:val="24"/>
          <w:szCs w:val="24"/>
        </w:rPr>
        <w:t>confirma el oficio de cinco de septiembre, signado por la Secretaria del Ayuntamiento de Tangancícuaro, Michoacán</w:t>
      </w:r>
      <w:r w:rsidRPr="008E5B0F">
        <w:rPr>
          <w:rFonts w:ascii="Arial" w:eastAsia="Arial" w:hAnsi="Arial" w:cs="Arial"/>
          <w:sz w:val="24"/>
          <w:szCs w:val="24"/>
        </w:rPr>
        <w:t>.</w:t>
      </w:r>
    </w:p>
    <w:p w14:paraId="404CFB6E" w14:textId="308F037A" w:rsidR="0012716D" w:rsidRPr="008E5B0F" w:rsidRDefault="001E741F">
      <w:pPr>
        <w:spacing w:before="100" w:beforeAutospacing="1" w:after="100" w:afterAutospacing="1" w:line="360" w:lineRule="auto"/>
        <w:jc w:val="both"/>
        <w:rPr>
          <w:rFonts w:ascii="Arial" w:eastAsia="Arial" w:hAnsi="Arial" w:cs="Arial"/>
          <w:sz w:val="24"/>
          <w:szCs w:val="24"/>
        </w:rPr>
      </w:pPr>
      <w:r w:rsidRPr="008E5B0F">
        <w:rPr>
          <w:rFonts w:ascii="Arial" w:eastAsia="Arial" w:hAnsi="Arial" w:cs="Arial"/>
          <w:b/>
          <w:bCs/>
          <w:sz w:val="24"/>
          <w:szCs w:val="24"/>
        </w:rPr>
        <w:t>SEGUNDO.</w:t>
      </w:r>
      <w:r w:rsidRPr="008E5B0F">
        <w:rPr>
          <w:rFonts w:ascii="Arial" w:eastAsia="Arial" w:hAnsi="Arial" w:cs="Arial"/>
          <w:sz w:val="24"/>
          <w:szCs w:val="24"/>
        </w:rPr>
        <w:t xml:space="preserve"> </w:t>
      </w:r>
      <w:r w:rsidR="00485DE2" w:rsidRPr="008E5B0F">
        <w:rPr>
          <w:rFonts w:ascii="Arial" w:eastAsia="Arial" w:hAnsi="Arial" w:cs="Arial"/>
          <w:sz w:val="24"/>
          <w:szCs w:val="24"/>
        </w:rPr>
        <w:t>Dese</w:t>
      </w:r>
      <w:r w:rsidRPr="008E5B0F">
        <w:rPr>
          <w:rFonts w:ascii="Arial" w:eastAsia="Arial" w:hAnsi="Arial" w:cs="Arial"/>
          <w:sz w:val="24"/>
          <w:szCs w:val="24"/>
        </w:rPr>
        <w:t xml:space="preserve"> </w:t>
      </w:r>
      <w:r w:rsidRPr="008E5B0F">
        <w:rPr>
          <w:rFonts w:ascii="Arial" w:eastAsia="Arial" w:hAnsi="Arial" w:cs="Arial"/>
          <w:b/>
          <w:bCs/>
          <w:sz w:val="24"/>
          <w:szCs w:val="24"/>
        </w:rPr>
        <w:t>vista</w:t>
      </w:r>
      <w:r w:rsidRPr="008E5B0F">
        <w:rPr>
          <w:rFonts w:ascii="Arial" w:eastAsia="Arial" w:hAnsi="Arial" w:cs="Arial"/>
          <w:sz w:val="24"/>
          <w:szCs w:val="24"/>
        </w:rPr>
        <w:t xml:space="preserve"> </w:t>
      </w:r>
      <w:r w:rsidRPr="008E5B0F">
        <w:rPr>
          <w:rFonts w:ascii="Arial" w:hAnsi="Arial" w:cs="Arial"/>
          <w:sz w:val="24"/>
          <w:szCs w:val="24"/>
        </w:rPr>
        <w:t>al Órgano Interno de Control del Instituto Electoral de Michoacán.</w:t>
      </w:r>
    </w:p>
    <w:p w14:paraId="404CFB6F" w14:textId="77777777" w:rsidR="0012716D" w:rsidRPr="008E5B0F" w:rsidRDefault="001E741F">
      <w:pPr>
        <w:spacing w:line="360" w:lineRule="auto"/>
        <w:jc w:val="both"/>
        <w:rPr>
          <w:rFonts w:ascii="Arial" w:eastAsia="Arial" w:hAnsi="Arial" w:cs="Arial"/>
          <w:sz w:val="24"/>
          <w:szCs w:val="24"/>
        </w:rPr>
      </w:pPr>
      <w:r w:rsidRPr="008E5B0F">
        <w:rPr>
          <w:rFonts w:ascii="Arial" w:hAnsi="Arial" w:cs="Arial"/>
          <w:b/>
          <w:bCs/>
          <w:sz w:val="24"/>
          <w:szCs w:val="24"/>
          <w:lang w:val="es-ES"/>
        </w:rPr>
        <w:t xml:space="preserve">Notifíquese: </w:t>
      </w:r>
      <w:r w:rsidRPr="008E5B0F">
        <w:rPr>
          <w:rFonts w:ascii="Arial" w:hAnsi="Arial" w:cs="Arial"/>
          <w:b/>
          <w:bCs/>
          <w:sz w:val="24"/>
          <w:szCs w:val="24"/>
        </w:rPr>
        <w:t>Personalmente</w:t>
      </w:r>
      <w:r w:rsidRPr="008E5B0F">
        <w:rPr>
          <w:rFonts w:ascii="Arial" w:hAnsi="Arial" w:cs="Arial"/>
          <w:sz w:val="24"/>
          <w:szCs w:val="24"/>
        </w:rPr>
        <w:t>,</w:t>
      </w:r>
      <w:r w:rsidRPr="008E5B0F">
        <w:rPr>
          <w:rFonts w:ascii="Arial" w:hAnsi="Arial" w:cs="Arial"/>
          <w:b/>
          <w:bCs/>
          <w:sz w:val="24"/>
          <w:szCs w:val="24"/>
        </w:rPr>
        <w:t xml:space="preserve"> </w:t>
      </w:r>
      <w:r w:rsidRPr="008E5B0F">
        <w:rPr>
          <w:rFonts w:ascii="Arial" w:hAnsi="Arial" w:cs="Arial"/>
          <w:sz w:val="24"/>
          <w:szCs w:val="24"/>
        </w:rPr>
        <w:t xml:space="preserve">a la parte actora y al tercero interesado; </w:t>
      </w:r>
      <w:r w:rsidRPr="008E5B0F">
        <w:rPr>
          <w:rFonts w:ascii="Arial" w:hAnsi="Arial" w:cs="Arial"/>
          <w:b/>
          <w:bCs/>
          <w:sz w:val="24"/>
          <w:szCs w:val="24"/>
        </w:rPr>
        <w:t>por oficio</w:t>
      </w:r>
      <w:r w:rsidRPr="008E5B0F">
        <w:rPr>
          <w:rFonts w:ascii="Arial" w:hAnsi="Arial" w:cs="Arial"/>
          <w:sz w:val="24"/>
          <w:szCs w:val="24"/>
        </w:rPr>
        <w:t>,</w:t>
      </w:r>
      <w:r w:rsidRPr="008E5B0F">
        <w:rPr>
          <w:rFonts w:ascii="Arial" w:hAnsi="Arial" w:cs="Arial"/>
          <w:b/>
          <w:bCs/>
          <w:sz w:val="24"/>
          <w:szCs w:val="24"/>
        </w:rPr>
        <w:t xml:space="preserve"> </w:t>
      </w:r>
      <w:r w:rsidRPr="008E5B0F">
        <w:rPr>
          <w:rFonts w:ascii="Arial" w:hAnsi="Arial" w:cs="Arial"/>
          <w:sz w:val="24"/>
          <w:szCs w:val="24"/>
        </w:rPr>
        <w:t>a las autoridades responsables y al Instituto Electoral de Michoacán; y,</w:t>
      </w:r>
      <w:r w:rsidRPr="008E5B0F">
        <w:rPr>
          <w:rFonts w:ascii="Arial" w:hAnsi="Arial" w:cs="Arial"/>
          <w:b/>
          <w:bCs/>
          <w:sz w:val="24"/>
          <w:szCs w:val="24"/>
        </w:rPr>
        <w:t xml:space="preserve"> por estrados</w:t>
      </w:r>
      <w:r w:rsidRPr="008E5B0F">
        <w:rPr>
          <w:rFonts w:ascii="Arial" w:hAnsi="Arial" w:cs="Arial"/>
          <w:sz w:val="24"/>
          <w:szCs w:val="24"/>
        </w:rPr>
        <w:t xml:space="preserve">, a los demás interesados. </w:t>
      </w:r>
      <w:r w:rsidRPr="008E5B0F">
        <w:rPr>
          <w:rFonts w:ascii="Arial" w:eastAsia="Arial" w:hAnsi="Arial" w:cs="Arial"/>
          <w:sz w:val="24"/>
          <w:szCs w:val="24"/>
        </w:rPr>
        <w:t xml:space="preserve">Lo anterior de conformidad con lo previsto en los artículos 37, fracciones I, II y III, 38 y 39 de la Ley de Justicia en Materia Electoral y de Participación Ciudadana del Estado de Michoacán de Ocampo; así como 137, fracción VI, 139, 140 y 142 del Reglamento Interior del Tribunal Electoral del Estado. </w:t>
      </w:r>
    </w:p>
    <w:p w14:paraId="404CFB70" w14:textId="77777777" w:rsidR="0012716D" w:rsidRPr="008E5B0F" w:rsidRDefault="001E741F">
      <w:pPr>
        <w:tabs>
          <w:tab w:val="left" w:pos="5730"/>
        </w:tabs>
        <w:spacing w:before="240" w:after="0" w:line="360" w:lineRule="auto"/>
        <w:jc w:val="both"/>
        <w:rPr>
          <w:rFonts w:ascii="Arial" w:hAnsi="Arial" w:cs="Arial"/>
          <w:sz w:val="24"/>
          <w:szCs w:val="24"/>
          <w:lang w:val="es-ES_tradnl"/>
        </w:rPr>
      </w:pPr>
      <w:r w:rsidRPr="008E5B0F">
        <w:rPr>
          <w:rFonts w:ascii="Arial" w:hAnsi="Arial" w:cs="Arial"/>
          <w:sz w:val="24"/>
          <w:szCs w:val="24"/>
          <w:lang w:val="es-ES_tradnl"/>
        </w:rPr>
        <w:t>En su oportunidad, archívese este expediente como asunto total y definitivamente concluido.</w:t>
      </w:r>
    </w:p>
    <w:p w14:paraId="404CFB72" w14:textId="07295173" w:rsidR="0012716D" w:rsidRPr="008E5B0F" w:rsidRDefault="001E741F">
      <w:pPr>
        <w:tabs>
          <w:tab w:val="left" w:pos="426"/>
          <w:tab w:val="left" w:pos="567"/>
        </w:tabs>
        <w:spacing w:before="100" w:beforeAutospacing="1" w:after="100" w:afterAutospacing="1" w:line="360" w:lineRule="auto"/>
        <w:jc w:val="both"/>
        <w:rPr>
          <w:rFonts w:ascii="Arial" w:hAnsi="Arial" w:cs="Arial"/>
          <w:b/>
          <w:bCs/>
          <w:sz w:val="24"/>
          <w:szCs w:val="24"/>
          <w:lang w:val="es-ES"/>
        </w:rPr>
      </w:pPr>
      <w:r w:rsidRPr="008E5B0F">
        <w:rPr>
          <w:rFonts w:ascii="Arial" w:eastAsia="Arial" w:hAnsi="Arial" w:cs="Arial"/>
          <w:sz w:val="24"/>
          <w:szCs w:val="24"/>
        </w:rPr>
        <w:t xml:space="preserve">Así, </w:t>
      </w:r>
      <w:r w:rsidRPr="008E5B0F">
        <w:rPr>
          <w:rFonts w:ascii="Arial" w:eastAsia="Arial" w:hAnsi="Arial" w:cs="Arial"/>
          <w:color w:val="000000" w:themeColor="text1"/>
          <w:sz w:val="24"/>
          <w:szCs w:val="24"/>
        </w:rPr>
        <w:t xml:space="preserve">en sesión pública </w:t>
      </w:r>
      <w:r w:rsidRPr="008E5B0F">
        <w:rPr>
          <w:rFonts w:ascii="Arial" w:eastAsia="Arial" w:hAnsi="Arial" w:cs="Arial"/>
          <w:sz w:val="24"/>
          <w:szCs w:val="24"/>
        </w:rPr>
        <w:t xml:space="preserve">celebrada el día de hoy, a las </w:t>
      </w:r>
      <w:r w:rsidR="006700EB">
        <w:rPr>
          <w:rFonts w:ascii="Arial" w:eastAsia="Arial" w:hAnsi="Arial" w:cs="Arial"/>
          <w:sz w:val="24"/>
          <w:szCs w:val="24"/>
        </w:rPr>
        <w:t>trece</w:t>
      </w:r>
      <w:r w:rsidRPr="008E5B0F">
        <w:rPr>
          <w:rFonts w:ascii="Arial" w:eastAsia="Arial" w:hAnsi="Arial" w:cs="Arial"/>
          <w:sz w:val="24"/>
          <w:szCs w:val="24"/>
        </w:rPr>
        <w:t xml:space="preserve"> horas con </w:t>
      </w:r>
      <w:r w:rsidR="006700EB">
        <w:rPr>
          <w:rFonts w:ascii="Arial" w:eastAsia="Arial" w:hAnsi="Arial" w:cs="Arial"/>
          <w:sz w:val="24"/>
          <w:szCs w:val="24"/>
        </w:rPr>
        <w:t xml:space="preserve">doce </w:t>
      </w:r>
      <w:r w:rsidRPr="008E5B0F">
        <w:rPr>
          <w:rFonts w:ascii="Arial" w:eastAsia="Arial" w:hAnsi="Arial" w:cs="Arial"/>
          <w:sz w:val="24"/>
          <w:szCs w:val="24"/>
        </w:rPr>
        <w:t xml:space="preserve">minutos, por unanimidad de votos, lo resolvieron y firman los integrantes del Pleno del Tribunal Electoral del Estado, Magistrada Presidenta </w:t>
      </w:r>
      <w:proofErr w:type="spellStart"/>
      <w:r w:rsidRPr="008E5B0F">
        <w:rPr>
          <w:rFonts w:ascii="Arial" w:eastAsia="Arial" w:hAnsi="Arial" w:cs="Arial"/>
          <w:sz w:val="24"/>
          <w:szCs w:val="24"/>
        </w:rPr>
        <w:t>Amelí</w:t>
      </w:r>
      <w:proofErr w:type="spellEnd"/>
      <w:r w:rsidRPr="008E5B0F">
        <w:rPr>
          <w:rFonts w:ascii="Arial" w:eastAsia="Arial" w:hAnsi="Arial" w:cs="Arial"/>
          <w:sz w:val="24"/>
          <w:szCs w:val="24"/>
        </w:rPr>
        <w:t xml:space="preserve"> </w:t>
      </w:r>
      <w:proofErr w:type="spellStart"/>
      <w:r w:rsidRPr="008E5B0F">
        <w:rPr>
          <w:rFonts w:ascii="Arial" w:eastAsia="Arial" w:hAnsi="Arial" w:cs="Arial"/>
          <w:sz w:val="24"/>
          <w:szCs w:val="24"/>
        </w:rPr>
        <w:t>Gissel</w:t>
      </w:r>
      <w:proofErr w:type="spellEnd"/>
      <w:r w:rsidRPr="008E5B0F">
        <w:rPr>
          <w:rFonts w:ascii="Arial" w:eastAsia="Arial" w:hAnsi="Arial" w:cs="Arial"/>
          <w:sz w:val="24"/>
          <w:szCs w:val="24"/>
        </w:rPr>
        <w:t xml:space="preserve"> </w:t>
      </w:r>
      <w:r w:rsidRPr="008E5B0F">
        <w:rPr>
          <w:rFonts w:ascii="Arial" w:eastAsia="Arial" w:hAnsi="Arial" w:cs="Arial"/>
          <w:sz w:val="24"/>
          <w:szCs w:val="24"/>
        </w:rPr>
        <w:lastRenderedPageBreak/>
        <w:t>Navarro Lepe</w:t>
      </w:r>
      <w:r w:rsidRPr="008E5B0F">
        <w:rPr>
          <w:rFonts w:ascii="Arial" w:eastAsia="Arial" w:hAnsi="Arial" w:cs="Arial"/>
          <w:i/>
          <w:iCs/>
          <w:sz w:val="24"/>
          <w:szCs w:val="24"/>
        </w:rPr>
        <w:t xml:space="preserve">, </w:t>
      </w:r>
      <w:r w:rsidRPr="008E5B0F">
        <w:rPr>
          <w:rFonts w:ascii="Arial" w:eastAsia="Arial" w:hAnsi="Arial" w:cs="Arial"/>
          <w:sz w:val="24"/>
          <w:szCs w:val="24"/>
        </w:rPr>
        <w:t>las Magistradas Yurisha Andrade Morales y Alma Rosa Bahena Villalobos</w:t>
      </w:r>
      <w:r w:rsidRPr="008E5B0F">
        <w:rPr>
          <w:rFonts w:ascii="Arial" w:eastAsia="Arial" w:hAnsi="Arial" w:cs="Arial"/>
          <w:i/>
          <w:iCs/>
          <w:sz w:val="24"/>
          <w:szCs w:val="24"/>
        </w:rPr>
        <w:t>—quien fue ponente—</w:t>
      </w:r>
      <w:r w:rsidRPr="008E5B0F">
        <w:rPr>
          <w:rFonts w:ascii="Arial" w:eastAsia="Arial" w:hAnsi="Arial" w:cs="Arial"/>
          <w:sz w:val="24"/>
          <w:szCs w:val="24"/>
        </w:rPr>
        <w:t xml:space="preserve">, así como los Magistrados Adrián Hernández Pinedo, y Eric López Villaseñor, ante el Secretario General de Acuerdos, </w:t>
      </w:r>
      <w:r w:rsidR="00643BC3" w:rsidRPr="008E5B0F">
        <w:rPr>
          <w:rFonts w:ascii="Arial" w:eastAsia="Arial" w:hAnsi="Arial" w:cs="Arial"/>
          <w:sz w:val="24"/>
          <w:szCs w:val="24"/>
        </w:rPr>
        <w:t>Jesús Renato García Rivera</w:t>
      </w:r>
      <w:r w:rsidRPr="008E5B0F">
        <w:rPr>
          <w:rFonts w:ascii="Arial" w:eastAsia="Arial" w:hAnsi="Arial" w:cs="Arial"/>
          <w:sz w:val="24"/>
          <w:szCs w:val="24"/>
        </w:rPr>
        <w:t>, quien autoriza y da fe.</w:t>
      </w:r>
      <w:r w:rsidRPr="008E5B0F">
        <w:rPr>
          <w:rFonts w:ascii="Arial" w:hAnsi="Arial" w:cs="Arial"/>
          <w:b/>
          <w:bCs/>
          <w:sz w:val="24"/>
          <w:szCs w:val="24"/>
          <w:lang w:val="es-ES"/>
        </w:rPr>
        <w:t xml:space="preserve"> Conste.</w:t>
      </w:r>
    </w:p>
    <w:p w14:paraId="404CFB73" w14:textId="77777777" w:rsidR="0012716D" w:rsidRPr="008E5B0F" w:rsidRDefault="0012716D">
      <w:pPr>
        <w:tabs>
          <w:tab w:val="left" w:pos="426"/>
          <w:tab w:val="left" w:pos="567"/>
        </w:tabs>
        <w:spacing w:before="100" w:beforeAutospacing="1" w:after="100" w:afterAutospacing="1" w:line="360" w:lineRule="auto"/>
        <w:jc w:val="both"/>
        <w:rPr>
          <w:rFonts w:ascii="Arial" w:hAnsi="Arial" w:cs="Arial"/>
          <w:b/>
          <w:bCs/>
          <w:sz w:val="24"/>
          <w:szCs w:val="24"/>
          <w:lang w:val="es-ES"/>
        </w:rPr>
      </w:pPr>
    </w:p>
    <w:tbl>
      <w:tblPr>
        <w:tblW w:w="8927" w:type="dxa"/>
        <w:jc w:val="center"/>
        <w:tblLayout w:type="fixed"/>
        <w:tblLook w:val="0000" w:firstRow="0" w:lastRow="0" w:firstColumn="0" w:lastColumn="0" w:noHBand="0" w:noVBand="0"/>
      </w:tblPr>
      <w:tblGrid>
        <w:gridCol w:w="4294"/>
        <w:gridCol w:w="4633"/>
      </w:tblGrid>
      <w:tr w:rsidR="0012716D" w:rsidRPr="008E5B0F" w14:paraId="404CFB7E" w14:textId="77777777">
        <w:trPr>
          <w:jc w:val="center"/>
        </w:trPr>
        <w:tc>
          <w:tcPr>
            <w:tcW w:w="8927" w:type="dxa"/>
            <w:gridSpan w:val="2"/>
          </w:tcPr>
          <w:p w14:paraId="404CFB74" w14:textId="77777777" w:rsidR="0012716D" w:rsidRPr="008E5B0F" w:rsidRDefault="001E741F">
            <w:pPr>
              <w:jc w:val="center"/>
              <w:rPr>
                <w:rFonts w:ascii="Arial" w:eastAsia="Arial" w:hAnsi="Arial" w:cs="Arial"/>
                <w:b/>
                <w:sz w:val="24"/>
                <w:szCs w:val="24"/>
                <w:lang w:val="it-IT"/>
              </w:rPr>
            </w:pPr>
            <w:r w:rsidRPr="008E5B0F">
              <w:rPr>
                <w:rFonts w:ascii="Arial" w:eastAsia="Arial" w:hAnsi="Arial" w:cs="Arial"/>
                <w:b/>
                <w:sz w:val="24"/>
                <w:szCs w:val="24"/>
                <w:lang w:val="it-IT"/>
              </w:rPr>
              <w:t>MAGISTRADA PRESIDENTA</w:t>
            </w:r>
          </w:p>
          <w:p w14:paraId="404CFB75" w14:textId="77777777" w:rsidR="0012716D" w:rsidRPr="008E5B0F" w:rsidRDefault="0012716D">
            <w:pPr>
              <w:jc w:val="center"/>
              <w:rPr>
                <w:rFonts w:ascii="Arial" w:eastAsia="Arial" w:hAnsi="Arial" w:cs="Arial"/>
                <w:b/>
                <w:sz w:val="24"/>
                <w:szCs w:val="24"/>
                <w:lang w:val="it-IT"/>
              </w:rPr>
            </w:pPr>
          </w:p>
          <w:p w14:paraId="404CFB79" w14:textId="77777777" w:rsidR="0012716D" w:rsidRDefault="0012716D">
            <w:pPr>
              <w:jc w:val="center"/>
              <w:rPr>
                <w:rFonts w:ascii="Arial" w:eastAsia="Arial" w:hAnsi="Arial" w:cs="Arial"/>
                <w:b/>
                <w:sz w:val="24"/>
                <w:szCs w:val="24"/>
                <w:lang w:val="it-IT"/>
              </w:rPr>
            </w:pPr>
          </w:p>
          <w:p w14:paraId="66DC4264" w14:textId="77777777" w:rsidR="00C850BB" w:rsidRPr="008E5B0F" w:rsidRDefault="00C850BB">
            <w:pPr>
              <w:jc w:val="center"/>
              <w:rPr>
                <w:rFonts w:ascii="Arial" w:eastAsia="Arial" w:hAnsi="Arial" w:cs="Arial"/>
                <w:b/>
                <w:sz w:val="24"/>
                <w:szCs w:val="24"/>
                <w:lang w:val="it-IT"/>
              </w:rPr>
            </w:pPr>
          </w:p>
          <w:p w14:paraId="404CFB7A" w14:textId="77777777" w:rsidR="0012716D" w:rsidRPr="008E5B0F" w:rsidRDefault="001E741F">
            <w:pPr>
              <w:jc w:val="center"/>
              <w:rPr>
                <w:rFonts w:ascii="Arial" w:eastAsia="Arial" w:hAnsi="Arial" w:cs="Arial"/>
                <w:b/>
                <w:sz w:val="24"/>
                <w:szCs w:val="24"/>
                <w:lang w:val="it-IT"/>
              </w:rPr>
            </w:pPr>
            <w:r w:rsidRPr="008E5B0F">
              <w:rPr>
                <w:rFonts w:ascii="Arial" w:eastAsia="Arial" w:hAnsi="Arial" w:cs="Arial"/>
                <w:b/>
                <w:sz w:val="24"/>
                <w:szCs w:val="24"/>
                <w:lang w:val="it-IT"/>
              </w:rPr>
              <w:t>AMELÍ GISSEL NAVARRO LEPE</w:t>
            </w:r>
          </w:p>
          <w:p w14:paraId="404CFB7B" w14:textId="77777777" w:rsidR="0012716D" w:rsidRPr="008E5B0F" w:rsidRDefault="0012716D">
            <w:pPr>
              <w:jc w:val="center"/>
              <w:rPr>
                <w:rFonts w:ascii="Arial" w:eastAsia="Arial" w:hAnsi="Arial" w:cs="Arial"/>
                <w:b/>
                <w:sz w:val="24"/>
                <w:szCs w:val="24"/>
                <w:lang w:val="it-IT"/>
              </w:rPr>
            </w:pPr>
          </w:p>
          <w:p w14:paraId="404CFB7D" w14:textId="77777777" w:rsidR="0012716D" w:rsidRPr="008E5B0F" w:rsidRDefault="0012716D">
            <w:pPr>
              <w:jc w:val="center"/>
              <w:rPr>
                <w:rFonts w:ascii="Arial" w:eastAsia="Arial" w:hAnsi="Arial" w:cs="Arial"/>
                <w:b/>
                <w:sz w:val="24"/>
                <w:szCs w:val="24"/>
                <w:lang w:val="it-IT"/>
              </w:rPr>
            </w:pPr>
          </w:p>
        </w:tc>
      </w:tr>
      <w:tr w:rsidR="0012716D" w:rsidRPr="008E5B0F" w14:paraId="404CFB8D" w14:textId="77777777">
        <w:trPr>
          <w:jc w:val="center"/>
        </w:trPr>
        <w:tc>
          <w:tcPr>
            <w:tcW w:w="4294" w:type="dxa"/>
          </w:tcPr>
          <w:p w14:paraId="404CFB7F"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MAGISTRADA</w:t>
            </w:r>
          </w:p>
          <w:p w14:paraId="404CFB83" w14:textId="77777777" w:rsidR="0012716D" w:rsidRDefault="0012716D">
            <w:pPr>
              <w:jc w:val="center"/>
              <w:rPr>
                <w:rFonts w:ascii="Arial" w:eastAsia="Arial" w:hAnsi="Arial" w:cs="Arial"/>
                <w:b/>
                <w:sz w:val="24"/>
                <w:szCs w:val="24"/>
              </w:rPr>
            </w:pPr>
          </w:p>
          <w:p w14:paraId="4EF135CE" w14:textId="77777777" w:rsidR="00C850BB" w:rsidRPr="008E5B0F" w:rsidRDefault="00C850BB">
            <w:pPr>
              <w:jc w:val="center"/>
              <w:rPr>
                <w:rFonts w:ascii="Arial" w:eastAsia="Arial" w:hAnsi="Arial" w:cs="Arial"/>
                <w:b/>
                <w:sz w:val="24"/>
                <w:szCs w:val="24"/>
              </w:rPr>
            </w:pPr>
          </w:p>
          <w:p w14:paraId="404CFB84" w14:textId="77777777" w:rsidR="0012716D" w:rsidRPr="008E5B0F" w:rsidRDefault="0012716D">
            <w:pPr>
              <w:jc w:val="center"/>
              <w:rPr>
                <w:rFonts w:ascii="Arial" w:eastAsia="Arial" w:hAnsi="Arial" w:cs="Arial"/>
                <w:b/>
                <w:sz w:val="24"/>
                <w:szCs w:val="24"/>
              </w:rPr>
            </w:pPr>
          </w:p>
          <w:p w14:paraId="404CFB85"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YURISHA ANDRADE MORALES</w:t>
            </w:r>
          </w:p>
        </w:tc>
        <w:tc>
          <w:tcPr>
            <w:tcW w:w="4633" w:type="dxa"/>
          </w:tcPr>
          <w:p w14:paraId="404CFB86"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MAGISTRADA</w:t>
            </w:r>
          </w:p>
          <w:p w14:paraId="404CFB8A" w14:textId="77777777" w:rsidR="0012716D" w:rsidRDefault="0012716D">
            <w:pPr>
              <w:jc w:val="center"/>
              <w:rPr>
                <w:rFonts w:ascii="Arial" w:eastAsia="Arial" w:hAnsi="Arial" w:cs="Arial"/>
                <w:b/>
                <w:sz w:val="24"/>
                <w:szCs w:val="24"/>
              </w:rPr>
            </w:pPr>
          </w:p>
          <w:p w14:paraId="138B6020" w14:textId="77777777" w:rsidR="00C850BB" w:rsidRPr="008E5B0F" w:rsidRDefault="00C850BB">
            <w:pPr>
              <w:jc w:val="center"/>
              <w:rPr>
                <w:rFonts w:ascii="Arial" w:eastAsia="Arial" w:hAnsi="Arial" w:cs="Arial"/>
                <w:b/>
                <w:sz w:val="24"/>
                <w:szCs w:val="24"/>
              </w:rPr>
            </w:pPr>
          </w:p>
          <w:p w14:paraId="404CFB8B" w14:textId="77777777" w:rsidR="0012716D" w:rsidRPr="008E5B0F" w:rsidRDefault="0012716D">
            <w:pPr>
              <w:jc w:val="center"/>
              <w:rPr>
                <w:rFonts w:ascii="Arial" w:eastAsia="Arial" w:hAnsi="Arial" w:cs="Arial"/>
                <w:b/>
                <w:sz w:val="24"/>
                <w:szCs w:val="24"/>
              </w:rPr>
            </w:pPr>
          </w:p>
          <w:p w14:paraId="404CFB8C"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ALMA ROSA BAHENA VILLALOBOS</w:t>
            </w:r>
          </w:p>
        </w:tc>
      </w:tr>
      <w:tr w:rsidR="0012716D" w:rsidRPr="008E5B0F" w14:paraId="404CFBA2" w14:textId="77777777">
        <w:trPr>
          <w:jc w:val="center"/>
        </w:trPr>
        <w:tc>
          <w:tcPr>
            <w:tcW w:w="4294" w:type="dxa"/>
          </w:tcPr>
          <w:p w14:paraId="404CFB8F" w14:textId="77777777" w:rsidR="0012716D" w:rsidRPr="008E5B0F" w:rsidRDefault="0012716D">
            <w:pPr>
              <w:jc w:val="center"/>
              <w:rPr>
                <w:rFonts w:ascii="Arial" w:eastAsia="Arial" w:hAnsi="Arial" w:cs="Arial"/>
                <w:b/>
                <w:sz w:val="24"/>
                <w:szCs w:val="24"/>
              </w:rPr>
            </w:pPr>
          </w:p>
          <w:p w14:paraId="404CFB90" w14:textId="77777777" w:rsidR="0012716D" w:rsidRPr="008E5B0F" w:rsidRDefault="0012716D">
            <w:pPr>
              <w:jc w:val="center"/>
              <w:rPr>
                <w:rFonts w:ascii="Arial" w:eastAsia="Arial" w:hAnsi="Arial" w:cs="Arial"/>
                <w:b/>
                <w:sz w:val="24"/>
                <w:szCs w:val="24"/>
              </w:rPr>
            </w:pPr>
          </w:p>
          <w:p w14:paraId="404CFB91"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MAGISTRADO</w:t>
            </w:r>
          </w:p>
          <w:p w14:paraId="404CFB96" w14:textId="77777777" w:rsidR="0012716D" w:rsidRDefault="0012716D">
            <w:pPr>
              <w:jc w:val="center"/>
              <w:rPr>
                <w:rFonts w:ascii="Arial" w:eastAsia="Arial" w:hAnsi="Arial" w:cs="Arial"/>
                <w:b/>
                <w:sz w:val="24"/>
                <w:szCs w:val="24"/>
              </w:rPr>
            </w:pPr>
          </w:p>
          <w:p w14:paraId="7727203D" w14:textId="77777777" w:rsidR="00C850BB" w:rsidRDefault="00C850BB">
            <w:pPr>
              <w:jc w:val="center"/>
              <w:rPr>
                <w:rFonts w:ascii="Arial" w:eastAsia="Arial" w:hAnsi="Arial" w:cs="Arial"/>
                <w:b/>
                <w:sz w:val="24"/>
                <w:szCs w:val="24"/>
              </w:rPr>
            </w:pPr>
          </w:p>
          <w:p w14:paraId="2CDB57DE" w14:textId="77777777" w:rsidR="00C850BB" w:rsidRPr="008E5B0F" w:rsidRDefault="00C850BB">
            <w:pPr>
              <w:jc w:val="center"/>
              <w:rPr>
                <w:rFonts w:ascii="Arial" w:eastAsia="Arial" w:hAnsi="Arial" w:cs="Arial"/>
                <w:b/>
                <w:sz w:val="24"/>
                <w:szCs w:val="24"/>
              </w:rPr>
            </w:pPr>
          </w:p>
          <w:p w14:paraId="404CFB97"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ADRIÁN HERNÁNDEZ PINEDO</w:t>
            </w:r>
          </w:p>
        </w:tc>
        <w:tc>
          <w:tcPr>
            <w:tcW w:w="4633" w:type="dxa"/>
          </w:tcPr>
          <w:p w14:paraId="404CFB99" w14:textId="77777777" w:rsidR="0012716D" w:rsidRPr="008E5B0F" w:rsidRDefault="0012716D">
            <w:pPr>
              <w:jc w:val="center"/>
              <w:rPr>
                <w:rFonts w:ascii="Arial" w:eastAsia="Arial" w:hAnsi="Arial" w:cs="Arial"/>
                <w:b/>
                <w:sz w:val="24"/>
                <w:szCs w:val="24"/>
              </w:rPr>
            </w:pPr>
          </w:p>
          <w:p w14:paraId="404CFB9A" w14:textId="77777777" w:rsidR="0012716D" w:rsidRPr="008E5B0F" w:rsidRDefault="0012716D">
            <w:pPr>
              <w:jc w:val="center"/>
              <w:rPr>
                <w:rFonts w:ascii="Arial" w:eastAsia="Arial" w:hAnsi="Arial" w:cs="Arial"/>
                <w:b/>
                <w:sz w:val="24"/>
                <w:szCs w:val="24"/>
              </w:rPr>
            </w:pPr>
          </w:p>
          <w:p w14:paraId="404CFB9B"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MAGISTRADO</w:t>
            </w:r>
          </w:p>
          <w:p w14:paraId="404CFBA0" w14:textId="77777777" w:rsidR="0012716D" w:rsidRDefault="0012716D">
            <w:pPr>
              <w:jc w:val="center"/>
              <w:rPr>
                <w:rFonts w:ascii="Arial" w:eastAsia="Arial" w:hAnsi="Arial" w:cs="Arial"/>
                <w:b/>
                <w:sz w:val="24"/>
                <w:szCs w:val="24"/>
              </w:rPr>
            </w:pPr>
          </w:p>
          <w:p w14:paraId="09AE0E5E" w14:textId="77777777" w:rsidR="00C850BB" w:rsidRDefault="00C850BB">
            <w:pPr>
              <w:jc w:val="center"/>
              <w:rPr>
                <w:rFonts w:ascii="Arial" w:eastAsia="Arial" w:hAnsi="Arial" w:cs="Arial"/>
                <w:b/>
                <w:sz w:val="24"/>
                <w:szCs w:val="24"/>
              </w:rPr>
            </w:pPr>
          </w:p>
          <w:p w14:paraId="630ECA5B" w14:textId="77777777" w:rsidR="00C850BB" w:rsidRPr="008E5B0F" w:rsidRDefault="00C850BB">
            <w:pPr>
              <w:jc w:val="center"/>
              <w:rPr>
                <w:rFonts w:ascii="Arial" w:eastAsia="Arial" w:hAnsi="Arial" w:cs="Arial"/>
                <w:b/>
                <w:sz w:val="24"/>
                <w:szCs w:val="24"/>
              </w:rPr>
            </w:pPr>
          </w:p>
          <w:p w14:paraId="404CFBA1"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ERIC LÓPEZ VILLASEÑOR</w:t>
            </w:r>
          </w:p>
        </w:tc>
      </w:tr>
      <w:tr w:rsidR="0012716D" w:rsidRPr="008E5B0F" w14:paraId="404CFBAE" w14:textId="77777777">
        <w:trPr>
          <w:trHeight w:val="2453"/>
          <w:jc w:val="center"/>
        </w:trPr>
        <w:tc>
          <w:tcPr>
            <w:tcW w:w="8927" w:type="dxa"/>
            <w:gridSpan w:val="2"/>
          </w:tcPr>
          <w:p w14:paraId="404CFBA7"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lastRenderedPageBreak/>
              <w:t>SECRETARIO GENERAL DE ACUERDOS</w:t>
            </w:r>
          </w:p>
          <w:p w14:paraId="404CFBAB" w14:textId="77777777" w:rsidR="0012716D" w:rsidRPr="008E5B0F" w:rsidRDefault="0012716D">
            <w:pPr>
              <w:jc w:val="center"/>
              <w:rPr>
                <w:rFonts w:ascii="Arial" w:eastAsia="Arial" w:hAnsi="Arial" w:cs="Arial"/>
                <w:b/>
                <w:sz w:val="24"/>
                <w:szCs w:val="24"/>
              </w:rPr>
            </w:pPr>
          </w:p>
          <w:p w14:paraId="404CFBAC" w14:textId="77777777" w:rsidR="0012716D" w:rsidRPr="008E5B0F" w:rsidRDefault="0012716D">
            <w:pPr>
              <w:jc w:val="center"/>
              <w:rPr>
                <w:rFonts w:ascii="Arial" w:eastAsia="Arial" w:hAnsi="Arial" w:cs="Arial"/>
                <w:b/>
                <w:sz w:val="24"/>
                <w:szCs w:val="24"/>
              </w:rPr>
            </w:pPr>
          </w:p>
          <w:p w14:paraId="404CFBAD" w14:textId="77777777" w:rsidR="0012716D" w:rsidRPr="008E5B0F" w:rsidRDefault="001E741F">
            <w:pPr>
              <w:jc w:val="center"/>
              <w:rPr>
                <w:rFonts w:ascii="Arial" w:eastAsia="Arial" w:hAnsi="Arial" w:cs="Arial"/>
                <w:b/>
                <w:sz w:val="24"/>
                <w:szCs w:val="24"/>
              </w:rPr>
            </w:pPr>
            <w:r w:rsidRPr="008E5B0F">
              <w:rPr>
                <w:rFonts w:ascii="Arial" w:eastAsia="Arial" w:hAnsi="Arial" w:cs="Arial"/>
                <w:b/>
                <w:sz w:val="24"/>
                <w:szCs w:val="24"/>
              </w:rPr>
              <w:t>JESÚS RENATO GARCÍA RIVERA</w:t>
            </w:r>
          </w:p>
        </w:tc>
      </w:tr>
    </w:tbl>
    <w:p w14:paraId="404CFBAF" w14:textId="77777777" w:rsidR="0012716D" w:rsidRDefault="0012716D">
      <w:pPr>
        <w:tabs>
          <w:tab w:val="left" w:pos="426"/>
        </w:tabs>
        <w:jc w:val="both"/>
        <w:rPr>
          <w:rFonts w:ascii="Arial" w:eastAsia="Calibri" w:hAnsi="Arial" w:cs="Arial"/>
          <w:bCs/>
          <w:sz w:val="20"/>
          <w:szCs w:val="20"/>
        </w:rPr>
      </w:pPr>
    </w:p>
    <w:p w14:paraId="404CFBB1" w14:textId="7EACCB29" w:rsidR="0012716D" w:rsidRPr="008A1466" w:rsidRDefault="001E741F">
      <w:pPr>
        <w:tabs>
          <w:tab w:val="left" w:pos="426"/>
        </w:tabs>
        <w:jc w:val="both"/>
        <w:rPr>
          <w:rFonts w:ascii="Arial" w:eastAsia="Calibri" w:hAnsi="Arial" w:cs="Arial"/>
          <w:b/>
          <w:sz w:val="18"/>
          <w:szCs w:val="18"/>
        </w:rPr>
      </w:pPr>
      <w:r w:rsidRPr="008A1466">
        <w:rPr>
          <w:rFonts w:ascii="Arial" w:eastAsia="Calibri" w:hAnsi="Arial" w:cs="Arial"/>
          <w:bCs/>
          <w:sz w:val="18"/>
          <w:szCs w:val="18"/>
          <w:lang w:val="es-ES_tradnl"/>
        </w:rPr>
        <w:t xml:space="preserve">El suscrito </w:t>
      </w:r>
      <w:r w:rsidR="00643BC3" w:rsidRPr="008A1466">
        <w:rPr>
          <w:rFonts w:ascii="Arial" w:eastAsia="Calibri" w:hAnsi="Arial" w:cs="Arial"/>
          <w:bCs/>
          <w:sz w:val="18"/>
          <w:szCs w:val="18"/>
          <w:lang w:val="es-ES_tradnl"/>
        </w:rPr>
        <w:t>J</w:t>
      </w:r>
      <w:r w:rsidR="006C4F7C" w:rsidRPr="008A1466">
        <w:rPr>
          <w:rFonts w:ascii="Arial" w:eastAsia="Calibri" w:hAnsi="Arial" w:cs="Arial"/>
          <w:bCs/>
          <w:sz w:val="18"/>
          <w:szCs w:val="18"/>
          <w:lang w:val="es-ES_tradnl"/>
        </w:rPr>
        <w:t>e</w:t>
      </w:r>
      <w:r w:rsidR="00643BC3" w:rsidRPr="008A1466">
        <w:rPr>
          <w:rFonts w:ascii="Arial" w:eastAsia="Calibri" w:hAnsi="Arial" w:cs="Arial"/>
          <w:bCs/>
          <w:sz w:val="18"/>
          <w:szCs w:val="18"/>
          <w:lang w:val="es-ES_tradnl"/>
        </w:rPr>
        <w:t xml:space="preserve">sús </w:t>
      </w:r>
      <w:r w:rsidR="006C4F7C" w:rsidRPr="008A1466">
        <w:rPr>
          <w:rFonts w:ascii="Arial" w:eastAsia="Calibri" w:hAnsi="Arial" w:cs="Arial"/>
          <w:bCs/>
          <w:sz w:val="18"/>
          <w:szCs w:val="18"/>
          <w:lang w:val="es-ES_tradnl"/>
        </w:rPr>
        <w:t>Renato García Rivera</w:t>
      </w:r>
      <w:r w:rsidRPr="008A1466">
        <w:rPr>
          <w:rFonts w:ascii="Arial" w:eastAsia="Calibri" w:hAnsi="Arial" w:cs="Arial"/>
          <w:sz w:val="18"/>
          <w:szCs w:val="18"/>
          <w:lang w:val="es-ES_tradnl"/>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8A1466">
        <w:rPr>
          <w:rFonts w:ascii="Arial" w:eastAsia="Calibri" w:hAnsi="Arial" w:cs="Arial"/>
          <w:bCs/>
          <w:sz w:val="18"/>
          <w:szCs w:val="18"/>
        </w:rPr>
        <w:t>hago constar que las firmas que obra</w:t>
      </w:r>
      <w:r w:rsidR="008A1466" w:rsidRPr="008A1466">
        <w:rPr>
          <w:rFonts w:ascii="Arial" w:eastAsia="Calibri" w:hAnsi="Arial" w:cs="Arial"/>
          <w:bCs/>
          <w:sz w:val="18"/>
          <w:szCs w:val="18"/>
        </w:rPr>
        <w:t>n</w:t>
      </w:r>
      <w:r w:rsidRPr="008A1466">
        <w:rPr>
          <w:rFonts w:ascii="Arial" w:eastAsia="Calibri" w:hAnsi="Arial" w:cs="Arial"/>
          <w:bCs/>
          <w:sz w:val="18"/>
          <w:szCs w:val="18"/>
        </w:rPr>
        <w:t xml:space="preserve"> en el presente documento, corresponden a la sentencia del juicio de la ciudadanía </w:t>
      </w:r>
      <w:r w:rsidRPr="008A1466">
        <w:rPr>
          <w:rFonts w:ascii="Arial" w:eastAsia="Calibri" w:hAnsi="Arial" w:cs="Arial"/>
          <w:b/>
          <w:sz w:val="18"/>
          <w:szCs w:val="18"/>
        </w:rPr>
        <w:t>TEEM-JDC-226/2025,</w:t>
      </w:r>
      <w:r w:rsidRPr="008A1466">
        <w:rPr>
          <w:rFonts w:ascii="Arial" w:eastAsia="Calibri" w:hAnsi="Arial" w:cs="Arial"/>
          <w:bCs/>
          <w:sz w:val="18"/>
          <w:szCs w:val="18"/>
        </w:rPr>
        <w:t xml:space="preserve"> aprobada en Sesión Pública celebrada el </w:t>
      </w:r>
      <w:r w:rsidR="00861B4C" w:rsidRPr="008A1466">
        <w:rPr>
          <w:rFonts w:ascii="Arial" w:eastAsia="Calibri" w:hAnsi="Arial" w:cs="Arial"/>
          <w:bCs/>
          <w:sz w:val="18"/>
          <w:szCs w:val="18"/>
        </w:rPr>
        <w:t>treinta</w:t>
      </w:r>
      <w:r w:rsidRPr="008A1466">
        <w:rPr>
          <w:rFonts w:ascii="Arial" w:eastAsia="Calibri" w:hAnsi="Arial" w:cs="Arial"/>
          <w:bCs/>
          <w:sz w:val="18"/>
          <w:szCs w:val="18"/>
        </w:rPr>
        <w:t xml:space="preserve"> de octubre de dos mil veinticinco, la cual consta de </w:t>
      </w:r>
      <w:r w:rsidR="0076527C" w:rsidRPr="008A1466">
        <w:rPr>
          <w:rFonts w:ascii="Arial" w:eastAsia="Calibri" w:hAnsi="Arial" w:cs="Arial"/>
          <w:bCs/>
          <w:sz w:val="18"/>
          <w:szCs w:val="18"/>
        </w:rPr>
        <w:t>treinta</w:t>
      </w:r>
      <w:r w:rsidRPr="008A1466">
        <w:rPr>
          <w:rFonts w:ascii="Arial" w:eastAsia="Calibri" w:hAnsi="Arial" w:cs="Arial"/>
          <w:bCs/>
          <w:sz w:val="18"/>
          <w:szCs w:val="18"/>
        </w:rPr>
        <w:t xml:space="preserve"> páginas, incluida la presente. </w:t>
      </w:r>
      <w:r w:rsidRPr="008A1466">
        <w:rPr>
          <w:rFonts w:ascii="Arial" w:eastAsia="Calibri" w:hAnsi="Arial" w:cs="Arial"/>
          <w:b/>
          <w:sz w:val="18"/>
          <w:szCs w:val="18"/>
        </w:rPr>
        <w:t>Doy fe.</w:t>
      </w:r>
    </w:p>
    <w:p w14:paraId="404CFBB2" w14:textId="77777777" w:rsidR="0012716D" w:rsidRPr="008A1466" w:rsidRDefault="001E741F">
      <w:pPr>
        <w:jc w:val="both"/>
        <w:rPr>
          <w:rFonts w:ascii="Arial" w:hAnsi="Arial" w:cs="Arial"/>
          <w:bCs/>
          <w:sz w:val="18"/>
          <w:szCs w:val="18"/>
          <w:lang w:val="es-ES_tradnl" w:eastAsia="es-MX"/>
        </w:rPr>
      </w:pPr>
      <w:r w:rsidRPr="008A1466">
        <w:rPr>
          <w:rFonts w:ascii="Arial" w:eastAsia="Arial" w:hAnsi="Arial" w:cs="Arial"/>
          <w:bCs/>
          <w:color w:val="000000"/>
          <w:sz w:val="18"/>
          <w:szCs w:val="18"/>
        </w:rPr>
        <w:t xml:space="preserve">Este documento es una representación gráfica autorizada mediante firmas electrónicas certificadas, el cual tiene plena validez jurídica de conformidad con el numeral tercero y cuarto del </w:t>
      </w:r>
      <w:r w:rsidRPr="008A1466">
        <w:rPr>
          <w:rFonts w:ascii="Arial" w:eastAsia="Arial" w:hAnsi="Arial" w:cs="Arial"/>
          <w:bCs/>
          <w:i/>
          <w:iCs/>
          <w:color w:val="000000"/>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12716D" w:rsidRPr="008A1466">
      <w:headerReference w:type="default" r:id="rId14"/>
      <w:footerReference w:type="default" r:id="rId15"/>
      <w:headerReference w:type="first" r:id="rId16"/>
      <w:footerReference w:type="first" r:id="rId17"/>
      <w:pgSz w:w="12240" w:h="18720" w:code="14"/>
      <w:pgMar w:top="2127" w:right="1418" w:bottom="2268" w:left="2268" w:header="113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A2675" w14:textId="77777777" w:rsidR="00277A20" w:rsidRDefault="00277A20">
      <w:pPr>
        <w:spacing w:after="0" w:line="240" w:lineRule="auto"/>
      </w:pPr>
      <w:r>
        <w:separator/>
      </w:r>
    </w:p>
  </w:endnote>
  <w:endnote w:type="continuationSeparator" w:id="0">
    <w:p w14:paraId="4E5B6125" w14:textId="77777777" w:rsidR="00277A20" w:rsidRDefault="00277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egacy Serif ITC Std Book">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CFBBF" w14:textId="77777777" w:rsidR="0012716D" w:rsidRDefault="001E741F">
    <w:pPr>
      <w:pStyle w:val="Piedepgina"/>
      <w:tabs>
        <w:tab w:val="clear" w:pos="8838"/>
      </w:tabs>
      <w:spacing w:after="0" w:line="360" w:lineRule="auto"/>
      <w:rPr>
        <w:rFonts w:ascii="Arial" w:hAnsi="Arial" w:cs="Arial"/>
        <w:sz w:val="28"/>
        <w:szCs w:val="28"/>
      </w:rPr>
    </w:pPr>
    <w:r>
      <w:rPr>
        <w:rFonts w:ascii="Arial" w:hAnsi="Arial" w:cs="Arial"/>
        <w:sz w:val="28"/>
        <w:szCs w:val="28"/>
      </w:rPr>
      <w:tab/>
    </w:r>
    <w:r>
      <w:rPr>
        <w:rFonts w:ascii="Arial" w:hAnsi="Arial" w:cs="Arial"/>
        <w:sz w:val="28"/>
        <w:szCs w:val="28"/>
      </w:rPr>
      <w:tab/>
    </w:r>
  </w:p>
  <w:p w14:paraId="404CFBC0" w14:textId="77777777" w:rsidR="0012716D" w:rsidRDefault="001E741F">
    <w:pPr>
      <w:pStyle w:val="Piedepgina"/>
      <w:spacing w:after="0" w:line="360" w:lineRule="auto"/>
      <w:jc w:val="center"/>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PAGE   \* MERGEFORMAT </w:instrText>
    </w:r>
    <w:r>
      <w:rPr>
        <w:rFonts w:ascii="Arial" w:hAnsi="Arial" w:cs="Arial"/>
        <w:sz w:val="24"/>
        <w:szCs w:val="24"/>
      </w:rPr>
      <w:fldChar w:fldCharType="separate"/>
    </w:r>
    <w:r>
      <w:rPr>
        <w:rFonts w:ascii="Arial" w:hAnsi="Arial" w:cs="Arial"/>
        <w:noProof/>
        <w:sz w:val="24"/>
        <w:szCs w:val="24"/>
      </w:rPr>
      <w:t>19</w:t>
    </w:r>
    <w:r>
      <w:rPr>
        <w:rFonts w:ascii="Arial" w:hAnsi="Arial" w:cs="Arial"/>
        <w:sz w:val="24"/>
        <w:szCs w:val="24"/>
      </w:rPr>
      <w:fldChar w:fldCharType="end"/>
    </w:r>
  </w:p>
  <w:p w14:paraId="404CFBC1" w14:textId="77777777" w:rsidR="0012716D" w:rsidRDefault="0012716D">
    <w:pPr>
      <w:pStyle w:val="Piedepgina"/>
      <w:spacing w:after="0" w:line="360" w:lineRule="auto"/>
      <w:jc w:val="center"/>
      <w:rPr>
        <w:rFonts w:ascii="Arial" w:hAnsi="Arial" w:cs="Arial"/>
        <w:sz w:val="28"/>
        <w:szCs w:val="28"/>
      </w:rPr>
    </w:pPr>
  </w:p>
  <w:p w14:paraId="404CFBC2" w14:textId="77777777" w:rsidR="0012716D" w:rsidRDefault="0012716D">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CFBC4" w14:textId="77777777" w:rsidR="0012716D" w:rsidRDefault="001E741F">
    <w:pPr>
      <w:pStyle w:val="Piedepgina"/>
      <w:tabs>
        <w:tab w:val="clear" w:pos="4419"/>
        <w:tab w:val="clear" w:pos="8838"/>
        <w:tab w:val="left" w:pos="1640"/>
      </w:tabs>
    </w:pPr>
    <w:r>
      <w:tab/>
    </w:r>
  </w:p>
  <w:p w14:paraId="404CFBC5" w14:textId="77777777" w:rsidR="0012716D" w:rsidRDefault="0012716D">
    <w:pPr>
      <w:pStyle w:val="Piedepgina"/>
    </w:pPr>
  </w:p>
  <w:p w14:paraId="404CFBC6" w14:textId="77777777" w:rsidR="0012716D" w:rsidRDefault="0012716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A5E00" w14:textId="77777777" w:rsidR="00277A20" w:rsidRDefault="00277A20">
      <w:pPr>
        <w:spacing w:after="0" w:line="240" w:lineRule="auto"/>
      </w:pPr>
      <w:r>
        <w:separator/>
      </w:r>
    </w:p>
  </w:footnote>
  <w:footnote w:type="continuationSeparator" w:id="0">
    <w:p w14:paraId="1E97D237" w14:textId="77777777" w:rsidR="00277A20" w:rsidRDefault="00277A20">
      <w:pPr>
        <w:spacing w:after="0" w:line="240" w:lineRule="auto"/>
      </w:pPr>
      <w:r>
        <w:continuationSeparator/>
      </w:r>
    </w:p>
  </w:footnote>
  <w:footnote w:id="1">
    <w:p w14:paraId="404CFBCB" w14:textId="77777777" w:rsidR="0012716D" w:rsidRDefault="001E741F">
      <w:pPr>
        <w:pStyle w:val="Textonotapie"/>
        <w:rPr>
          <w:rFonts w:ascii="Arial Narrow" w:hAnsi="Arial Narrow" w:cs="Arial"/>
        </w:rPr>
      </w:pPr>
      <w:r>
        <w:rPr>
          <w:rStyle w:val="Refdenotaalpie"/>
        </w:rPr>
        <w:footnoteRef/>
      </w:r>
      <w:r>
        <w:t xml:space="preserve"> </w:t>
      </w:r>
      <w:r>
        <w:rPr>
          <w:rFonts w:ascii="Arial Narrow" w:hAnsi="Arial Narrow" w:cs="Arial"/>
        </w:rPr>
        <w:t>Todas las fechas corresponderán al dos mil veinticinco, salvo disposición expresa.</w:t>
      </w:r>
    </w:p>
  </w:footnote>
  <w:footnote w:id="2">
    <w:p w14:paraId="404CFBCC" w14:textId="77777777" w:rsidR="0012716D" w:rsidRDefault="001E741F">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Se desprenden de la demanda y del expediente. </w:t>
      </w:r>
    </w:p>
  </w:footnote>
  <w:footnote w:id="3">
    <w:p w14:paraId="404CFBCD" w14:textId="77777777" w:rsidR="0012716D" w:rsidRDefault="001E741F">
      <w:pPr>
        <w:pBdr>
          <w:top w:val="nil"/>
          <w:left w:val="nil"/>
          <w:bottom w:val="nil"/>
          <w:right w:val="nil"/>
          <w:between w:val="nil"/>
        </w:pBdr>
        <w:spacing w:after="0" w:line="240" w:lineRule="auto"/>
        <w:jc w:val="both"/>
        <w:rPr>
          <w:rFonts w:ascii="Arial Narrow" w:eastAsia="Arial" w:hAnsi="Arial Narrow" w:cs="Arial"/>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 foja 183. </w:t>
      </w:r>
    </w:p>
  </w:footnote>
  <w:footnote w:id="4">
    <w:p w14:paraId="404CFBCE" w14:textId="77777777" w:rsidR="0012716D" w:rsidRDefault="001E741F">
      <w:pPr>
        <w:pBdr>
          <w:top w:val="nil"/>
          <w:left w:val="nil"/>
          <w:bottom w:val="nil"/>
          <w:right w:val="nil"/>
          <w:between w:val="nil"/>
        </w:pBdr>
        <w:spacing w:after="0" w:line="240" w:lineRule="auto"/>
        <w:jc w:val="both"/>
        <w:rPr>
          <w:rFonts w:ascii="Arial Narrow" w:eastAsia="Arial" w:hAnsi="Arial Narrow" w:cs="Arial"/>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de la foja 261 a la 310. </w:t>
      </w:r>
    </w:p>
  </w:footnote>
  <w:footnote w:id="5">
    <w:p w14:paraId="404CFBCF" w14:textId="77777777" w:rsidR="0012716D" w:rsidRDefault="001E741F">
      <w:pPr>
        <w:pBdr>
          <w:top w:val="nil"/>
          <w:left w:val="nil"/>
          <w:bottom w:val="nil"/>
          <w:right w:val="nil"/>
          <w:between w:val="nil"/>
        </w:pBdr>
        <w:spacing w:after="0" w:line="240" w:lineRule="auto"/>
        <w:jc w:val="both"/>
        <w:rPr>
          <w:rFonts w:ascii="Arial Narrow" w:hAnsi="Arial Narrow"/>
          <w:color w:val="000000"/>
          <w:sz w:val="20"/>
          <w:szCs w:val="20"/>
        </w:rPr>
      </w:pPr>
      <w:r>
        <w:rPr>
          <w:rFonts w:ascii="Arial Narrow" w:hAnsi="Arial Narrow"/>
          <w:sz w:val="20"/>
          <w:szCs w:val="20"/>
          <w:vertAlign w:val="superscript"/>
        </w:rPr>
        <w:footnoteRef/>
      </w:r>
      <w:r>
        <w:rPr>
          <w:rFonts w:ascii="Arial Narrow" w:hAnsi="Arial Narrow"/>
          <w:color w:val="000000"/>
          <w:sz w:val="20"/>
          <w:szCs w:val="20"/>
        </w:rPr>
        <w:t xml:space="preserve"> Visible a fojas 360 a 418, particularmente 376.</w:t>
      </w:r>
    </w:p>
  </w:footnote>
  <w:footnote w:id="6">
    <w:p w14:paraId="404CFBD0" w14:textId="77777777" w:rsidR="00627812" w:rsidRPr="00292481" w:rsidRDefault="00627812" w:rsidP="00292481">
      <w:pPr>
        <w:pStyle w:val="Textonotapie"/>
        <w:jc w:val="both"/>
        <w:rPr>
          <w:rFonts w:ascii="Arial Narrow" w:hAnsi="Arial Narrow"/>
        </w:rPr>
      </w:pPr>
      <w:r>
        <w:rPr>
          <w:rStyle w:val="Refdenotaalpie"/>
        </w:rPr>
        <w:footnoteRef/>
      </w:r>
      <w:r>
        <w:t xml:space="preserve"> </w:t>
      </w:r>
      <w:r w:rsidR="00292481">
        <w:rPr>
          <w:rFonts w:ascii="Arial Narrow" w:hAnsi="Arial Narrow"/>
        </w:rPr>
        <w:t>Consultable en: https://iem.org.mx/documentos/acuerdos/2024/IEM-CG-198-2024.pdf</w:t>
      </w:r>
    </w:p>
  </w:footnote>
  <w:footnote w:id="7">
    <w:p w14:paraId="404CFBD1" w14:textId="77777777" w:rsidR="0012716D" w:rsidRDefault="001E741F">
      <w:pPr>
        <w:pBdr>
          <w:top w:val="nil"/>
          <w:left w:val="nil"/>
          <w:bottom w:val="nil"/>
          <w:right w:val="nil"/>
          <w:between w:val="nil"/>
        </w:pBdr>
        <w:spacing w:after="0" w:line="240" w:lineRule="auto"/>
        <w:rPr>
          <w:rFonts w:ascii="Arial Narrow" w:eastAsia="Arial" w:hAnsi="Arial Narrow" w:cs="Arial"/>
          <w:sz w:val="20"/>
          <w:szCs w:val="20"/>
        </w:rPr>
      </w:pPr>
      <w:r>
        <w:rPr>
          <w:rFonts w:ascii="Arial Narrow" w:hAnsi="Arial Narrow"/>
          <w:sz w:val="20"/>
          <w:szCs w:val="20"/>
          <w:vertAlign w:val="superscript"/>
        </w:rPr>
        <w:footnoteRef/>
      </w:r>
      <w:r>
        <w:rPr>
          <w:rFonts w:ascii="Arial Narrow" w:eastAsia="Arial" w:hAnsi="Arial Narrow" w:cs="Arial"/>
          <w:sz w:val="20"/>
          <w:szCs w:val="20"/>
        </w:rPr>
        <w:t xml:space="preserve"> Visible en las fojas 344 a 346. </w:t>
      </w:r>
    </w:p>
  </w:footnote>
  <w:footnote w:id="8">
    <w:p w14:paraId="404CFBD2" w14:textId="77777777" w:rsidR="0012716D" w:rsidRDefault="001E741F">
      <w:pPr>
        <w:pBdr>
          <w:top w:val="nil"/>
          <w:left w:val="nil"/>
          <w:bottom w:val="nil"/>
          <w:right w:val="nil"/>
          <w:between w:val="nil"/>
        </w:pBdr>
        <w:spacing w:after="0" w:line="240" w:lineRule="auto"/>
        <w:rPr>
          <w:rFonts w:ascii="Arial Narrow" w:eastAsia="Arial" w:hAnsi="Arial Narrow" w:cs="Arial"/>
          <w:sz w:val="20"/>
          <w:szCs w:val="20"/>
        </w:rPr>
      </w:pPr>
      <w:r>
        <w:rPr>
          <w:rFonts w:ascii="Arial Narrow" w:hAnsi="Arial Narrow"/>
          <w:sz w:val="20"/>
          <w:szCs w:val="20"/>
          <w:vertAlign w:val="superscript"/>
        </w:rPr>
        <w:footnoteRef/>
      </w:r>
      <w:r>
        <w:rPr>
          <w:rFonts w:ascii="Arial Narrow" w:eastAsia="Arial" w:hAnsi="Arial Narrow" w:cs="Arial"/>
          <w:sz w:val="20"/>
          <w:szCs w:val="20"/>
        </w:rPr>
        <w:t xml:space="preserve"> Visible en la foja 84. </w:t>
      </w:r>
    </w:p>
  </w:footnote>
  <w:footnote w:id="9">
    <w:p w14:paraId="404CFBD3" w14:textId="77777777" w:rsidR="0012716D" w:rsidRDefault="001E741F">
      <w:pPr>
        <w:pBdr>
          <w:top w:val="nil"/>
          <w:left w:val="nil"/>
          <w:bottom w:val="nil"/>
          <w:right w:val="nil"/>
          <w:between w:val="nil"/>
        </w:pBdr>
        <w:spacing w:after="0" w:line="240" w:lineRule="auto"/>
        <w:rPr>
          <w:rFonts w:ascii="Arial Narrow" w:eastAsia="Arial" w:hAnsi="Arial Narrow" w:cs="Arial"/>
          <w:sz w:val="20"/>
          <w:szCs w:val="20"/>
        </w:rPr>
      </w:pPr>
      <w:r>
        <w:rPr>
          <w:rFonts w:ascii="Arial Narrow" w:hAnsi="Arial Narrow"/>
          <w:sz w:val="20"/>
          <w:szCs w:val="20"/>
          <w:vertAlign w:val="superscript"/>
        </w:rPr>
        <w:footnoteRef/>
      </w:r>
      <w:r>
        <w:rPr>
          <w:rFonts w:ascii="Arial Narrow" w:eastAsia="Arial" w:hAnsi="Arial Narrow" w:cs="Arial"/>
          <w:sz w:val="20"/>
          <w:szCs w:val="20"/>
        </w:rPr>
        <w:t xml:space="preserve"> Visible en la foja 85. </w:t>
      </w:r>
    </w:p>
  </w:footnote>
  <w:footnote w:id="10">
    <w:p w14:paraId="404CFBD4" w14:textId="77777777" w:rsidR="0012716D" w:rsidRDefault="001E741F">
      <w:pPr>
        <w:pBdr>
          <w:top w:val="nil"/>
          <w:left w:val="nil"/>
          <w:bottom w:val="nil"/>
          <w:right w:val="nil"/>
          <w:between w:val="nil"/>
        </w:pBdr>
        <w:spacing w:after="0" w:line="240" w:lineRule="auto"/>
        <w:jc w:val="both"/>
        <w:rPr>
          <w:rFonts w:ascii="Arial Narrow" w:eastAsia="Arial" w:hAnsi="Arial Narrow" w:cs="Arial"/>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las fojas de la 02 a la12.</w:t>
      </w:r>
    </w:p>
  </w:footnote>
  <w:footnote w:id="11">
    <w:p w14:paraId="404CFBD5" w14:textId="77777777" w:rsidR="0012716D" w:rsidRDefault="001E741F">
      <w:pPr>
        <w:pBdr>
          <w:top w:val="nil"/>
          <w:left w:val="nil"/>
          <w:bottom w:val="nil"/>
          <w:right w:val="nil"/>
          <w:between w:val="nil"/>
        </w:pBdr>
        <w:spacing w:after="0" w:line="240" w:lineRule="auto"/>
        <w:jc w:val="both"/>
        <w:rPr>
          <w:rFonts w:ascii="Arial Narrow" w:eastAsia="Arial" w:hAnsi="Arial Narrow" w:cs="Arial"/>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 foja 313. </w:t>
      </w:r>
    </w:p>
  </w:footnote>
  <w:footnote w:id="12">
    <w:p w14:paraId="404CFBD6" w14:textId="77777777" w:rsidR="0012716D" w:rsidRDefault="001E741F">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las fojas 315 a la 317</w:t>
      </w:r>
      <w:r>
        <w:rPr>
          <w:rFonts w:ascii="Arial Narrow" w:eastAsia="Arial Narrow" w:hAnsi="Arial Narrow" w:cs="Arial Narrow"/>
          <w:color w:val="000000"/>
          <w:sz w:val="20"/>
          <w:szCs w:val="20"/>
        </w:rPr>
        <w:t xml:space="preserve">. </w:t>
      </w:r>
    </w:p>
  </w:footnote>
  <w:footnote w:id="13">
    <w:p w14:paraId="404CFBD7" w14:textId="77777777" w:rsidR="0012716D" w:rsidRDefault="001E741F">
      <w:pPr>
        <w:pBdr>
          <w:top w:val="nil"/>
          <w:left w:val="nil"/>
          <w:bottom w:val="nil"/>
          <w:right w:val="nil"/>
          <w:between w:val="nil"/>
        </w:pBdr>
        <w:spacing w:after="0" w:line="240" w:lineRule="auto"/>
        <w:jc w:val="both"/>
        <w:rPr>
          <w:rFonts w:ascii="Arial Narrow" w:eastAsia="Arial" w:hAnsi="Arial Narrow" w:cs="Arial"/>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las fojas 347 y 348; con fundamento en el artículo 28 de la </w:t>
      </w:r>
      <w:r>
        <w:rPr>
          <w:rFonts w:ascii="Arial Narrow" w:eastAsia="Arial" w:hAnsi="Arial Narrow" w:cs="Arial"/>
          <w:i/>
          <w:color w:val="000000"/>
          <w:sz w:val="20"/>
          <w:szCs w:val="20"/>
        </w:rPr>
        <w:t xml:space="preserve">Ley de Justicia Electoral. </w:t>
      </w:r>
    </w:p>
  </w:footnote>
  <w:footnote w:id="14">
    <w:p w14:paraId="404CFBD8" w14:textId="77777777" w:rsidR="0012716D" w:rsidRDefault="001E741F">
      <w:pPr>
        <w:pBdr>
          <w:top w:val="nil"/>
          <w:left w:val="nil"/>
          <w:bottom w:val="nil"/>
          <w:right w:val="nil"/>
          <w:between w:val="nil"/>
        </w:pBdr>
        <w:spacing w:after="0" w:line="240" w:lineRule="auto"/>
        <w:jc w:val="both"/>
        <w:rPr>
          <w:rFonts w:ascii="Arial Narrow" w:hAnsi="Arial Narrow"/>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las fojas 329 y 330.</w:t>
      </w:r>
    </w:p>
  </w:footnote>
  <w:footnote w:id="15">
    <w:p w14:paraId="404CFBD9" w14:textId="77777777" w:rsidR="0012716D" w:rsidRDefault="001E741F">
      <w:pPr>
        <w:pBdr>
          <w:top w:val="nil"/>
          <w:left w:val="nil"/>
          <w:bottom w:val="nil"/>
          <w:right w:val="nil"/>
          <w:between w:val="nil"/>
        </w:pBdr>
        <w:spacing w:after="0" w:line="240" w:lineRule="auto"/>
        <w:jc w:val="both"/>
        <w:rPr>
          <w:rFonts w:ascii="Arial Narrow" w:hAnsi="Arial Narrow"/>
          <w:color w:val="000000"/>
          <w:sz w:val="20"/>
          <w:szCs w:val="20"/>
        </w:rPr>
      </w:pPr>
      <w:r>
        <w:rPr>
          <w:rFonts w:ascii="Arial Narrow" w:hAnsi="Arial Narrow"/>
          <w:sz w:val="20"/>
          <w:szCs w:val="20"/>
          <w:vertAlign w:val="superscript"/>
        </w:rPr>
        <w:footnoteRef/>
      </w:r>
      <w:r>
        <w:rPr>
          <w:rFonts w:ascii="Arial Narrow" w:eastAsia="Arial" w:hAnsi="Arial Narrow" w:cs="Arial"/>
          <w:color w:val="000000"/>
          <w:sz w:val="20"/>
          <w:szCs w:val="20"/>
        </w:rPr>
        <w:t xml:space="preserve"> Visible en las fojas 347 a 348, 349 a 350, 423 a 429, 423ª 424, 437 a 438 y 458 del expediente.</w:t>
      </w:r>
    </w:p>
  </w:footnote>
  <w:footnote w:id="16">
    <w:p w14:paraId="404CFBDB" w14:textId="77777777" w:rsidR="0012716D" w:rsidRDefault="001E741F">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Foja 328 a 330 y 431 del expediente.</w:t>
      </w:r>
    </w:p>
  </w:footnote>
  <w:footnote w:id="17">
    <w:p w14:paraId="404CFBDC" w14:textId="77777777" w:rsidR="0012716D" w:rsidRDefault="001E741F">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Foja 432 del expediente.</w:t>
      </w:r>
    </w:p>
  </w:footnote>
  <w:footnote w:id="18">
    <w:p w14:paraId="404CFBDD"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Al respecto, resulta ilustrativa la jurisprudencia 814, de rubro: </w:t>
      </w:r>
      <w:r>
        <w:rPr>
          <w:rFonts w:ascii="Arial Narrow" w:hAnsi="Arial Narrow" w:cs="Arial"/>
          <w:i/>
          <w:iCs/>
        </w:rPr>
        <w:t>IMPROCEDENCIA, CAUSALES DE. EN EL JUICIO DE AMPARO.</w:t>
      </w:r>
    </w:p>
  </w:footnote>
  <w:footnote w:id="19">
    <w:p w14:paraId="404CFBDE" w14:textId="77777777" w:rsidR="0012716D" w:rsidRDefault="001E741F">
      <w:pPr>
        <w:shd w:val="clear" w:color="auto" w:fill="FFFFFF"/>
        <w:spacing w:after="0"/>
        <w:jc w:val="both"/>
        <w:rPr>
          <w:rFonts w:ascii="Arial Narrow" w:hAnsi="Arial Narrow"/>
          <w:sz w:val="20"/>
          <w:szCs w:val="20"/>
        </w:rPr>
      </w:pPr>
      <w:r>
        <w:rPr>
          <w:rStyle w:val="Refdenotaalpie"/>
          <w:rFonts w:ascii="Arial Narrow" w:eastAsiaTheme="majorEastAsia" w:hAnsi="Arial Narrow"/>
          <w:sz w:val="20"/>
          <w:szCs w:val="20"/>
        </w:rPr>
        <w:footnoteRef/>
      </w:r>
      <w:r>
        <w:rPr>
          <w:rFonts w:ascii="Arial Narrow" w:hAnsi="Arial Narrow"/>
          <w:sz w:val="20"/>
          <w:szCs w:val="20"/>
        </w:rPr>
        <w:t xml:space="preserve"> </w:t>
      </w:r>
      <w:r>
        <w:rPr>
          <w:rFonts w:ascii="Arial Narrow" w:hAnsi="Arial Narrow" w:cs="Arial"/>
          <w:sz w:val="20"/>
          <w:szCs w:val="20"/>
        </w:rPr>
        <w:t>Sirven de apoyo las jurisprudencias del Pleno de la Suprema Corte de Justicia de la Nación P./J. 135/2001 y P./J. 36/2004, de rubros: </w:t>
      </w:r>
      <w:r>
        <w:rPr>
          <w:rFonts w:ascii="Arial Narrow" w:hAnsi="Arial Narrow" w:cs="Arial"/>
          <w:i/>
          <w:iCs/>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20">
    <w:p w14:paraId="404CFBDF" w14:textId="77777777" w:rsidR="0012716D" w:rsidRDefault="001E741F">
      <w:pPr>
        <w:spacing w:after="0"/>
        <w:jc w:val="both"/>
        <w:rPr>
          <w:rFonts w:ascii="Arial Narrow" w:hAnsi="Arial Narrow"/>
          <w:sz w:val="20"/>
          <w:szCs w:val="20"/>
        </w:rPr>
      </w:pPr>
      <w:r>
        <w:rPr>
          <w:rStyle w:val="Refdenotaalpie"/>
          <w:rFonts w:ascii="Arial Narrow" w:hAnsi="Arial Narrow"/>
          <w:sz w:val="20"/>
          <w:szCs w:val="20"/>
        </w:rPr>
        <w:footnoteRef/>
      </w:r>
      <w:r>
        <w:rPr>
          <w:rFonts w:ascii="Arial Narrow" w:hAnsi="Arial Narrow"/>
          <w:sz w:val="20"/>
          <w:szCs w:val="20"/>
        </w:rPr>
        <w:t xml:space="preserve"> PETICIÓN DE PRINCIPIO. LA MOTIVACIÓN DE UN ACTO JURISDICCIONAL SUSTENTADA EN ESE ARGUMENTO FALAZ ES CONTRARIA A LA GARANTÍA DE LEGALIDAD CONSAGRADA EN EL ARTÍCULO 16 CONSTITUCIONAL.</w:t>
      </w:r>
    </w:p>
  </w:footnote>
  <w:footnote w:id="21">
    <w:p w14:paraId="404CFBE0" w14:textId="77777777" w:rsidR="0012716D" w:rsidRDefault="001E741F">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Es de precisar que los días 6 y 7 de septiembre correspondieron a sábado y domingo respectivamente, días inhábiles de conformidad con el artículo 8 de la</w:t>
      </w:r>
      <w:r>
        <w:rPr>
          <w:rFonts w:ascii="Arial Narrow" w:hAnsi="Arial Narrow" w:cs="Arial"/>
          <w:i/>
          <w:iCs/>
        </w:rPr>
        <w:t xml:space="preserve"> Ley de Justicia Electoral</w:t>
      </w:r>
      <w:r>
        <w:rPr>
          <w:rFonts w:ascii="Arial Narrow" w:hAnsi="Arial Narrow" w:cs="Arial"/>
        </w:rPr>
        <w:t>.</w:t>
      </w:r>
    </w:p>
  </w:footnote>
  <w:footnote w:id="22">
    <w:p w14:paraId="404CFBE1" w14:textId="77777777" w:rsidR="0012716D" w:rsidRDefault="001E741F">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De conformidad con la Jurisprudencia 15/2011 de rubro: </w:t>
      </w:r>
      <w:r>
        <w:rPr>
          <w:rFonts w:ascii="Arial Narrow" w:hAnsi="Arial Narrow" w:cs="Arial"/>
          <w:i/>
          <w:iCs/>
        </w:rPr>
        <w:t xml:space="preserve">PLAZO PARA PRESENTAR UN MEDIO DE IMPUGNACIÓN, TRATÁNDOSE DE OMISIONES, </w:t>
      </w:r>
      <w:r>
        <w:rPr>
          <w:rFonts w:ascii="Arial Narrow" w:hAnsi="Arial Narrow" w:cs="Arial"/>
        </w:rPr>
        <w:t xml:space="preserve">de la </w:t>
      </w:r>
      <w:r>
        <w:rPr>
          <w:rFonts w:ascii="Arial Narrow" w:hAnsi="Arial Narrow" w:cs="Arial"/>
          <w:i/>
          <w:iCs/>
        </w:rPr>
        <w:t>Sala Superior</w:t>
      </w:r>
      <w:r>
        <w:rPr>
          <w:rFonts w:ascii="Arial Narrow" w:hAnsi="Arial Narrow" w:cs="Arial"/>
        </w:rPr>
        <w:t>.</w:t>
      </w:r>
    </w:p>
  </w:footnote>
  <w:footnote w:id="23">
    <w:p w14:paraId="404CFBE2" w14:textId="77777777" w:rsidR="0012716D" w:rsidRDefault="001E741F">
      <w:pPr>
        <w:pStyle w:val="Textonotapie"/>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Requisitos formales comprendidos en el dispositivo legal 10 de la </w:t>
      </w:r>
      <w:r>
        <w:rPr>
          <w:rFonts w:ascii="Arial Narrow" w:hAnsi="Arial Narrow" w:cs="Arial"/>
          <w:i/>
          <w:iCs/>
        </w:rPr>
        <w:t>Ley de Justicia Electoral</w:t>
      </w:r>
      <w:r>
        <w:rPr>
          <w:rFonts w:ascii="Arial Narrow" w:hAnsi="Arial Narrow" w:cs="Arial"/>
        </w:rPr>
        <w:t>.</w:t>
      </w:r>
    </w:p>
  </w:footnote>
  <w:footnote w:id="24">
    <w:p w14:paraId="404CFBE3" w14:textId="77777777" w:rsidR="0012716D" w:rsidRDefault="001E741F">
      <w:pPr>
        <w:pStyle w:val="Textonotapie"/>
        <w:jc w:val="both"/>
        <w:rPr>
          <w:rFonts w:ascii="Arial Narrow" w:hAnsi="Arial Narrow"/>
          <w:sz w:val="16"/>
          <w:szCs w:val="16"/>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De conformidad con lo previsto en los artículos 13, fracción I, 15, fracción IV, 73 y 74 de la </w:t>
      </w:r>
      <w:r>
        <w:rPr>
          <w:rFonts w:ascii="Arial Narrow" w:hAnsi="Arial Narrow" w:cs="Arial"/>
          <w:i/>
          <w:iCs/>
        </w:rPr>
        <w:t>Ley de Justicia Electoral.</w:t>
      </w:r>
    </w:p>
  </w:footnote>
  <w:footnote w:id="25">
    <w:p w14:paraId="404CFBE4" w14:textId="77777777" w:rsidR="0012716D" w:rsidRDefault="001E741F">
      <w:pPr>
        <w:pStyle w:val="Textonotapie"/>
        <w:jc w:val="both"/>
        <w:rPr>
          <w:rFonts w:ascii="Arial Narrow" w:hAnsi="Arial Narrow"/>
        </w:rPr>
      </w:pPr>
      <w:r>
        <w:rPr>
          <w:rStyle w:val="Refdenotaalpie"/>
        </w:rPr>
        <w:footnoteRef/>
      </w:r>
      <w:r>
        <w:t xml:space="preserve"> </w:t>
      </w:r>
      <w:r>
        <w:rPr>
          <w:rFonts w:ascii="Arial Narrow" w:hAnsi="Arial Narrow"/>
        </w:rPr>
        <w:t>Visible a foja 336 del expediente.</w:t>
      </w:r>
    </w:p>
  </w:footnote>
  <w:footnote w:id="26">
    <w:p w14:paraId="404CFBE5" w14:textId="77777777" w:rsidR="0012716D" w:rsidRDefault="001E741F">
      <w:pPr>
        <w:pStyle w:val="Textonotapie"/>
      </w:pPr>
      <w:r>
        <w:rPr>
          <w:rStyle w:val="Refdenotaalpie"/>
        </w:rPr>
        <w:footnoteRef/>
      </w:r>
      <w:r>
        <w:t xml:space="preserve"> </w:t>
      </w:r>
      <w:r>
        <w:rPr>
          <w:rFonts w:ascii="Arial Narrow" w:hAnsi="Arial Narrow"/>
        </w:rPr>
        <w:t>Visible a foja 339 del expediente.</w:t>
      </w:r>
    </w:p>
  </w:footnote>
  <w:footnote w:id="27">
    <w:p w14:paraId="404CFBE6" w14:textId="77777777" w:rsidR="0012716D" w:rsidRDefault="001E741F">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eastAsia="Arial" w:hAnsi="Arial Narrow" w:cs="Arial"/>
        </w:rPr>
        <w:t xml:space="preserve">Resulta aplicable la jurisprudencia 3/2000, emitida por la </w:t>
      </w:r>
      <w:r>
        <w:rPr>
          <w:rFonts w:ascii="Arial Narrow" w:eastAsia="Arial" w:hAnsi="Arial Narrow" w:cs="Arial"/>
          <w:i/>
          <w:iCs/>
        </w:rPr>
        <w:t>Sala Superior</w:t>
      </w:r>
      <w:r>
        <w:rPr>
          <w:rFonts w:ascii="Arial Narrow" w:eastAsia="Arial" w:hAnsi="Arial Narrow" w:cs="Arial"/>
        </w:rPr>
        <w:t xml:space="preserve"> de rubro: “</w:t>
      </w:r>
      <w:r>
        <w:rPr>
          <w:rFonts w:ascii="Arial Narrow" w:eastAsia="Arial" w:hAnsi="Arial Narrow" w:cs="Arial"/>
          <w:i/>
          <w:iCs/>
        </w:rPr>
        <w:t xml:space="preserve">AGRAVIOS. PARA TENERLOS POR DEBIDAMENTE CONFIGURADOS ES SUFICIENTE CON EXPRESAR LA CAUSA DE PEDIR”.  </w:t>
      </w:r>
      <w:r>
        <w:rPr>
          <w:rFonts w:ascii="Arial Narrow" w:hAnsi="Arial Narrow" w:cs="Arial"/>
        </w:rPr>
        <w:t xml:space="preserve">Localizable en el Volumen 1 de la Compilación 1997-2013, del </w:t>
      </w:r>
      <w:r>
        <w:rPr>
          <w:rFonts w:ascii="Arial Narrow" w:hAnsi="Arial Narrow" w:cs="Arial"/>
          <w:i/>
          <w:iCs/>
        </w:rPr>
        <w:t>TEPJF</w:t>
      </w:r>
      <w:r>
        <w:rPr>
          <w:rFonts w:ascii="Arial Narrow" w:hAnsi="Arial Narrow" w:cs="Arial"/>
        </w:rPr>
        <w:t xml:space="preserve">, páginas 122 y 123.  </w:t>
      </w:r>
    </w:p>
  </w:footnote>
  <w:footnote w:id="28">
    <w:p w14:paraId="404CFBE7"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Son derechos de la ciudadanía poder ser votada en condiciones de paridad para todos los cargos de elección popular, teniendo las calidades que establezca la ley. El derecho de solicitar el registro de </w:t>
      </w:r>
      <w:proofErr w:type="gramStart"/>
      <w:r>
        <w:rPr>
          <w:rFonts w:ascii="Arial Narrow" w:hAnsi="Arial Narrow"/>
        </w:rPr>
        <w:t>candidatos y candidatas</w:t>
      </w:r>
      <w:proofErr w:type="gramEnd"/>
      <w:r>
        <w:rPr>
          <w:rFonts w:ascii="Arial Narrow" w:hAnsi="Arial Narrow"/>
        </w:rPr>
        <w:t xml:space="preserve"> ante la autoridad electoral corresponde a los partidos políticos, así como a </w:t>
      </w:r>
      <w:proofErr w:type="gramStart"/>
      <w:r>
        <w:rPr>
          <w:rFonts w:ascii="Arial Narrow" w:hAnsi="Arial Narrow"/>
        </w:rPr>
        <w:t>los ciudadanos y las ciudadanas</w:t>
      </w:r>
      <w:proofErr w:type="gramEnd"/>
      <w:r>
        <w:rPr>
          <w:rFonts w:ascii="Arial Narrow" w:hAnsi="Arial Narrow"/>
        </w:rPr>
        <w:t xml:space="preserve"> que soliciten su registro de manera independiente y cumplan con los requisitos, condiciones y términos que determine la legislación.</w:t>
      </w:r>
    </w:p>
  </w:footnote>
  <w:footnote w:id="29">
    <w:p w14:paraId="404CFBE8" w14:textId="77777777" w:rsidR="0012716D" w:rsidRDefault="001E741F">
      <w:pPr>
        <w:pStyle w:val="Textonotapie"/>
        <w:rPr>
          <w:rFonts w:ascii="Arial Narrow" w:hAnsi="Arial Narrow"/>
          <w:lang w:val="es-ES"/>
        </w:rPr>
      </w:pPr>
      <w:r>
        <w:rPr>
          <w:rStyle w:val="Refdenotaalpie"/>
          <w:rFonts w:ascii="Arial Narrow" w:hAnsi="Arial Narrow"/>
        </w:rPr>
        <w:footnoteRef/>
      </w:r>
      <w:r>
        <w:rPr>
          <w:rFonts w:ascii="Arial Narrow" w:hAnsi="Arial Narrow"/>
        </w:rPr>
        <w:t xml:space="preserve"> J</w:t>
      </w:r>
      <w:r>
        <w:rPr>
          <w:rFonts w:ascii="Arial Narrow" w:hAnsi="Arial Narrow" w:cs="Arial"/>
        </w:rPr>
        <w:t xml:space="preserve">urisprudencia 27/2002, emitida por la </w:t>
      </w:r>
      <w:r>
        <w:rPr>
          <w:rFonts w:ascii="Arial Narrow" w:hAnsi="Arial Narrow" w:cs="Arial"/>
          <w:i/>
          <w:iCs/>
        </w:rPr>
        <w:t>Sala Superior</w:t>
      </w:r>
      <w:r>
        <w:rPr>
          <w:rFonts w:ascii="Arial Narrow" w:hAnsi="Arial Narrow" w:cs="Arial"/>
        </w:rPr>
        <w:t xml:space="preserve">, de rubro </w:t>
      </w:r>
      <w:r>
        <w:rPr>
          <w:rFonts w:ascii="Arial Narrow" w:hAnsi="Arial Narrow" w:cs="Arial"/>
          <w:i/>
          <w:iCs/>
        </w:rPr>
        <w:t>DERECHO DE VOTAR Y SER VOTADO. SU TELEOLOGÍA Y ELEMENTOS QUE LO INTEGRAN.</w:t>
      </w:r>
    </w:p>
  </w:footnote>
  <w:footnote w:id="30">
    <w:p w14:paraId="404CFBE9"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Son obligaciones del ciudadano de la República desempeñar los cargos de elección popular de la Federación o de las entidades federativas, que en ningún caso serán gratuitos.</w:t>
      </w:r>
    </w:p>
  </w:footnote>
  <w:footnote w:id="31">
    <w:p w14:paraId="404CFBEA"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Tal y como lo ha sostenido la </w:t>
      </w:r>
      <w:r>
        <w:rPr>
          <w:rFonts w:ascii="Arial Narrow" w:hAnsi="Arial Narrow"/>
          <w:i/>
          <w:iCs/>
        </w:rPr>
        <w:t>Sala Superior</w:t>
      </w:r>
      <w:r>
        <w:rPr>
          <w:rFonts w:ascii="Arial Narrow" w:hAnsi="Arial Narrow"/>
        </w:rPr>
        <w:t xml:space="preserve"> en la tesis de rubro </w:t>
      </w:r>
      <w:r>
        <w:rPr>
          <w:rFonts w:ascii="Arial Narrow" w:hAnsi="Arial Narrow"/>
          <w:i/>
          <w:iCs/>
        </w:rPr>
        <w:t>DERECHO DE VOTAR Y SER VOTADO, SU TELEOLOGÍA Y ELEMENTOS QUE LO INTEGRAN.</w:t>
      </w:r>
    </w:p>
  </w:footnote>
  <w:footnote w:id="32">
    <w:p w14:paraId="404CFBEB" w14:textId="77777777" w:rsidR="0012716D" w:rsidRDefault="001E741F">
      <w:pPr>
        <w:pStyle w:val="Textonotapie"/>
        <w:jc w:val="both"/>
      </w:pPr>
      <w:r>
        <w:rPr>
          <w:rStyle w:val="Refdenotaalpie"/>
          <w:rFonts w:ascii="Arial Narrow" w:hAnsi="Arial Narrow"/>
        </w:rPr>
        <w:footnoteRef/>
      </w:r>
      <w:r>
        <w:rPr>
          <w:rFonts w:ascii="Arial Narrow" w:hAnsi="Arial Narrow"/>
        </w:rPr>
        <w:t xml:space="preserve"> Jurisprudencia 20/20210 de la </w:t>
      </w:r>
      <w:r>
        <w:rPr>
          <w:rFonts w:ascii="Arial Narrow" w:hAnsi="Arial Narrow"/>
          <w:i/>
          <w:iCs/>
        </w:rPr>
        <w:t>Sala Superior</w:t>
      </w:r>
      <w:r>
        <w:rPr>
          <w:rFonts w:ascii="Arial Narrow" w:hAnsi="Arial Narrow"/>
        </w:rPr>
        <w:t xml:space="preserve">, de rubro </w:t>
      </w:r>
      <w:r>
        <w:rPr>
          <w:rFonts w:ascii="Arial Narrow" w:hAnsi="Arial Narrow"/>
          <w:i/>
          <w:iCs/>
        </w:rPr>
        <w:t>DERECHO POLÍTICO ELECTORAL A SER VOTADO. INCLUYE EL DERECHO A OCUPAR Y DESEMPEÑAR EL CARGO.</w:t>
      </w:r>
    </w:p>
  </w:footnote>
  <w:footnote w:id="33">
    <w:p w14:paraId="404CFBEC" w14:textId="77777777" w:rsidR="0012716D" w:rsidRDefault="001E741F">
      <w:pPr>
        <w:pStyle w:val="Textonotapie"/>
        <w:jc w:val="both"/>
        <w:rPr>
          <w:rFonts w:ascii="Arial Narrow" w:hAnsi="Arial Narrow" w:cs="Arial"/>
          <w:lang w:val="es-ES_tradnl"/>
        </w:rPr>
      </w:pPr>
      <w:r>
        <w:rPr>
          <w:rStyle w:val="Refdenotaalpie"/>
        </w:rPr>
        <w:footnoteRef/>
      </w:r>
      <w:r>
        <w:t xml:space="preserve"> </w:t>
      </w:r>
      <w:r>
        <w:rPr>
          <w:rFonts w:ascii="Arial Narrow" w:hAnsi="Arial Narrow" w:cs="Arial"/>
          <w:lang w:val="es-ES_tradnl"/>
        </w:rPr>
        <w:t>La cual se integra por la Síndica o Síndico Municipal quien la encabeza, la Síndica o Síndico electo, una Regidora o Regidor en funciones y una Regidora o Regidor electo, así como la o el Titular de la Contraloría Municipal en funciones</w:t>
      </w:r>
    </w:p>
  </w:footnote>
  <w:footnote w:id="34">
    <w:p w14:paraId="404CFBED" w14:textId="77777777" w:rsidR="0012716D" w:rsidRDefault="001E741F">
      <w:pPr>
        <w:pStyle w:val="Textonotapie"/>
        <w:adjustRightInd w:val="0"/>
        <w:snapToGrid w:val="0"/>
        <w:jc w:val="both"/>
        <w:rPr>
          <w:rFonts w:ascii="Arial Narrow" w:hAnsi="Arial Narrow" w:cs="Arial"/>
          <w:lang w:val="es-ES_tradnl"/>
        </w:rPr>
      </w:pPr>
      <w:r>
        <w:rPr>
          <w:rStyle w:val="Refdenotaalpie"/>
          <w:rFonts w:ascii="Arial Narrow" w:hAnsi="Arial Narrow" w:cs="Arial"/>
          <w:lang w:val="es-ES_tradnl"/>
        </w:rPr>
        <w:footnoteRef/>
      </w:r>
      <w:r>
        <w:rPr>
          <w:rFonts w:ascii="Arial Narrow" w:hAnsi="Arial Narrow" w:cs="Arial"/>
          <w:lang w:val="es-ES_tradnl"/>
        </w:rPr>
        <w:t xml:space="preserve"> Con apoyo en la Tesis CVIII/2007, de </w:t>
      </w:r>
      <w:bookmarkStart w:id="20" w:name="_Hlk165489088"/>
      <w:r>
        <w:rPr>
          <w:rFonts w:ascii="Arial Narrow" w:hAnsi="Arial Narrow" w:cs="Arial"/>
          <w:lang w:val="es-ES_tradnl"/>
        </w:rPr>
        <w:t>rubro</w:t>
      </w:r>
      <w:bookmarkEnd w:id="20"/>
      <w:r>
        <w:rPr>
          <w:rFonts w:ascii="Arial Narrow" w:eastAsia="Calibri" w:hAnsi="Arial Narrow" w:cs="Arial"/>
          <w:lang w:val="es-ES_tradnl"/>
        </w:rPr>
        <w:t xml:space="preserve"> </w:t>
      </w:r>
      <w:r>
        <w:rPr>
          <w:rFonts w:ascii="Arial Narrow" w:eastAsia="Calibri" w:hAnsi="Arial Narrow" w:cs="Arial"/>
          <w:i/>
          <w:iCs/>
          <w:lang w:val="es-ES_tradnl"/>
        </w:rPr>
        <w:t>GARANTÍA A LA IMPARTICIÓN DE JUSTICIA COMPLETA TUTELADA EN EL ARTÍCULO 17 DE LA CONSTITUCIÓN POLÍTICA DE LOS ESTADOS UNIDOS MEXICANOS. SUS ALCANCES</w:t>
      </w:r>
      <w:r>
        <w:rPr>
          <w:rFonts w:ascii="Arial Narrow" w:hAnsi="Arial Narrow" w:cs="Arial"/>
          <w:lang w:val="es-ES_tradnl"/>
        </w:rPr>
        <w:t xml:space="preserve">. Asimismo, véase: </w:t>
      </w:r>
      <w:r>
        <w:rPr>
          <w:rFonts w:ascii="Arial Narrow" w:hAnsi="Arial Narrow" w:cs="Arial"/>
        </w:rPr>
        <w:t xml:space="preserve">Corte Interamericana de Derechos Humanos. </w:t>
      </w:r>
      <w:r>
        <w:rPr>
          <w:rFonts w:ascii="Arial Narrow" w:hAnsi="Arial Narrow" w:cs="Arial"/>
          <w:i/>
          <w:iCs/>
        </w:rPr>
        <w:t xml:space="preserve">Caso </w:t>
      </w:r>
      <w:proofErr w:type="spellStart"/>
      <w:r>
        <w:rPr>
          <w:rFonts w:ascii="Arial Narrow" w:hAnsi="Arial Narrow" w:cs="Arial"/>
          <w:i/>
          <w:iCs/>
        </w:rPr>
        <w:t>Yatama</w:t>
      </w:r>
      <w:proofErr w:type="spellEnd"/>
      <w:r>
        <w:rPr>
          <w:rFonts w:ascii="Arial Narrow" w:hAnsi="Arial Narrow" w:cs="Arial"/>
          <w:i/>
          <w:iCs/>
        </w:rPr>
        <w:t xml:space="preserve"> Vs. Nicaragua</w:t>
      </w:r>
      <w:r>
        <w:rPr>
          <w:rFonts w:ascii="Arial Narrow" w:hAnsi="Arial Narrow" w:cs="Arial"/>
        </w:rPr>
        <w:t>. Excepciones Preliminares, Fondo, Reparaciones y Costas. Sentencia de 23 de junio de 2005. Serie C No. 127, párr. 152.</w:t>
      </w:r>
    </w:p>
  </w:footnote>
  <w:footnote w:id="35">
    <w:p w14:paraId="404CFBEE" w14:textId="77777777" w:rsidR="0012716D" w:rsidRDefault="001E741F">
      <w:pPr>
        <w:pStyle w:val="Textonotapie"/>
        <w:adjustRightInd w:val="0"/>
        <w:snapToGrid w:val="0"/>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Tesis 260, de rubro</w:t>
      </w:r>
      <w:r>
        <w:rPr>
          <w:rFonts w:ascii="Arial Narrow" w:hAnsi="Arial Narrow" w:cs="Arial"/>
          <w:smallCaps/>
        </w:rPr>
        <w:t xml:space="preserve"> </w:t>
      </w:r>
      <w:r>
        <w:rPr>
          <w:rFonts w:ascii="Arial Narrow" w:eastAsia="Calibri" w:hAnsi="Arial Narrow" w:cs="Arial"/>
          <w:i/>
          <w:iCs/>
        </w:rPr>
        <w:t>FUNDAMENTACIÓN Y MOTIVACIÓN</w:t>
      </w:r>
      <w:r>
        <w:rPr>
          <w:rFonts w:ascii="Arial Narrow" w:hAnsi="Arial Narrow" w:cs="Arial"/>
        </w:rPr>
        <w:t>.</w:t>
      </w:r>
    </w:p>
  </w:footnote>
  <w:footnote w:id="36">
    <w:p w14:paraId="404CFBEF" w14:textId="77777777" w:rsidR="0012716D" w:rsidRDefault="001E741F">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SUP-REP-64/2024.</w:t>
      </w:r>
    </w:p>
  </w:footnote>
  <w:footnote w:id="37">
    <w:p w14:paraId="404CFBF0" w14:textId="77777777" w:rsidR="0012716D" w:rsidRDefault="001E741F">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Tal como lo ha sostenido la </w:t>
      </w:r>
      <w:r>
        <w:rPr>
          <w:rFonts w:ascii="Arial Narrow" w:hAnsi="Arial Narrow" w:cs="Arial"/>
          <w:i/>
          <w:iCs/>
        </w:rPr>
        <w:t>Sala Superior</w:t>
      </w:r>
      <w:r>
        <w:rPr>
          <w:rFonts w:ascii="Arial Narrow" w:hAnsi="Arial Narrow" w:cs="Arial"/>
        </w:rPr>
        <w:t xml:space="preserve"> al resolver los SUP-REP-364/2023 y acumulado, SUP-JDC-41/2023, SUP-JE-1413/2023 y SUP-JE-1408/2023, entre otras.</w:t>
      </w:r>
    </w:p>
  </w:footnote>
  <w:footnote w:id="38">
    <w:p w14:paraId="404CFBF1" w14:textId="77777777" w:rsidR="0012716D" w:rsidRDefault="001E741F">
      <w:pPr>
        <w:pStyle w:val="Textonotapie"/>
        <w:jc w:val="both"/>
        <w:rPr>
          <w:rFonts w:ascii="Arial Narrow" w:hAnsi="Arial Narrow" w:cs="Arial"/>
          <w:i/>
          <w:iCs/>
        </w:rPr>
      </w:pPr>
      <w:r>
        <w:rPr>
          <w:rStyle w:val="Refdenotaalpie"/>
        </w:rPr>
        <w:footnoteRef/>
      </w:r>
      <w:r>
        <w:t xml:space="preserve"> </w:t>
      </w:r>
      <w:r>
        <w:rPr>
          <w:rFonts w:ascii="Arial Narrow" w:hAnsi="Arial Narrow"/>
        </w:rPr>
        <w:t xml:space="preserve">Jurisprudencia de la suprema Corte de Justicia de la Nación: </w:t>
      </w:r>
      <w:r>
        <w:rPr>
          <w:rFonts w:ascii="Arial Narrow" w:hAnsi="Arial Narrow" w:cs="Arial"/>
          <w:i/>
          <w:iCs/>
        </w:rPr>
        <w:t>CERTEZA EN MATERIA ELECTORAL. EXCEPCIÓN AL PRINCIPIO RELATIVO EN RELACIÓN CON LA MODIFICACIÓN A LAS LEYES QUE RIGEN EL PROCESO UNA VEZ QUE HA INICIADO.</w:t>
      </w:r>
    </w:p>
  </w:footnote>
  <w:footnote w:id="39">
    <w:p w14:paraId="404CFBF2" w14:textId="77777777" w:rsidR="0012716D" w:rsidRDefault="001E741F">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Con base en la jurisprudencia 4/2000, de rubro </w:t>
      </w:r>
      <w:r>
        <w:rPr>
          <w:rFonts w:ascii="Arial Narrow" w:hAnsi="Arial Narrow" w:cs="Arial"/>
          <w:i/>
          <w:iCs/>
        </w:rPr>
        <w:t>AGRAVIOS. SU EXAMEN EN CONJUNTO O SEPARADO, NO CAUSA LESIÓN.</w:t>
      </w:r>
    </w:p>
  </w:footnote>
  <w:footnote w:id="40">
    <w:p w14:paraId="404CFBF3" w14:textId="77777777" w:rsidR="0012716D" w:rsidRDefault="001E741F">
      <w:pPr>
        <w:spacing w:after="0" w:line="240" w:lineRule="auto"/>
        <w:jc w:val="both"/>
        <w:rPr>
          <w:rFonts w:ascii="Arial Narrow" w:eastAsia="Arial" w:hAnsi="Arial Narrow" w:cs="Arial"/>
          <w:sz w:val="20"/>
          <w:szCs w:val="20"/>
        </w:rPr>
      </w:pPr>
      <w:r>
        <w:rPr>
          <w:rStyle w:val="Refdenotaalpie"/>
          <w:rFonts w:ascii="Arial Narrow" w:hAnsi="Arial Narrow"/>
          <w:sz w:val="20"/>
          <w:szCs w:val="20"/>
        </w:rPr>
        <w:footnoteRef/>
      </w:r>
      <w:r>
        <w:rPr>
          <w:rFonts w:ascii="Arial Narrow" w:hAnsi="Arial Narrow"/>
          <w:sz w:val="20"/>
          <w:szCs w:val="20"/>
        </w:rPr>
        <w:t xml:space="preserve"> Aprobado por unanimidad de votos, en Sesión Extraordinaria Urgente de catorce de abril del dos mil veinticuatro. </w:t>
      </w:r>
      <w:r>
        <w:rPr>
          <w:rFonts w:ascii="Arial Narrow" w:eastAsia="Arial" w:hAnsi="Arial Narrow" w:cs="Arial"/>
          <w:sz w:val="20"/>
          <w:szCs w:val="20"/>
        </w:rPr>
        <w:t xml:space="preserve">Documentales públicas que de conformidad con lo dispuesto por los artículos 17, fracción III y 22, fracción II, de la </w:t>
      </w:r>
      <w:r>
        <w:rPr>
          <w:rFonts w:ascii="Arial Narrow" w:eastAsia="Arial" w:hAnsi="Arial Narrow" w:cs="Arial"/>
          <w:i/>
          <w:iCs/>
          <w:sz w:val="20"/>
          <w:szCs w:val="20"/>
        </w:rPr>
        <w:t>Ley de Justicia Electoral</w:t>
      </w:r>
      <w:r>
        <w:rPr>
          <w:rFonts w:ascii="Arial Narrow" w:eastAsia="Arial" w:hAnsi="Arial Narrow" w:cs="Arial"/>
          <w:sz w:val="20"/>
          <w:szCs w:val="20"/>
        </w:rPr>
        <w:t>, cuenta con valor probatorio pleno, al ser expedida por un funcionario facultado para ello.</w:t>
      </w:r>
    </w:p>
  </w:footnote>
  <w:footnote w:id="41">
    <w:p w14:paraId="404CFBF4"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Así como en el proceso interno del instituto político —aunque no así en la solicitud de registro ante el </w:t>
      </w:r>
      <w:r>
        <w:rPr>
          <w:rFonts w:ascii="Arial Narrow" w:hAnsi="Arial Narrow"/>
          <w:i/>
          <w:iCs/>
        </w:rPr>
        <w:t>IEM.</w:t>
      </w:r>
    </w:p>
  </w:footnote>
  <w:footnote w:id="42">
    <w:p w14:paraId="404CFBF5" w14:textId="77777777" w:rsidR="0012716D" w:rsidRDefault="001E741F">
      <w:pPr>
        <w:pStyle w:val="Textonotapie"/>
        <w:jc w:val="both"/>
        <w:rPr>
          <w:rFonts w:ascii="Arial Narrow" w:hAnsi="Arial Narrow"/>
        </w:rPr>
      </w:pPr>
      <w:r>
        <w:rPr>
          <w:rStyle w:val="Refdenotaalpie"/>
        </w:rPr>
        <w:footnoteRef/>
      </w:r>
      <w:r>
        <w:t xml:space="preserve"> </w:t>
      </w:r>
      <w:r>
        <w:rPr>
          <w:rFonts w:ascii="Arial Narrow" w:hAnsi="Arial Narrow" w:cs="Arial"/>
        </w:rPr>
        <w:t xml:space="preserve">En los </w:t>
      </w:r>
      <w:r>
        <w:rPr>
          <w:rFonts w:ascii="Arial Narrow" w:hAnsi="Arial Narrow" w:cs="Arial"/>
          <w:i/>
          <w:iCs/>
        </w:rPr>
        <w:t>Lineamientos para la configuración de acciones afirmativas en cargos de elección popular, a favor de las personas con discapacidad, de la población LGBTIAQ+. Indígenas y migrantes, aplicables para el Proceso Electoral Ordinario Local 2023-2024 y, en su caso, las elecciones extraordinarias que se deriven, en el Estado de Michoacán.</w:t>
      </w:r>
    </w:p>
  </w:footnote>
  <w:footnote w:id="43">
    <w:p w14:paraId="404CFBF6" w14:textId="77777777" w:rsidR="0012716D" w:rsidRDefault="001E741F">
      <w:pPr>
        <w:pStyle w:val="Textonotapie"/>
        <w:jc w:val="both"/>
        <w:rPr>
          <w:rFonts w:ascii="Arial Narrow" w:hAnsi="Arial Narrow"/>
        </w:rPr>
      </w:pPr>
      <w:r>
        <w:rPr>
          <w:rStyle w:val="Refdenotaalpie"/>
        </w:rPr>
        <w:footnoteRef/>
      </w:r>
      <w:r>
        <w:t xml:space="preserve"> </w:t>
      </w:r>
      <w:r>
        <w:rPr>
          <w:rFonts w:ascii="Arial Narrow" w:hAnsi="Arial Narrow"/>
        </w:rPr>
        <w:t>Aprobado por unanimidad de votos, en Sesión Extraordinaria Urgente de veintiuno de abril del dos mil veinticuatro.</w:t>
      </w:r>
    </w:p>
  </w:footnote>
  <w:footnote w:id="44">
    <w:p w14:paraId="404CFBF7" w14:textId="77777777" w:rsidR="0012716D" w:rsidRDefault="001E741F">
      <w:pPr>
        <w:pStyle w:val="Textonotapie"/>
        <w:jc w:val="both"/>
      </w:pPr>
      <w:r>
        <w:rPr>
          <w:rStyle w:val="Refdenotaalpie"/>
        </w:rPr>
        <w:footnoteRef/>
      </w:r>
      <w:r>
        <w:t xml:space="preserve"> Visible a foja 419 del expediente.</w:t>
      </w:r>
    </w:p>
  </w:footnote>
  <w:footnote w:id="45">
    <w:p w14:paraId="404CFBF8" w14:textId="77777777" w:rsidR="0012716D" w:rsidRDefault="001E741F">
      <w:pPr>
        <w:spacing w:after="0" w:line="240" w:lineRule="auto"/>
        <w:jc w:val="both"/>
        <w:rPr>
          <w:rFonts w:ascii="Arial Narrow" w:eastAsia="Arial" w:hAnsi="Arial Narrow" w:cs="Arial"/>
          <w:sz w:val="20"/>
          <w:szCs w:val="20"/>
        </w:rPr>
      </w:pPr>
      <w:r>
        <w:rPr>
          <w:rStyle w:val="Refdenotaalpie"/>
        </w:rPr>
        <w:footnoteRef/>
      </w:r>
      <w:r>
        <w:t xml:space="preserve"> </w:t>
      </w:r>
      <w:r>
        <w:rPr>
          <w:rFonts w:ascii="Arial Narrow" w:eastAsia="Arial" w:hAnsi="Arial Narrow" w:cs="Arial"/>
          <w:sz w:val="20"/>
          <w:szCs w:val="20"/>
        </w:rPr>
        <w:t xml:space="preserve">Documental pública que de conformidad con lo dispuesto por los artículos 17, fracción III y 22, fracción II, de la </w:t>
      </w:r>
      <w:r>
        <w:rPr>
          <w:rFonts w:ascii="Arial Narrow" w:eastAsia="Arial" w:hAnsi="Arial Narrow" w:cs="Arial"/>
          <w:i/>
          <w:iCs/>
          <w:sz w:val="20"/>
          <w:szCs w:val="20"/>
        </w:rPr>
        <w:t>Ley de Justicia Electoral</w:t>
      </w:r>
      <w:r>
        <w:rPr>
          <w:rFonts w:ascii="Arial Narrow" w:eastAsia="Arial" w:hAnsi="Arial Narrow" w:cs="Arial"/>
          <w:sz w:val="20"/>
          <w:szCs w:val="20"/>
        </w:rPr>
        <w:t xml:space="preserve">, cuenta con valor probatorio pleno, al ser expedida por un funcionario facultado para ello. </w:t>
      </w:r>
    </w:p>
    <w:p w14:paraId="404CFBF9" w14:textId="77777777" w:rsidR="0012716D" w:rsidRDefault="001E741F">
      <w:pPr>
        <w:spacing w:after="0" w:line="240" w:lineRule="auto"/>
        <w:jc w:val="both"/>
        <w:rPr>
          <w:rFonts w:ascii="Arial Narrow" w:eastAsia="Arial" w:hAnsi="Arial Narrow" w:cs="Arial"/>
          <w:sz w:val="20"/>
          <w:szCs w:val="20"/>
        </w:rPr>
      </w:pPr>
      <w:r>
        <w:rPr>
          <w:rFonts w:ascii="Arial Narrow" w:eastAsia="Arial" w:hAnsi="Arial Narrow" w:cs="Arial"/>
          <w:sz w:val="20"/>
          <w:szCs w:val="20"/>
        </w:rPr>
        <w:t xml:space="preserve">Cabe señalar que en el diverso acuerdo del </w:t>
      </w:r>
      <w:r>
        <w:rPr>
          <w:rFonts w:ascii="Arial Narrow" w:eastAsia="Arial" w:hAnsi="Arial Narrow" w:cs="Arial"/>
          <w:i/>
          <w:iCs/>
          <w:sz w:val="20"/>
          <w:szCs w:val="20"/>
        </w:rPr>
        <w:t>Consejo General</w:t>
      </w:r>
      <w:r>
        <w:rPr>
          <w:rFonts w:ascii="Arial Narrow" w:eastAsia="Arial" w:hAnsi="Arial Narrow" w:cs="Arial"/>
          <w:sz w:val="20"/>
          <w:szCs w:val="20"/>
        </w:rPr>
        <w:t xml:space="preserve"> IEM-CG-198/2024, se dio cumplimiento a lo mandato por el TEEM al resolver el juicio TEEM-JDC-077-2024, como lo resuelto por Sala Regional Toluca del TEPJDF al resolver el juicio de revisión ST-JRC-32-2024, derivado de la cadena impugnativa, sin que se hubiera modificado la integración de dicha candidatura.</w:t>
      </w:r>
    </w:p>
  </w:footnote>
  <w:footnote w:id="46">
    <w:p w14:paraId="404CFBFA" w14:textId="77777777" w:rsidR="0012716D" w:rsidRDefault="001E741F">
      <w:pPr>
        <w:pStyle w:val="Textonotapie"/>
        <w:jc w:val="both"/>
        <w:rPr>
          <w:rFonts w:ascii="Arial Narrow" w:hAnsi="Arial Narrow"/>
        </w:rPr>
      </w:pPr>
      <w:r>
        <w:rPr>
          <w:rStyle w:val="Refdenotaalpie"/>
        </w:rPr>
        <w:footnoteRef/>
      </w:r>
      <w:r>
        <w:t xml:space="preserve"> </w:t>
      </w:r>
      <w:r>
        <w:rPr>
          <w:rFonts w:ascii="Arial Narrow" w:hAnsi="Arial Narrow"/>
        </w:rPr>
        <w:t>Consultable en: https://iem.org.mx/documentos/acuerdos/2024/IEM-CG-198-2024.pdf</w:t>
      </w:r>
    </w:p>
  </w:footnote>
  <w:footnote w:id="47">
    <w:p w14:paraId="404CFBFB" w14:textId="77777777" w:rsidR="0012716D" w:rsidRDefault="001E741F">
      <w:pPr>
        <w:pStyle w:val="Textonotapie"/>
        <w:jc w:val="both"/>
        <w:rPr>
          <w:rFonts w:ascii="Arial Narrow" w:hAnsi="Arial Narrow"/>
        </w:rPr>
      </w:pPr>
      <w:r>
        <w:rPr>
          <w:rStyle w:val="Refdenotaalpie"/>
        </w:rPr>
        <w:footnoteRef/>
      </w:r>
      <w:r>
        <w:t xml:space="preserve"> </w:t>
      </w:r>
      <w:r>
        <w:rPr>
          <w:rFonts w:ascii="Arial Narrow" w:hAnsi="Arial Narrow"/>
        </w:rPr>
        <w:t>Lo que invoca</w:t>
      </w:r>
      <w:r>
        <w:rPr>
          <w:rFonts w:ascii="Arial Narrow" w:hAnsi="Arial Narrow" w:cs="Arial"/>
        </w:rPr>
        <w:t xml:space="preserve"> como un hecho notorio, conforme a la tesis: I.3o.C.35 K (10a.) de rubro: “</w:t>
      </w:r>
      <w:r>
        <w:rPr>
          <w:rFonts w:ascii="Arial Narrow" w:hAnsi="Arial Narrow" w:cs="Arial"/>
          <w:i/>
          <w:iCs/>
        </w:rPr>
        <w:t>PÁGINAS WEB O ELECTRÓNICAS. SU CONTENIDO ES UN HECHO NOTORIO Y SUSCEPTIBLE DE SER VALORADO EN UNA DECISIÓN JUDICIAL”</w:t>
      </w:r>
      <w:r>
        <w:rPr>
          <w:rFonts w:ascii="Arial Narrow" w:hAnsi="Arial Narrow" w:cs="Arial"/>
        </w:rPr>
        <w:t xml:space="preserve"> y la jurisprudencia XX.2o.J/24 de rubro: </w:t>
      </w:r>
      <w:r>
        <w:rPr>
          <w:rFonts w:ascii="Arial Narrow" w:hAnsi="Arial Narrow" w:cs="Arial"/>
          <w:i/>
          <w:iCs/>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p>
    <w:p w14:paraId="404CFBFC" w14:textId="77777777" w:rsidR="0012716D" w:rsidRDefault="0012716D">
      <w:pPr>
        <w:pStyle w:val="Textonotapie"/>
        <w:rPr>
          <w:rFonts w:ascii="Arial Narrow" w:hAnsi="Arial Narrow"/>
        </w:rPr>
      </w:pPr>
    </w:p>
  </w:footnote>
  <w:footnote w:id="48">
    <w:p w14:paraId="404CFBFD" w14:textId="77777777" w:rsidR="0012716D" w:rsidRDefault="001E741F">
      <w:pPr>
        <w:spacing w:after="0" w:line="240" w:lineRule="auto"/>
        <w:jc w:val="both"/>
        <w:rPr>
          <w:rFonts w:ascii="Arial" w:eastAsia="Times New Roman" w:hAnsi="Arial" w:cs="Arial"/>
          <w:i/>
          <w:iCs/>
          <w:sz w:val="24"/>
          <w:szCs w:val="24"/>
        </w:rPr>
      </w:pPr>
      <w:r>
        <w:rPr>
          <w:rStyle w:val="Refdenotaalpie"/>
          <w:rFonts w:ascii="Arial Narrow" w:hAnsi="Arial Narrow"/>
          <w:sz w:val="20"/>
          <w:szCs w:val="20"/>
        </w:rPr>
        <w:footnoteRef/>
      </w:r>
      <w:r>
        <w:rPr>
          <w:rFonts w:ascii="Arial Narrow" w:hAnsi="Arial Narrow"/>
          <w:sz w:val="20"/>
          <w:szCs w:val="20"/>
        </w:rPr>
        <w:t xml:space="preserve"> Fojas 344 a 346 del expediente. Documental </w:t>
      </w:r>
      <w:r>
        <w:rPr>
          <w:rFonts w:ascii="Arial Narrow" w:eastAsia="Times New Roman" w:hAnsi="Arial Narrow" w:cs="Arial"/>
          <w:sz w:val="20"/>
          <w:szCs w:val="20"/>
        </w:rPr>
        <w:t xml:space="preserve">pública que de conformidad con lo dispuesto por los artículos 17, fracción III y 22, fracción II, de la </w:t>
      </w:r>
      <w:r>
        <w:rPr>
          <w:rFonts w:ascii="Arial Narrow" w:eastAsia="Times New Roman" w:hAnsi="Arial Narrow" w:cs="Arial"/>
          <w:i/>
          <w:iCs/>
          <w:sz w:val="20"/>
          <w:szCs w:val="20"/>
        </w:rPr>
        <w:t>Ley de Justicia Electoral</w:t>
      </w:r>
      <w:r>
        <w:rPr>
          <w:rFonts w:ascii="Arial Narrow" w:eastAsia="Times New Roman" w:hAnsi="Arial Narrow" w:cs="Arial"/>
          <w:sz w:val="20"/>
          <w:szCs w:val="20"/>
        </w:rPr>
        <w:t xml:space="preserve">, cuentan con valor probatorio pleno, al ser expedida por un funcionario facultado para certificar los actos de competencia municipal, en términos del artículo 69, fracción VIII, de la </w:t>
      </w:r>
      <w:r>
        <w:rPr>
          <w:rFonts w:ascii="Arial Narrow" w:eastAsia="Times New Roman" w:hAnsi="Arial Narrow" w:cs="Arial"/>
          <w:i/>
          <w:iCs/>
          <w:sz w:val="20"/>
          <w:szCs w:val="20"/>
        </w:rPr>
        <w:t>Ley Orgánica Municipal</w:t>
      </w:r>
      <w:r>
        <w:rPr>
          <w:rFonts w:ascii="Arial" w:eastAsia="Times New Roman" w:hAnsi="Arial" w:cs="Arial"/>
          <w:i/>
          <w:iCs/>
          <w:sz w:val="24"/>
          <w:szCs w:val="24"/>
        </w:rPr>
        <w:t>.</w:t>
      </w:r>
    </w:p>
    <w:p w14:paraId="404CFBFE" w14:textId="77777777" w:rsidR="0012716D" w:rsidRDefault="0012716D">
      <w:pPr>
        <w:pStyle w:val="Textonotapie"/>
        <w:jc w:val="both"/>
        <w:rPr>
          <w:rFonts w:ascii="Arial Narrow" w:hAnsi="Arial Narrow"/>
        </w:rPr>
      </w:pPr>
    </w:p>
  </w:footnote>
  <w:footnote w:id="49">
    <w:p w14:paraId="404CFBFF"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J</w:t>
      </w:r>
      <w:r>
        <w:rPr>
          <w:rFonts w:ascii="Arial Narrow" w:hAnsi="Arial Narrow"/>
          <w:i/>
          <w:iCs/>
        </w:rPr>
        <w:t xml:space="preserve">urisprudencia </w:t>
      </w:r>
      <w:r>
        <w:rPr>
          <w:rFonts w:ascii="Arial Narrow" w:hAnsi="Arial Narrow"/>
        </w:rPr>
        <w:t>de la Sala Tercera del Tribunal de Justicia Administrativa de rubro: “</w:t>
      </w:r>
      <w:r>
        <w:rPr>
          <w:rFonts w:ascii="Arial Narrow" w:hAnsi="Arial Narrow" w:cs="Arial"/>
          <w:i/>
          <w:iCs/>
        </w:rPr>
        <w:t>AGRAVIOS INOPERANTES EN EL RECURSO DE REVISIÓN. LO SON AQUÉLLOS QUE SE SUSTENTAN EN PREMISAS INCORRECTAS”.</w:t>
      </w:r>
    </w:p>
  </w:footnote>
  <w:footnote w:id="50">
    <w:p w14:paraId="404CFC00" w14:textId="77777777" w:rsidR="0012716D" w:rsidRDefault="001E741F">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Igual criterio adoptó la Sala Regional Ciudad de México, del Tribunal Electoral de la Federación al resolver el juicio SCN-JDC-140/2023.</w:t>
      </w:r>
    </w:p>
  </w:footnote>
  <w:footnote w:id="51">
    <w:p w14:paraId="404CFC01" w14:textId="77777777" w:rsidR="0012716D" w:rsidRDefault="001E741F">
      <w:pPr>
        <w:pStyle w:val="Textonotapie"/>
        <w:jc w:val="both"/>
        <w:rPr>
          <w:rFonts w:ascii="Arial Narrow" w:hAnsi="Arial Narrow"/>
          <w:i/>
          <w:iCs/>
        </w:rPr>
      </w:pPr>
      <w:r>
        <w:rPr>
          <w:rStyle w:val="Refdenotaalpie"/>
          <w:rFonts w:ascii="Arial Narrow" w:hAnsi="Arial Narrow"/>
        </w:rPr>
        <w:footnoteRef/>
      </w:r>
      <w:r>
        <w:rPr>
          <w:rFonts w:ascii="Arial Narrow" w:hAnsi="Arial Narrow"/>
        </w:rPr>
        <w:t xml:space="preserve"> </w:t>
      </w:r>
      <w:r>
        <w:rPr>
          <w:rFonts w:ascii="Arial Narrow" w:hAnsi="Arial Narrow" w:cs="Arial"/>
          <w:color w:val="000000"/>
        </w:rPr>
        <w:t xml:space="preserve">Sirve de orientación la tesis VIII/2011 de Sala Superior de rubro: </w:t>
      </w:r>
      <w:r>
        <w:rPr>
          <w:rFonts w:ascii="Arial Narrow" w:hAnsi="Arial Narrow" w:cs="Arial"/>
          <w:i/>
          <w:iCs/>
          <w:color w:val="000000"/>
        </w:rPr>
        <w:t xml:space="preserve">LICENCIA PARA SEPARARSE DEL CARGO MUNICIPAL. ES INDISPENSABLE QUE SE HAYA RENDIDO PROTESTA (LEGISLACIÓN DEL ESTADO DE MÉXICO). </w:t>
      </w:r>
    </w:p>
  </w:footnote>
  <w:footnote w:id="52">
    <w:p w14:paraId="404CFC02" w14:textId="77777777" w:rsidR="0012716D" w:rsidRDefault="001E741F">
      <w:pPr>
        <w:pStyle w:val="Textonotapie"/>
        <w:jc w:val="both"/>
      </w:pPr>
      <w:r>
        <w:rPr>
          <w:rStyle w:val="Refdenotaalpie"/>
        </w:rPr>
        <w:footnoteRef/>
      </w:r>
      <w:r>
        <w:t xml:space="preserve"> I</w:t>
      </w:r>
      <w:r>
        <w:rPr>
          <w:rFonts w:ascii="Arial Narrow" w:hAnsi="Arial Narrow"/>
        </w:rPr>
        <w:t>gual criterio adoptó la Sala Regional ciudad de México al resolver el juicio SCM-JDC-140/2023.</w:t>
      </w:r>
    </w:p>
  </w:footnote>
  <w:footnote w:id="53">
    <w:p w14:paraId="404CFC03" w14:textId="77777777" w:rsidR="0012716D" w:rsidRDefault="001E741F">
      <w:pPr>
        <w:spacing w:after="0" w:line="240" w:lineRule="auto"/>
        <w:jc w:val="both"/>
        <w:rPr>
          <w:rFonts w:ascii="Arial Narrow" w:eastAsia="Arial" w:hAnsi="Arial Narrow" w:cs="Arial"/>
          <w:sz w:val="20"/>
          <w:szCs w:val="20"/>
        </w:rPr>
      </w:pPr>
      <w:r>
        <w:rPr>
          <w:rStyle w:val="Refdenotaalpie"/>
          <w:rFonts w:ascii="Arial Narrow" w:hAnsi="Arial Narrow"/>
          <w:sz w:val="20"/>
          <w:szCs w:val="20"/>
        </w:rPr>
        <w:footnoteRef/>
      </w:r>
      <w:r>
        <w:rPr>
          <w:rFonts w:ascii="Arial Narrow" w:hAnsi="Arial Narrow"/>
          <w:sz w:val="20"/>
          <w:szCs w:val="20"/>
        </w:rPr>
        <w:t xml:space="preserve"> Foja 453 del expediente. Documental</w:t>
      </w:r>
      <w:r>
        <w:rPr>
          <w:rFonts w:ascii="Arial Narrow" w:eastAsia="Arial" w:hAnsi="Arial Narrow" w:cs="Arial"/>
          <w:sz w:val="20"/>
          <w:szCs w:val="20"/>
        </w:rPr>
        <w:t xml:space="preserve"> pública que de conformidad con lo dispuesto por los artículos 17, fracción III y 22, fracción II, de la </w:t>
      </w:r>
      <w:r>
        <w:rPr>
          <w:rFonts w:ascii="Arial Narrow" w:eastAsia="Arial" w:hAnsi="Arial Narrow" w:cs="Arial"/>
          <w:i/>
          <w:iCs/>
          <w:sz w:val="20"/>
          <w:szCs w:val="20"/>
        </w:rPr>
        <w:t>Ley de Justicia Electoral</w:t>
      </w:r>
      <w:r>
        <w:rPr>
          <w:rFonts w:ascii="Arial Narrow" w:eastAsia="Arial" w:hAnsi="Arial Narrow" w:cs="Arial"/>
          <w:sz w:val="20"/>
          <w:szCs w:val="20"/>
        </w:rPr>
        <w:t>, cuenta con valor probatorio pleno, al ser expedida por un funcionario facultado para ello.</w:t>
      </w:r>
    </w:p>
  </w:footnote>
  <w:footnote w:id="54">
    <w:p w14:paraId="404CFC04" w14:textId="77777777" w:rsidR="0012716D" w:rsidRDefault="001E741F">
      <w:pPr>
        <w:spacing w:after="0" w:line="240" w:lineRule="auto"/>
        <w:jc w:val="both"/>
        <w:rPr>
          <w:rFonts w:ascii="Arial Narrow" w:eastAsia="Arial" w:hAnsi="Arial Narrow" w:cs="Arial"/>
          <w:sz w:val="20"/>
          <w:szCs w:val="20"/>
        </w:rPr>
      </w:pPr>
      <w:r>
        <w:rPr>
          <w:rStyle w:val="Refdenotaalpie"/>
          <w:rFonts w:ascii="Arial Narrow" w:hAnsi="Arial Narrow"/>
          <w:sz w:val="20"/>
          <w:szCs w:val="20"/>
        </w:rPr>
        <w:footnoteRef/>
      </w:r>
      <w:r>
        <w:rPr>
          <w:rFonts w:ascii="Arial Narrow" w:hAnsi="Arial Narrow"/>
          <w:sz w:val="20"/>
          <w:szCs w:val="20"/>
        </w:rPr>
        <w:t xml:space="preserve"> Visible a foja 456 y 457. Documental</w:t>
      </w:r>
      <w:r>
        <w:rPr>
          <w:rFonts w:ascii="Arial Narrow" w:eastAsia="Arial" w:hAnsi="Arial Narrow" w:cs="Arial"/>
          <w:sz w:val="20"/>
          <w:szCs w:val="20"/>
        </w:rPr>
        <w:t xml:space="preserve"> pública que de conformidad con lo dispuesto por los artículos 17, fracción III y 22, fracción II, de la </w:t>
      </w:r>
      <w:r>
        <w:rPr>
          <w:rFonts w:ascii="Arial Narrow" w:eastAsia="Arial" w:hAnsi="Arial Narrow" w:cs="Arial"/>
          <w:i/>
          <w:iCs/>
          <w:sz w:val="20"/>
          <w:szCs w:val="20"/>
        </w:rPr>
        <w:t>Ley de Justicia Electoral</w:t>
      </w:r>
      <w:r>
        <w:rPr>
          <w:rFonts w:ascii="Arial Narrow" w:eastAsia="Arial" w:hAnsi="Arial Narrow" w:cs="Arial"/>
          <w:sz w:val="20"/>
          <w:szCs w:val="20"/>
        </w:rPr>
        <w:t>, cuenta con valor probatorio pleno, al ser expedida por un funcionario facultado para ello.</w:t>
      </w:r>
    </w:p>
    <w:p w14:paraId="404CFC05" w14:textId="77777777" w:rsidR="0012716D" w:rsidRDefault="0012716D">
      <w:pPr>
        <w:pStyle w:val="Textonotapie"/>
        <w:jc w:val="both"/>
        <w:rPr>
          <w:rFonts w:ascii="Arial Narrow" w:hAnsi="Arial Narrow"/>
        </w:rPr>
      </w:pPr>
    </w:p>
  </w:footnote>
  <w:footnote w:id="55">
    <w:p w14:paraId="404CFC06" w14:textId="77777777" w:rsidR="0012716D" w:rsidRDefault="001E741F">
      <w:pPr>
        <w:pStyle w:val="Textonotapie"/>
        <w:rPr>
          <w:rFonts w:ascii="Arial Narrow" w:hAnsi="Arial Narrow"/>
        </w:rPr>
      </w:pPr>
      <w:r>
        <w:rPr>
          <w:rStyle w:val="Refdenotaalpie"/>
          <w:rFonts w:ascii="Arial Narrow" w:hAnsi="Arial Narrow"/>
        </w:rPr>
        <w:footnoteRef/>
      </w:r>
      <w:r>
        <w:rPr>
          <w:rFonts w:ascii="Arial Narrow" w:hAnsi="Arial Narrow"/>
        </w:rPr>
        <w:t xml:space="preserve"> Visible a foja 419 del expediente.</w:t>
      </w:r>
    </w:p>
  </w:footnote>
  <w:footnote w:id="56">
    <w:p w14:paraId="404CFC07" w14:textId="77777777" w:rsidR="0012716D" w:rsidRDefault="001E741F">
      <w:pPr>
        <w:spacing w:after="0" w:line="240" w:lineRule="auto"/>
        <w:jc w:val="both"/>
        <w:rPr>
          <w:rFonts w:ascii="Arial Narrow" w:eastAsia="Arial" w:hAnsi="Arial Narrow" w:cs="Arial"/>
          <w:sz w:val="20"/>
          <w:szCs w:val="20"/>
        </w:rPr>
      </w:pPr>
      <w:r w:rsidRPr="003431C7">
        <w:rPr>
          <w:rStyle w:val="Refdenotaalpie"/>
          <w:rFonts w:ascii="Arial Narrow" w:hAnsi="Arial Narrow"/>
        </w:rPr>
        <w:footnoteRef/>
      </w:r>
      <w:r w:rsidRPr="003431C7">
        <w:rPr>
          <w:rFonts w:ascii="Arial Narrow" w:hAnsi="Arial Narrow"/>
        </w:rPr>
        <w:t xml:space="preserve"> Visible a foja 421. </w:t>
      </w:r>
      <w:r>
        <w:rPr>
          <w:rFonts w:ascii="Arial Narrow" w:hAnsi="Arial Narrow"/>
          <w:sz w:val="20"/>
          <w:szCs w:val="20"/>
        </w:rPr>
        <w:t>Documental</w:t>
      </w:r>
      <w:r>
        <w:rPr>
          <w:rFonts w:ascii="Arial Narrow" w:eastAsia="Arial" w:hAnsi="Arial Narrow" w:cs="Arial"/>
          <w:sz w:val="20"/>
          <w:szCs w:val="20"/>
        </w:rPr>
        <w:t xml:space="preserve"> pública que de conformidad con lo dispuesto por los artículos 17, fracción III y 22, fracción II, de la </w:t>
      </w:r>
      <w:r>
        <w:rPr>
          <w:rFonts w:ascii="Arial Narrow" w:eastAsia="Arial" w:hAnsi="Arial Narrow" w:cs="Arial"/>
          <w:i/>
          <w:iCs/>
          <w:sz w:val="20"/>
          <w:szCs w:val="20"/>
        </w:rPr>
        <w:t>Ley de Justicia Electoral</w:t>
      </w:r>
      <w:r>
        <w:rPr>
          <w:rFonts w:ascii="Arial Narrow" w:eastAsia="Arial" w:hAnsi="Arial Narrow" w:cs="Arial"/>
          <w:sz w:val="20"/>
          <w:szCs w:val="20"/>
        </w:rPr>
        <w:t>, cuenta con valor probatorio pleno, al ser expedida por un funcionario facultado para ello.</w:t>
      </w:r>
    </w:p>
  </w:footnote>
  <w:footnote w:id="57">
    <w:p w14:paraId="404CFC08" w14:textId="77777777" w:rsidR="0012716D" w:rsidRDefault="001E741F">
      <w:pPr>
        <w:pStyle w:val="Textonotapie"/>
      </w:pPr>
      <w:r>
        <w:rPr>
          <w:rStyle w:val="Refdenotaalpie"/>
        </w:rPr>
        <w:footnoteRef/>
      </w:r>
      <w:r>
        <w:t xml:space="preserve"> </w:t>
      </w:r>
    </w:p>
  </w:footnote>
  <w:footnote w:id="58">
    <w:p w14:paraId="404CFC09" w14:textId="77777777" w:rsidR="0012716D" w:rsidRDefault="001E741F">
      <w:pPr>
        <w:spacing w:after="0" w:line="240" w:lineRule="auto"/>
        <w:jc w:val="both"/>
        <w:rPr>
          <w:rFonts w:ascii="Arial" w:eastAsia="Times New Roman" w:hAnsi="Arial" w:cs="Arial"/>
          <w:i/>
          <w:iCs/>
          <w:sz w:val="24"/>
          <w:szCs w:val="24"/>
        </w:rPr>
      </w:pPr>
      <w:r>
        <w:rPr>
          <w:rStyle w:val="Refdenotaalpie"/>
          <w:rFonts w:ascii="Arial Narrow" w:hAnsi="Arial Narrow"/>
          <w:sz w:val="20"/>
          <w:szCs w:val="20"/>
        </w:rPr>
        <w:footnoteRef/>
      </w:r>
      <w:r>
        <w:rPr>
          <w:rFonts w:ascii="Arial Narrow" w:hAnsi="Arial Narrow"/>
          <w:sz w:val="20"/>
          <w:szCs w:val="20"/>
        </w:rPr>
        <w:t xml:space="preserve"> Visible a foja </w:t>
      </w:r>
      <w:r>
        <w:rPr>
          <w:rFonts w:ascii="Arial Narrow" w:hAnsi="Arial Narrow"/>
        </w:rPr>
        <w:t xml:space="preserve">339. </w:t>
      </w:r>
      <w:r>
        <w:rPr>
          <w:rFonts w:ascii="Arial Narrow" w:hAnsi="Arial Narrow"/>
          <w:sz w:val="20"/>
          <w:szCs w:val="20"/>
        </w:rPr>
        <w:t xml:space="preserve">Documental </w:t>
      </w:r>
      <w:r>
        <w:rPr>
          <w:rFonts w:ascii="Arial Narrow" w:eastAsia="Times New Roman" w:hAnsi="Arial Narrow" w:cs="Arial"/>
          <w:sz w:val="20"/>
          <w:szCs w:val="20"/>
        </w:rPr>
        <w:t xml:space="preserve">pública que de conformidad con lo dispuesto por los artículos 17, fracción III y 22, fracción II, de la </w:t>
      </w:r>
      <w:r>
        <w:rPr>
          <w:rFonts w:ascii="Arial Narrow" w:eastAsia="Times New Roman" w:hAnsi="Arial Narrow" w:cs="Arial"/>
          <w:i/>
          <w:iCs/>
          <w:sz w:val="20"/>
          <w:szCs w:val="20"/>
        </w:rPr>
        <w:t>Ley de Justicia Electoral</w:t>
      </w:r>
      <w:r>
        <w:rPr>
          <w:rFonts w:ascii="Arial Narrow" w:eastAsia="Times New Roman" w:hAnsi="Arial Narrow" w:cs="Arial"/>
          <w:sz w:val="20"/>
          <w:szCs w:val="20"/>
        </w:rPr>
        <w:t xml:space="preserve">, cuentan con valor probatorio pleno, al ser expedida por un funcionario facultado para certificar los actos de competencia municipal, en términos del artículo 69, fracción VIII, de la </w:t>
      </w:r>
      <w:r>
        <w:rPr>
          <w:rFonts w:ascii="Arial Narrow" w:eastAsia="Times New Roman" w:hAnsi="Arial Narrow" w:cs="Arial"/>
          <w:i/>
          <w:iCs/>
          <w:sz w:val="20"/>
          <w:szCs w:val="20"/>
        </w:rPr>
        <w:t>Ley Orgánica Municipal</w:t>
      </w:r>
      <w:r>
        <w:rPr>
          <w:rFonts w:ascii="Arial" w:eastAsia="Times New Roman" w:hAnsi="Arial" w:cs="Arial"/>
          <w:i/>
          <w:iCs/>
          <w:sz w:val="24"/>
          <w:szCs w:val="24"/>
        </w:rPr>
        <w:t>.</w:t>
      </w:r>
    </w:p>
    <w:p w14:paraId="404CFC0A" w14:textId="77777777" w:rsidR="0012716D" w:rsidRDefault="0012716D">
      <w:pPr>
        <w:pStyle w:val="Textonotapie"/>
        <w:jc w:val="both"/>
        <w:rPr>
          <w:rFonts w:ascii="Arial Narrow" w:hAnsi="Arial Narrow"/>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CFBBD" w14:textId="77777777" w:rsidR="0012716D" w:rsidRDefault="001E741F">
    <w:pPr>
      <w:pStyle w:val="Encabezado"/>
      <w:tabs>
        <w:tab w:val="left" w:pos="964"/>
        <w:tab w:val="left" w:pos="1209"/>
        <w:tab w:val="right" w:pos="8556"/>
      </w:tabs>
      <w:rPr>
        <w:rFonts w:ascii="Arial" w:hAnsi="Arial" w:cs="Arial"/>
        <w:sz w:val="28"/>
      </w:rPr>
    </w:pPr>
    <w:r>
      <w:rPr>
        <w:rFonts w:ascii="Times New Roman" w:hAnsi="Times New Roman" w:cs="Times New Roman"/>
        <w:noProof/>
      </w:rPr>
      <w:drawing>
        <wp:anchor distT="0" distB="0" distL="114300" distR="114300" simplePos="0" relativeHeight="251658241" behindDoc="1" locked="0" layoutInCell="1" allowOverlap="1" wp14:anchorId="404CFBC7" wp14:editId="404CFBC8">
          <wp:simplePos x="0" y="0"/>
          <wp:positionH relativeFrom="column">
            <wp:posOffset>51759</wp:posOffset>
          </wp:positionH>
          <wp:positionV relativeFrom="paragraph">
            <wp:posOffset>-224922</wp:posOffset>
          </wp:positionV>
          <wp:extent cx="2009775" cy="709295"/>
          <wp:effectExtent l="0" t="0" r="9525" b="0"/>
          <wp:wrapNone/>
          <wp:docPr id="9684508"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t>TEEM-JDC-226/2025</w:t>
    </w:r>
  </w:p>
  <w:p w14:paraId="404CFBBE" w14:textId="77777777" w:rsidR="0012716D" w:rsidRDefault="001E741F">
    <w:pPr>
      <w:pStyle w:val="Encabezado"/>
      <w:tabs>
        <w:tab w:val="clear" w:pos="4419"/>
        <w:tab w:val="clear" w:pos="8838"/>
        <w:tab w:val="left" w:pos="964"/>
      </w:tabs>
      <w:rPr>
        <w:rFonts w:ascii="Arial Narrow" w:hAnsi="Arial Narrow" w:cs="Arial"/>
        <w:sz w:val="24"/>
      </w:rPr>
    </w:pPr>
    <w:r>
      <w:rPr>
        <w:rFonts w:ascii="Arial Narrow" w:hAnsi="Arial Narrow" w:cs="Arial"/>
        <w:sz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CFBC3" w14:textId="77777777" w:rsidR="0012716D" w:rsidRDefault="001E741F">
    <w:pPr>
      <w:pStyle w:val="Encabezado"/>
      <w:ind w:left="4962"/>
    </w:pPr>
    <w:r>
      <w:rPr>
        <w:rFonts w:ascii="Times New Roman" w:hAnsi="Times New Roman" w:cs="Times New Roman"/>
        <w:noProof/>
      </w:rPr>
      <w:drawing>
        <wp:anchor distT="0" distB="0" distL="114300" distR="114300" simplePos="0" relativeHeight="251658240" behindDoc="1" locked="0" layoutInCell="1" allowOverlap="1" wp14:anchorId="404CFBC9" wp14:editId="404CFBCA">
          <wp:simplePos x="0" y="0"/>
          <wp:positionH relativeFrom="column">
            <wp:posOffset>0</wp:posOffset>
          </wp:positionH>
          <wp:positionV relativeFrom="paragraph">
            <wp:posOffset>-234551</wp:posOffset>
          </wp:positionV>
          <wp:extent cx="2009775" cy="709295"/>
          <wp:effectExtent l="0" t="0" r="9525" b="0"/>
          <wp:wrapNone/>
          <wp:docPr id="2130729793"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E20F6"/>
    <w:multiLevelType w:val="multilevel"/>
    <w:tmpl w:val="78946BF6"/>
    <w:lvl w:ilvl="0">
      <w:start w:val="1"/>
      <w:numFmt w:val="upperRoman"/>
      <w:lvlText w:val="%1."/>
      <w:lvlJc w:val="left"/>
      <w:pPr>
        <w:ind w:left="1080" w:hanging="720"/>
      </w:pPr>
      <w:rPr>
        <w:rFonts w:hint="default"/>
      </w:rPr>
    </w:lvl>
    <w:lvl w:ilvl="1">
      <w:start w:val="5"/>
      <w:numFmt w:val="decimal"/>
      <w:isLgl/>
      <w:lvlText w:val="%1.%2"/>
      <w:lvlJc w:val="left"/>
      <w:pPr>
        <w:ind w:left="720" w:hanging="360"/>
      </w:pPr>
      <w:rPr>
        <w:rFonts w:hint="default"/>
        <w:b/>
        <w:i/>
      </w:rPr>
    </w:lvl>
    <w:lvl w:ilvl="2">
      <w:start w:val="1"/>
      <w:numFmt w:val="decimal"/>
      <w:isLgl/>
      <w:lvlText w:val="%1.%2.%3"/>
      <w:lvlJc w:val="left"/>
      <w:pPr>
        <w:ind w:left="1080" w:hanging="720"/>
      </w:pPr>
      <w:rPr>
        <w:rFonts w:hint="default"/>
        <w:b/>
        <w:i/>
      </w:rPr>
    </w:lvl>
    <w:lvl w:ilvl="3">
      <w:start w:val="1"/>
      <w:numFmt w:val="decimal"/>
      <w:isLgl/>
      <w:lvlText w:val="%1.%2.%3.%4"/>
      <w:lvlJc w:val="left"/>
      <w:pPr>
        <w:ind w:left="1440" w:hanging="108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800" w:hanging="144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2160" w:hanging="1800"/>
      </w:pPr>
      <w:rPr>
        <w:rFonts w:hint="default"/>
        <w:b/>
        <w:i/>
      </w:rPr>
    </w:lvl>
    <w:lvl w:ilvl="8">
      <w:start w:val="1"/>
      <w:numFmt w:val="decimal"/>
      <w:isLgl/>
      <w:lvlText w:val="%1.%2.%3.%4.%5.%6.%7.%8.%9"/>
      <w:lvlJc w:val="left"/>
      <w:pPr>
        <w:ind w:left="2160" w:hanging="1800"/>
      </w:pPr>
      <w:rPr>
        <w:rFonts w:hint="default"/>
        <w:b/>
        <w:i/>
      </w:rPr>
    </w:lvl>
  </w:abstractNum>
  <w:abstractNum w:abstractNumId="1" w15:restartNumberingAfterBreak="0">
    <w:nsid w:val="282F50D3"/>
    <w:multiLevelType w:val="hybridMultilevel"/>
    <w:tmpl w:val="613A69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BB92461"/>
    <w:multiLevelType w:val="hybridMultilevel"/>
    <w:tmpl w:val="A398A64E"/>
    <w:lvl w:ilvl="0" w:tplc="CBF4D0EC">
      <w:start w:val="6"/>
      <w:numFmt w:val="upperRoman"/>
      <w:lvlText w:val="%1."/>
      <w:lvlJc w:val="left"/>
      <w:pPr>
        <w:ind w:left="1080" w:hanging="720"/>
      </w:pPr>
      <w:rPr>
        <w:rFonts w:eastAsiaTheme="majorEastAsia"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C2D7A42"/>
    <w:multiLevelType w:val="hybridMultilevel"/>
    <w:tmpl w:val="6D0E16D0"/>
    <w:lvl w:ilvl="0" w:tplc="FFFFFFFF">
      <w:start w:val="1"/>
      <w:numFmt w:val="low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3D649BF"/>
    <w:multiLevelType w:val="hybridMultilevel"/>
    <w:tmpl w:val="6D0E16D0"/>
    <w:lvl w:ilvl="0" w:tplc="FFFFFFFF">
      <w:start w:val="1"/>
      <w:numFmt w:val="low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6E64E69"/>
    <w:multiLevelType w:val="multilevel"/>
    <w:tmpl w:val="B18A78D0"/>
    <w:lvl w:ilvl="0">
      <w:start w:val="1"/>
      <w:numFmt w:val="upperRoman"/>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6" w15:restartNumberingAfterBreak="0">
    <w:nsid w:val="461B412D"/>
    <w:multiLevelType w:val="hybridMultilevel"/>
    <w:tmpl w:val="BA305BB6"/>
    <w:lvl w:ilvl="0" w:tplc="90D823C6">
      <w:start w:val="7"/>
      <w:numFmt w:val="upperRoman"/>
      <w:lvlText w:val="%1."/>
      <w:lvlJc w:val="left"/>
      <w:pPr>
        <w:ind w:left="1080" w:hanging="720"/>
      </w:pPr>
      <w:rPr>
        <w:rFonts w:eastAsiaTheme="majorEastAsia"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7A2543A"/>
    <w:multiLevelType w:val="hybridMultilevel"/>
    <w:tmpl w:val="879282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F5A7216"/>
    <w:multiLevelType w:val="multilevel"/>
    <w:tmpl w:val="0AF24C5A"/>
    <w:lvl w:ilvl="0">
      <w:start w:val="1"/>
      <w:numFmt w:val="decimal"/>
      <w:lvlText w:val="%1."/>
      <w:lvlJc w:val="left"/>
      <w:pPr>
        <w:ind w:left="360" w:hanging="360"/>
      </w:pPr>
    </w:lvl>
    <w:lvl w:ilvl="1">
      <w:start w:val="1"/>
      <w:numFmt w:val="decimal"/>
      <w:lvlText w:val="%1.%2."/>
      <w:lvlJc w:val="left"/>
      <w:pPr>
        <w:ind w:left="716" w:hanging="432"/>
      </w:pPr>
      <w:rPr>
        <w:b/>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9764A07"/>
    <w:multiLevelType w:val="hybridMultilevel"/>
    <w:tmpl w:val="08446AB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D4910CE"/>
    <w:multiLevelType w:val="multilevel"/>
    <w:tmpl w:val="68FE5A8A"/>
    <w:lvl w:ilvl="0">
      <w:start w:val="4"/>
      <w:numFmt w:val="upperRoman"/>
      <w:lvlText w:val="%1."/>
      <w:lvlJc w:val="left"/>
      <w:pPr>
        <w:ind w:left="1080" w:hanging="720"/>
      </w:pPr>
      <w:rPr>
        <w:rFonts w:hint="default"/>
        <w:b/>
        <w:bCs/>
        <w:i w:val="0"/>
        <w:iCs w:val="0"/>
        <w:color w:val="auto"/>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68A12DB8"/>
    <w:multiLevelType w:val="hybridMultilevel"/>
    <w:tmpl w:val="6D0E16D0"/>
    <w:lvl w:ilvl="0" w:tplc="884C5E7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2B71F22"/>
    <w:multiLevelType w:val="hybridMultilevel"/>
    <w:tmpl w:val="478C4D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D353EB0"/>
    <w:multiLevelType w:val="hybridMultilevel"/>
    <w:tmpl w:val="6D0E16D0"/>
    <w:lvl w:ilvl="0" w:tplc="FFFFFFFF">
      <w:start w:val="1"/>
      <w:numFmt w:val="low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38262477">
    <w:abstractNumId w:val="0"/>
  </w:num>
  <w:num w:numId="2" w16cid:durableId="1247837424">
    <w:abstractNumId w:val="11"/>
  </w:num>
  <w:num w:numId="3" w16cid:durableId="1207185867">
    <w:abstractNumId w:val="10"/>
  </w:num>
  <w:num w:numId="4" w16cid:durableId="151992262">
    <w:abstractNumId w:val="2"/>
  </w:num>
  <w:num w:numId="5" w16cid:durableId="711149265">
    <w:abstractNumId w:val="9"/>
  </w:num>
  <w:num w:numId="6" w16cid:durableId="1270624700">
    <w:abstractNumId w:val="7"/>
  </w:num>
  <w:num w:numId="7" w16cid:durableId="537738436">
    <w:abstractNumId w:val="12"/>
  </w:num>
  <w:num w:numId="8" w16cid:durableId="1314874310">
    <w:abstractNumId w:val="1"/>
  </w:num>
  <w:num w:numId="9" w16cid:durableId="1307584470">
    <w:abstractNumId w:val="4"/>
  </w:num>
  <w:num w:numId="10" w16cid:durableId="237983648">
    <w:abstractNumId w:val="13"/>
  </w:num>
  <w:num w:numId="11" w16cid:durableId="1103916356">
    <w:abstractNumId w:val="3"/>
  </w:num>
  <w:num w:numId="12" w16cid:durableId="1642617880">
    <w:abstractNumId w:val="5"/>
  </w:num>
  <w:num w:numId="13" w16cid:durableId="1595094390">
    <w:abstractNumId w:val="8"/>
  </w:num>
  <w:num w:numId="14" w16cid:durableId="1860895255">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D11"/>
    <w:rsid w:val="00041152"/>
    <w:rsid w:val="00060BE8"/>
    <w:rsid w:val="00064E4A"/>
    <w:rsid w:val="00066C6D"/>
    <w:rsid w:val="00072DF5"/>
    <w:rsid w:val="00076D7C"/>
    <w:rsid w:val="000C490B"/>
    <w:rsid w:val="000C4A94"/>
    <w:rsid w:val="000C7AF7"/>
    <w:rsid w:val="000E773E"/>
    <w:rsid w:val="000F3551"/>
    <w:rsid w:val="00102517"/>
    <w:rsid w:val="001127F8"/>
    <w:rsid w:val="0012716D"/>
    <w:rsid w:val="0014101C"/>
    <w:rsid w:val="0014326D"/>
    <w:rsid w:val="00145068"/>
    <w:rsid w:val="00155B14"/>
    <w:rsid w:val="00156E4F"/>
    <w:rsid w:val="00160223"/>
    <w:rsid w:val="00160896"/>
    <w:rsid w:val="00196A99"/>
    <w:rsid w:val="001C2212"/>
    <w:rsid w:val="001D2B6D"/>
    <w:rsid w:val="001E638C"/>
    <w:rsid w:val="001E741F"/>
    <w:rsid w:val="001F7A3E"/>
    <w:rsid w:val="00210CAB"/>
    <w:rsid w:val="00217E4A"/>
    <w:rsid w:val="00244CA4"/>
    <w:rsid w:val="00277A20"/>
    <w:rsid w:val="00292481"/>
    <w:rsid w:val="002C5663"/>
    <w:rsid w:val="002E1491"/>
    <w:rsid w:val="00306958"/>
    <w:rsid w:val="00311743"/>
    <w:rsid w:val="00311C72"/>
    <w:rsid w:val="003223E4"/>
    <w:rsid w:val="003431C7"/>
    <w:rsid w:val="00392364"/>
    <w:rsid w:val="003B754A"/>
    <w:rsid w:val="003C56B0"/>
    <w:rsid w:val="00423E1A"/>
    <w:rsid w:val="00462238"/>
    <w:rsid w:val="00475FC6"/>
    <w:rsid w:val="004858F5"/>
    <w:rsid w:val="00485DE2"/>
    <w:rsid w:val="004A1043"/>
    <w:rsid w:val="004C1D89"/>
    <w:rsid w:val="004D675D"/>
    <w:rsid w:val="00504DE7"/>
    <w:rsid w:val="005654DD"/>
    <w:rsid w:val="00570C26"/>
    <w:rsid w:val="00575664"/>
    <w:rsid w:val="0058222F"/>
    <w:rsid w:val="005956C5"/>
    <w:rsid w:val="005D0249"/>
    <w:rsid w:val="005E489C"/>
    <w:rsid w:val="005F2E9F"/>
    <w:rsid w:val="005F70A0"/>
    <w:rsid w:val="00602EB9"/>
    <w:rsid w:val="00627812"/>
    <w:rsid w:val="0063771D"/>
    <w:rsid w:val="00643BC3"/>
    <w:rsid w:val="006700EB"/>
    <w:rsid w:val="006750E6"/>
    <w:rsid w:val="0067642A"/>
    <w:rsid w:val="00690321"/>
    <w:rsid w:val="00691502"/>
    <w:rsid w:val="00692FB5"/>
    <w:rsid w:val="006B1648"/>
    <w:rsid w:val="006C4F7C"/>
    <w:rsid w:val="006D5DFF"/>
    <w:rsid w:val="006F74DD"/>
    <w:rsid w:val="00731F40"/>
    <w:rsid w:val="00744EDE"/>
    <w:rsid w:val="00755899"/>
    <w:rsid w:val="0076527C"/>
    <w:rsid w:val="007A0170"/>
    <w:rsid w:val="007C03A5"/>
    <w:rsid w:val="007C3FE2"/>
    <w:rsid w:val="007C7F36"/>
    <w:rsid w:val="007E5A69"/>
    <w:rsid w:val="007E7CEA"/>
    <w:rsid w:val="007F594C"/>
    <w:rsid w:val="00807988"/>
    <w:rsid w:val="00812D85"/>
    <w:rsid w:val="00814AE3"/>
    <w:rsid w:val="00827F34"/>
    <w:rsid w:val="00861B4C"/>
    <w:rsid w:val="00870178"/>
    <w:rsid w:val="00877460"/>
    <w:rsid w:val="0088792C"/>
    <w:rsid w:val="00892F4D"/>
    <w:rsid w:val="008A1466"/>
    <w:rsid w:val="008B7083"/>
    <w:rsid w:val="008C4CAD"/>
    <w:rsid w:val="008E5B0F"/>
    <w:rsid w:val="00912F65"/>
    <w:rsid w:val="00916DAB"/>
    <w:rsid w:val="00924E44"/>
    <w:rsid w:val="00943930"/>
    <w:rsid w:val="00954C39"/>
    <w:rsid w:val="00957F5F"/>
    <w:rsid w:val="0098029D"/>
    <w:rsid w:val="00980469"/>
    <w:rsid w:val="009C258E"/>
    <w:rsid w:val="009C43C0"/>
    <w:rsid w:val="00A0188F"/>
    <w:rsid w:val="00A32BDE"/>
    <w:rsid w:val="00A54807"/>
    <w:rsid w:val="00A82FB0"/>
    <w:rsid w:val="00A842B6"/>
    <w:rsid w:val="00A917C3"/>
    <w:rsid w:val="00AA241C"/>
    <w:rsid w:val="00AB0B23"/>
    <w:rsid w:val="00AB167E"/>
    <w:rsid w:val="00AD771E"/>
    <w:rsid w:val="00AE6A08"/>
    <w:rsid w:val="00B331EC"/>
    <w:rsid w:val="00B369EB"/>
    <w:rsid w:val="00B74758"/>
    <w:rsid w:val="00B9148B"/>
    <w:rsid w:val="00BA7E28"/>
    <w:rsid w:val="00BF4BC3"/>
    <w:rsid w:val="00C07B57"/>
    <w:rsid w:val="00C23313"/>
    <w:rsid w:val="00C40040"/>
    <w:rsid w:val="00C430D4"/>
    <w:rsid w:val="00C604AE"/>
    <w:rsid w:val="00C7304F"/>
    <w:rsid w:val="00C850BB"/>
    <w:rsid w:val="00CB3306"/>
    <w:rsid w:val="00CC6A43"/>
    <w:rsid w:val="00CD6554"/>
    <w:rsid w:val="00CE0202"/>
    <w:rsid w:val="00CF13B0"/>
    <w:rsid w:val="00D1275A"/>
    <w:rsid w:val="00D235C8"/>
    <w:rsid w:val="00D4148E"/>
    <w:rsid w:val="00D66766"/>
    <w:rsid w:val="00D776F2"/>
    <w:rsid w:val="00D820D5"/>
    <w:rsid w:val="00D973BC"/>
    <w:rsid w:val="00D9751C"/>
    <w:rsid w:val="00DA26CA"/>
    <w:rsid w:val="00DA2797"/>
    <w:rsid w:val="00DB7D11"/>
    <w:rsid w:val="00DE30DD"/>
    <w:rsid w:val="00DF50BF"/>
    <w:rsid w:val="00E04CAB"/>
    <w:rsid w:val="00E15162"/>
    <w:rsid w:val="00E1679C"/>
    <w:rsid w:val="00E36F73"/>
    <w:rsid w:val="00E40A7E"/>
    <w:rsid w:val="00E47BDB"/>
    <w:rsid w:val="00E665AD"/>
    <w:rsid w:val="00E86373"/>
    <w:rsid w:val="00EB58BA"/>
    <w:rsid w:val="00ED550A"/>
    <w:rsid w:val="00EE1E3F"/>
    <w:rsid w:val="00F378FC"/>
    <w:rsid w:val="00F37FB6"/>
    <w:rsid w:val="00F54120"/>
    <w:rsid w:val="00F54AE2"/>
    <w:rsid w:val="00F90F43"/>
    <w:rsid w:val="00F97CDA"/>
    <w:rsid w:val="00FB53FE"/>
    <w:rsid w:val="00FF6B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4CFA81"/>
  <w15:docId w15:val="{2DDBC2FD-322D-4145-9031-06B47F05B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pPr>
      <w:ind w:left="720"/>
      <w:contextualSpacing/>
    </w:pPr>
  </w:style>
  <w:style w:type="paragraph" w:styleId="Encabezado">
    <w:name w:val="header"/>
    <w:basedOn w:val="Normal"/>
    <w:link w:val="Encabezado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ascii="Calibri" w:eastAsia="Calibri" w:hAnsi="Calibri" w:cs="Times New Roman"/>
    </w:rPr>
  </w:style>
  <w:style w:type="paragraph" w:styleId="Piedepgina">
    <w:name w:val="footer"/>
    <w:basedOn w:val="Normal"/>
    <w:link w:val="PiedepginaCar"/>
    <w:uiPriority w:val="99"/>
    <w:unhideWhenUsed/>
    <w:pPr>
      <w:tabs>
        <w:tab w:val="center" w:pos="4419"/>
        <w:tab w:val="right" w:pos="8838"/>
      </w:tabs>
    </w:pPr>
  </w:style>
  <w:style w:type="character" w:customStyle="1" w:styleId="PiedepginaCar">
    <w:name w:val="Pie de página Car"/>
    <w:basedOn w:val="Fuentedeprrafopredeter"/>
    <w:link w:val="Piedepgina"/>
    <w:uiPriority w:val="99"/>
    <w:rPr>
      <w:rFonts w:ascii="Calibri" w:eastAsia="Calibri" w:hAnsi="Calibri" w:cs="Times New Roman"/>
    </w:rPr>
  </w:style>
  <w:style w:type="table" w:styleId="Tablaconcuadrcula">
    <w:name w:val="Table Grid"/>
    <w:basedOn w:val="Tablanormal"/>
    <w:uiPriority w:val="3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pPr>
      <w:spacing w:line="240" w:lineRule="auto"/>
    </w:pPr>
    <w:rPr>
      <w:b/>
      <w:bCs/>
      <w:smallCaps/>
      <w:color w:val="595959" w:themeColor="text1" w:themeTint="A6"/>
    </w:rPr>
  </w:style>
  <w:style w:type="paragraph" w:styleId="Ttulo">
    <w:name w:val="Title"/>
    <w:basedOn w:val="Normal"/>
    <w:next w:val="Normal"/>
    <w:link w:val="TtuloCar"/>
    <w:uiPriority w:val="10"/>
    <w:qFormat/>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Pr>
      <w:rFonts w:asciiTheme="majorHAnsi" w:eastAsiaTheme="majorEastAsia" w:hAnsiTheme="majorHAnsi" w:cstheme="majorBidi"/>
      <w:sz w:val="30"/>
      <w:szCs w:val="30"/>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70AD47" w:themeColor="accent6"/>
    </w:rPr>
  </w:style>
  <w:style w:type="paragraph" w:styleId="Sinespaciado">
    <w:name w:val="No Spacing"/>
    <w:link w:val="SinespaciadoCar"/>
    <w:uiPriority w:val="1"/>
    <w:qFormat/>
    <w:pPr>
      <w:spacing w:after="0" w:line="240" w:lineRule="auto"/>
    </w:pPr>
  </w:style>
  <w:style w:type="paragraph" w:styleId="Cita">
    <w:name w:val="Quote"/>
    <w:basedOn w:val="Normal"/>
    <w:next w:val="Normal"/>
    <w:link w:val="CitaCar"/>
    <w:uiPriority w:val="29"/>
    <w:qFormat/>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Pr>
      <w:i/>
      <w:iCs/>
      <w:color w:val="262626" w:themeColor="text1" w:themeTint="D9"/>
    </w:rPr>
  </w:style>
  <w:style w:type="paragraph" w:styleId="Citadestacada">
    <w:name w:val="Intense Quote"/>
    <w:basedOn w:val="Normal"/>
    <w:next w:val="Normal"/>
    <w:link w:val="CitadestacadaCar"/>
    <w:uiPriority w:val="30"/>
    <w:qFormat/>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Pr>
      <w:i/>
      <w:iCs/>
    </w:rPr>
  </w:style>
  <w:style w:type="character" w:styleId="nfasisintenso">
    <w:name w:val="Intense Emphasis"/>
    <w:basedOn w:val="Fuentedeprrafopredeter"/>
    <w:uiPriority w:val="21"/>
    <w:qFormat/>
    <w:rPr>
      <w:b/>
      <w:bCs/>
      <w:i/>
      <w:iCs/>
    </w:rPr>
  </w:style>
  <w:style w:type="character" w:styleId="Referenciasutil">
    <w:name w:val="Subtle Reference"/>
    <w:basedOn w:val="Fuentedeprrafopredeter"/>
    <w:uiPriority w:val="31"/>
    <w:qFormat/>
    <w:rPr>
      <w:smallCaps/>
      <w:color w:val="595959" w:themeColor="text1" w:themeTint="A6"/>
    </w:rPr>
  </w:style>
  <w:style w:type="character" w:styleId="Referenciaintensa">
    <w:name w:val="Intense Reference"/>
    <w:basedOn w:val="Fuentedeprrafopredeter"/>
    <w:uiPriority w:val="32"/>
    <w:qFormat/>
    <w:rPr>
      <w:b/>
      <w:bCs/>
      <w:smallCaps/>
      <w:color w:val="70AD47" w:themeColor="accent6"/>
    </w:rPr>
  </w:style>
  <w:style w:type="character" w:styleId="Ttulodellibro">
    <w:name w:val="Book Title"/>
    <w:basedOn w:val="Fuentedeprrafopredeter"/>
    <w:uiPriority w:val="33"/>
    <w:qFormat/>
    <w:rPr>
      <w:b/>
      <w:bCs/>
      <w:caps w:val="0"/>
      <w:smallCaps/>
      <w:spacing w:val="7"/>
      <w:sz w:val="21"/>
      <w:szCs w:val="21"/>
    </w:rPr>
  </w:style>
  <w:style w:type="paragraph" w:styleId="TtuloTDC">
    <w:name w:val="TOC Heading"/>
    <w:basedOn w:val="Ttulo1"/>
    <w:next w:val="Normal"/>
    <w:uiPriority w:val="39"/>
    <w:unhideWhenUsed/>
    <w:qFormat/>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style>
  <w:style w:type="paragraph" w:styleId="Sangradetextonormal">
    <w:name w:val="Body Text Indent"/>
    <w:basedOn w:val="Normal"/>
    <w:link w:val="SangradetextonormalCar"/>
    <w:uiPriority w:val="99"/>
    <w:unhideWhenUsed/>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Pr>
      <w:rFonts w:eastAsiaTheme="minorHAnsi"/>
      <w:sz w:val="22"/>
      <w:szCs w:val="22"/>
    </w:rPr>
  </w:style>
  <w:style w:type="character" w:customStyle="1" w:styleId="A3">
    <w:name w:val="A3"/>
    <w:uiPriority w:val="99"/>
    <w:rPr>
      <w:rFonts w:cs="Legacy Serif ITC Std Book"/>
      <w:color w:val="000000"/>
      <w:sz w:val="20"/>
      <w:szCs w:val="20"/>
    </w:rPr>
  </w:style>
  <w:style w:type="paragraph" w:styleId="TDC1">
    <w:name w:val="toc 1"/>
    <w:basedOn w:val="Normal"/>
    <w:next w:val="Normal"/>
    <w:autoRedefine/>
    <w:uiPriority w:val="39"/>
    <w:unhideWhenUsed/>
    <w:pPr>
      <w:spacing w:after="100"/>
    </w:pPr>
  </w:style>
  <w:style w:type="character" w:styleId="Hipervnculo">
    <w:name w:val="Hyperlink"/>
    <w:basedOn w:val="Fuentedeprrafopredeter"/>
    <w:uiPriority w:val="99"/>
    <w:unhideWhenUsed/>
    <w:rPr>
      <w:color w:val="0563C1" w:themeColor="hyperlink"/>
      <w:u w:val="single"/>
    </w:rPr>
  </w:style>
  <w:style w:type="paragraph" w:customStyle="1" w:styleId="Default">
    <w:name w:val="Default"/>
    <w:qFormat/>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pPr>
      <w:tabs>
        <w:tab w:val="right" w:leader="dot" w:pos="8544"/>
      </w:tabs>
      <w:spacing w:after="100"/>
    </w:pPr>
  </w:style>
  <w:style w:type="paragraph" w:styleId="TDC2">
    <w:name w:val="toc 2"/>
    <w:basedOn w:val="Normal"/>
    <w:next w:val="Normal"/>
    <w:autoRedefine/>
    <w:uiPriority w:val="39"/>
    <w:unhideWhenUsed/>
    <w:rsid w:val="00DF50BF"/>
    <w:pPr>
      <w:tabs>
        <w:tab w:val="right" w:leader="dot" w:pos="8544"/>
      </w:tabs>
      <w:spacing w:after="100"/>
    </w:pPr>
  </w:style>
  <w:style w:type="paragraph" w:styleId="Textoindependiente">
    <w:name w:val="Body Text"/>
    <w:basedOn w:val="Normal"/>
    <w:link w:val="TextoindependienteCar"/>
    <w:uiPriority w:val="99"/>
    <w:semiHidden/>
    <w:unhideWhenUsed/>
    <w:pPr>
      <w:spacing w:after="120"/>
    </w:pPr>
  </w:style>
  <w:style w:type="character" w:customStyle="1" w:styleId="TextoindependienteCar">
    <w:name w:val="Texto independiente Car"/>
    <w:basedOn w:val="Fuentedeprrafopredeter"/>
    <w:link w:val="Textoindependiente"/>
    <w:uiPriority w:val="99"/>
    <w:semiHidden/>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SinespaciadoCar">
    <w:name w:val="Sin espaciado Car"/>
    <w:basedOn w:val="Fuentedeprrafopredeter"/>
    <w:link w:val="Sinespaciado"/>
    <w:uiPriority w:val="1"/>
  </w:style>
  <w:style w:type="table" w:styleId="Tablaconcuadrcula5oscura-nfasis3">
    <w:name w:val="Grid Table 5 Dark Accent 3"/>
    <w:basedOn w:val="Tablanormal"/>
    <w:uiPriority w:val="50"/>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Pr>
      <w:color w:val="605E5C"/>
      <w:shd w:val="clear" w:color="auto" w:fill="E1DFDD"/>
    </w:r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paragraph" w:styleId="Revisi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44718">
      <w:bodyDiv w:val="1"/>
      <w:marLeft w:val="0"/>
      <w:marRight w:val="0"/>
      <w:marTop w:val="0"/>
      <w:marBottom w:val="0"/>
      <w:divBdr>
        <w:top w:val="none" w:sz="0" w:space="0" w:color="auto"/>
        <w:left w:val="none" w:sz="0" w:space="0" w:color="auto"/>
        <w:bottom w:val="none" w:sz="0" w:space="0" w:color="auto"/>
        <w:right w:val="none" w:sz="0" w:space="0" w:color="auto"/>
      </w:divBdr>
    </w:div>
    <w:div w:id="17199441">
      <w:bodyDiv w:val="1"/>
      <w:marLeft w:val="0"/>
      <w:marRight w:val="0"/>
      <w:marTop w:val="0"/>
      <w:marBottom w:val="0"/>
      <w:divBdr>
        <w:top w:val="none" w:sz="0" w:space="0" w:color="auto"/>
        <w:left w:val="none" w:sz="0" w:space="0" w:color="auto"/>
        <w:bottom w:val="none" w:sz="0" w:space="0" w:color="auto"/>
        <w:right w:val="none" w:sz="0" w:space="0" w:color="auto"/>
      </w:divBdr>
    </w:div>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175921539">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30380440">
      <w:bodyDiv w:val="1"/>
      <w:marLeft w:val="0"/>
      <w:marRight w:val="0"/>
      <w:marTop w:val="0"/>
      <w:marBottom w:val="0"/>
      <w:divBdr>
        <w:top w:val="none" w:sz="0" w:space="0" w:color="auto"/>
        <w:left w:val="none" w:sz="0" w:space="0" w:color="auto"/>
        <w:bottom w:val="none" w:sz="0" w:space="0" w:color="auto"/>
        <w:right w:val="none" w:sz="0" w:space="0" w:color="auto"/>
      </w:divBdr>
    </w:div>
    <w:div w:id="340549774">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466583318">
      <w:bodyDiv w:val="1"/>
      <w:marLeft w:val="0"/>
      <w:marRight w:val="0"/>
      <w:marTop w:val="0"/>
      <w:marBottom w:val="0"/>
      <w:divBdr>
        <w:top w:val="none" w:sz="0" w:space="0" w:color="auto"/>
        <w:left w:val="none" w:sz="0" w:space="0" w:color="auto"/>
        <w:bottom w:val="none" w:sz="0" w:space="0" w:color="auto"/>
        <w:right w:val="none" w:sz="0" w:space="0" w:color="auto"/>
      </w:divBdr>
    </w:div>
    <w:div w:id="540553856">
      <w:bodyDiv w:val="1"/>
      <w:marLeft w:val="0"/>
      <w:marRight w:val="0"/>
      <w:marTop w:val="0"/>
      <w:marBottom w:val="0"/>
      <w:divBdr>
        <w:top w:val="none" w:sz="0" w:space="0" w:color="auto"/>
        <w:left w:val="none" w:sz="0" w:space="0" w:color="auto"/>
        <w:bottom w:val="none" w:sz="0" w:space="0" w:color="auto"/>
        <w:right w:val="none" w:sz="0" w:space="0" w:color="auto"/>
      </w:divBdr>
    </w:div>
    <w:div w:id="549656619">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69751044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802190884">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992294335">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098210631">
      <w:bodyDiv w:val="1"/>
      <w:marLeft w:val="0"/>
      <w:marRight w:val="0"/>
      <w:marTop w:val="0"/>
      <w:marBottom w:val="0"/>
      <w:divBdr>
        <w:top w:val="none" w:sz="0" w:space="0" w:color="auto"/>
        <w:left w:val="none" w:sz="0" w:space="0" w:color="auto"/>
        <w:bottom w:val="none" w:sz="0" w:space="0" w:color="auto"/>
        <w:right w:val="none" w:sz="0" w:space="0" w:color="auto"/>
      </w:divBdr>
    </w:div>
    <w:div w:id="1106467540">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340230298">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567764381">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756633855">
      <w:bodyDiv w:val="1"/>
      <w:marLeft w:val="0"/>
      <w:marRight w:val="0"/>
      <w:marTop w:val="0"/>
      <w:marBottom w:val="0"/>
      <w:divBdr>
        <w:top w:val="none" w:sz="0" w:space="0" w:color="auto"/>
        <w:left w:val="none" w:sz="0" w:space="0" w:color="auto"/>
        <w:bottom w:val="none" w:sz="0" w:space="0" w:color="auto"/>
        <w:right w:val="none" w:sz="0" w:space="0" w:color="auto"/>
      </w:divBdr>
    </w:div>
    <w:div w:id="1794707522">
      <w:bodyDiv w:val="1"/>
      <w:marLeft w:val="0"/>
      <w:marRight w:val="0"/>
      <w:marTop w:val="0"/>
      <w:marBottom w:val="0"/>
      <w:divBdr>
        <w:top w:val="none" w:sz="0" w:space="0" w:color="auto"/>
        <w:left w:val="none" w:sz="0" w:space="0" w:color="auto"/>
        <w:bottom w:val="none" w:sz="0" w:space="0" w:color="auto"/>
        <w:right w:val="none" w:sz="0" w:space="0" w:color="auto"/>
      </w:divBdr>
    </w:div>
    <w:div w:id="1826119625">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1946501617">
      <w:bodyDiv w:val="1"/>
      <w:marLeft w:val="0"/>
      <w:marRight w:val="0"/>
      <w:marTop w:val="0"/>
      <w:marBottom w:val="0"/>
      <w:divBdr>
        <w:top w:val="none" w:sz="0" w:space="0" w:color="auto"/>
        <w:left w:val="none" w:sz="0" w:space="0" w:color="auto"/>
        <w:bottom w:val="none" w:sz="0" w:space="0" w:color="auto"/>
        <w:right w:val="none" w:sz="0" w:space="0" w:color="auto"/>
      </w:divBdr>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80ad6b9e4196c8d7f5a7d4ce469de929">
  <xsd:schema xmlns:xsd="http://www.w3.org/2001/XMLSchema" xmlns:xs="http://www.w3.org/2001/XMLSchema" xmlns:p="http://schemas.microsoft.com/office/2006/metadata/properties" xmlns:ns2="6d3da5a9-855d-4ba1-80f5-cf1644f7a7a6" targetNamespace="http://schemas.microsoft.com/office/2006/metadata/properties" ma:root="true" ma:fieldsID="09559b37e72fc33d0bb5a3c4b80bcd5e"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EB9117-ABCA-4CF9-B7A3-DB3B60D62B4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01EC24D-0B57-4D07-839B-E2208FFBBBD8}">
  <ds:schemaRefs>
    <ds:schemaRef ds:uri="http://schemas.microsoft.com/sharepoint/v3/contenttype/forms"/>
  </ds:schemaRefs>
</ds:datastoreItem>
</file>

<file path=customXml/itemProps3.xml><?xml version="1.0" encoding="utf-8"?>
<ds:datastoreItem xmlns:ds="http://schemas.openxmlformats.org/officeDocument/2006/customXml" ds:itemID="{32B1CF4C-7B7C-4247-9C00-90E1EB8C40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CCF113-70E9-456F-96F2-8389823E5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7821</Words>
  <Characters>42471</Characters>
  <Application>Microsoft Office Word</Application>
  <DocSecurity>0</DocSecurity>
  <Lines>832</Lines>
  <Paragraphs>267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Yepez Carranza</dc:creator>
  <cp:keywords/>
  <dc:description/>
  <cp:lastModifiedBy>JESÚS RENATO GARCÍA RIVERA</cp:lastModifiedBy>
  <cp:revision>4</cp:revision>
  <cp:lastPrinted>2025-10-30T21:59:00Z</cp:lastPrinted>
  <dcterms:created xsi:type="dcterms:W3CDTF">2025-10-30T21:59:00Z</dcterms:created>
  <dcterms:modified xsi:type="dcterms:W3CDTF">2025-10-30T21:59:00Z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