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679A96" w14:textId="77777777" w:rsidR="00CD5A9E" w:rsidRDefault="00CD5A9E">
      <w:pPr>
        <w:widowControl w:val="0"/>
        <w:pBdr>
          <w:top w:val="nil"/>
          <w:left w:val="nil"/>
          <w:bottom w:val="nil"/>
          <w:right w:val="nil"/>
          <w:between w:val="nil"/>
        </w:pBdr>
        <w:spacing w:line="276" w:lineRule="auto"/>
        <w:rPr>
          <w:vertAlign w:val="superscript"/>
        </w:rPr>
      </w:pPr>
    </w:p>
    <w:tbl>
      <w:tblPr>
        <w:tblStyle w:val="a"/>
        <w:tblpPr w:leftFromText="141" w:rightFromText="141" w:vertAnchor="page" w:horzAnchor="margin" w:tblpXSpec="right" w:tblpY="1763"/>
        <w:tblW w:w="4458" w:type="dxa"/>
        <w:tblInd w:w="0" w:type="dxa"/>
        <w:tblLayout w:type="fixed"/>
        <w:tblLook w:val="0000" w:firstRow="0" w:lastRow="0" w:firstColumn="0" w:lastColumn="0" w:noHBand="0" w:noVBand="0"/>
      </w:tblPr>
      <w:tblGrid>
        <w:gridCol w:w="4458"/>
      </w:tblGrid>
      <w:tr w:rsidR="00CD5A9E" w:rsidRPr="0054090D" w14:paraId="1490A58A" w14:textId="77777777">
        <w:trPr>
          <w:trHeight w:val="5381"/>
        </w:trPr>
        <w:tc>
          <w:tcPr>
            <w:tcW w:w="4458" w:type="dxa"/>
          </w:tcPr>
          <w:p w14:paraId="00A2649B" w14:textId="77777777" w:rsidR="00CD5A9E" w:rsidRPr="0054090D" w:rsidRDefault="00B76B80">
            <w:pPr>
              <w:spacing w:before="240" w:after="240"/>
              <w:jc w:val="center"/>
              <w:rPr>
                <w:rFonts w:ascii="Arial" w:eastAsia="Arial" w:hAnsi="Arial" w:cs="Arial"/>
              </w:rPr>
            </w:pPr>
            <w:bookmarkStart w:id="0" w:name="_yynisw5yu7z3" w:colFirst="0" w:colLast="0"/>
            <w:bookmarkEnd w:id="0"/>
            <w:r w:rsidRPr="0054090D">
              <w:rPr>
                <w:rFonts w:ascii="Arial" w:eastAsia="Arial" w:hAnsi="Arial" w:cs="Arial"/>
                <w:b/>
              </w:rPr>
              <w:t>ACUERDO PLENARIO DE CUMPLIMIENTO</w:t>
            </w:r>
          </w:p>
          <w:p w14:paraId="70FA4860" w14:textId="77777777" w:rsidR="00CD5A9E" w:rsidRPr="0054090D" w:rsidRDefault="00B76B80">
            <w:pPr>
              <w:jc w:val="both"/>
              <w:rPr>
                <w:rFonts w:ascii="Arial" w:eastAsia="Arial" w:hAnsi="Arial" w:cs="Arial"/>
              </w:rPr>
            </w:pPr>
            <w:r w:rsidRPr="0054090D">
              <w:rPr>
                <w:rFonts w:ascii="Arial" w:eastAsia="Arial" w:hAnsi="Arial" w:cs="Arial"/>
                <w:b/>
              </w:rPr>
              <w:t>EXPEDIENTES:</w:t>
            </w:r>
            <w:r w:rsidRPr="0054090D">
              <w:rPr>
                <w:rFonts w:ascii="Arial" w:eastAsia="Arial" w:hAnsi="Arial" w:cs="Arial"/>
              </w:rPr>
              <w:t xml:space="preserve"> TEEM-JDC-205/2025 Y TEEM-JDC-206/2025 ACUMULADOS</w:t>
            </w:r>
          </w:p>
          <w:p w14:paraId="4CB78250" w14:textId="77777777" w:rsidR="00CD5A9E" w:rsidRPr="0054090D" w:rsidRDefault="00CD5A9E">
            <w:pPr>
              <w:jc w:val="both"/>
              <w:rPr>
                <w:rFonts w:ascii="Arial" w:eastAsia="Arial" w:hAnsi="Arial" w:cs="Arial"/>
              </w:rPr>
            </w:pPr>
          </w:p>
          <w:p w14:paraId="370F0A9C" w14:textId="77777777" w:rsidR="00CD5A9E" w:rsidRPr="0054090D" w:rsidRDefault="00B76B80">
            <w:pPr>
              <w:jc w:val="both"/>
              <w:rPr>
                <w:rFonts w:ascii="Arial" w:eastAsia="Arial" w:hAnsi="Arial" w:cs="Arial"/>
              </w:rPr>
            </w:pPr>
            <w:bookmarkStart w:id="1" w:name="_n6xqxsz9fne" w:colFirst="0" w:colLast="0"/>
            <w:bookmarkEnd w:id="1"/>
            <w:r w:rsidRPr="0054090D">
              <w:rPr>
                <w:rFonts w:ascii="Arial" w:eastAsia="Arial" w:hAnsi="Arial" w:cs="Arial"/>
                <w:b/>
              </w:rPr>
              <w:t xml:space="preserve">PARTE ACTORA: </w:t>
            </w:r>
            <w:r w:rsidRPr="0054090D">
              <w:rPr>
                <w:rFonts w:ascii="Arial" w:eastAsia="Arial" w:hAnsi="Arial" w:cs="Arial"/>
              </w:rPr>
              <w:t>VICENTE MANUEL GARCÍA PAULÍN E IRMA VILLAGÓMEZ CARBAJAL</w:t>
            </w:r>
          </w:p>
          <w:p w14:paraId="5716CA74" w14:textId="77777777" w:rsidR="00CD5A9E" w:rsidRPr="0054090D" w:rsidRDefault="00CD5A9E">
            <w:pPr>
              <w:jc w:val="both"/>
              <w:rPr>
                <w:rFonts w:ascii="Arial" w:eastAsia="Arial" w:hAnsi="Arial" w:cs="Arial"/>
              </w:rPr>
            </w:pPr>
          </w:p>
          <w:p w14:paraId="20619E6E" w14:textId="77777777" w:rsidR="00CD5A9E" w:rsidRPr="0054090D" w:rsidRDefault="00B76B80">
            <w:pPr>
              <w:jc w:val="both"/>
              <w:rPr>
                <w:rFonts w:ascii="Arial" w:eastAsia="Arial" w:hAnsi="Arial" w:cs="Arial"/>
              </w:rPr>
            </w:pPr>
            <w:r w:rsidRPr="0054090D">
              <w:rPr>
                <w:rFonts w:ascii="Arial" w:eastAsia="Arial" w:hAnsi="Arial" w:cs="Arial"/>
                <w:b/>
              </w:rPr>
              <w:t>AUTORIDADES RESPONSABLES:</w:t>
            </w:r>
            <w:r w:rsidRPr="0054090D">
              <w:rPr>
                <w:rFonts w:ascii="Arial" w:eastAsia="Arial" w:hAnsi="Arial" w:cs="Arial"/>
              </w:rPr>
              <w:t xml:space="preserve"> COORDINACIÓN NACIONAL DE AFILIACIÓN Y REGISTRO PARTIDARIO DEL COMITÉ EJECUTIVO NACIONAL DEL PARTIDO REVOLUCIONARIO INSTITUCIONAL Y OTRA</w:t>
            </w:r>
          </w:p>
          <w:p w14:paraId="5C07B714" w14:textId="77777777" w:rsidR="00CD5A9E" w:rsidRPr="0054090D" w:rsidRDefault="00CD5A9E">
            <w:pPr>
              <w:jc w:val="both"/>
              <w:rPr>
                <w:rFonts w:ascii="Arial" w:eastAsia="Arial" w:hAnsi="Arial" w:cs="Arial"/>
              </w:rPr>
            </w:pPr>
          </w:p>
          <w:p w14:paraId="2F07614B" w14:textId="77777777" w:rsidR="00CD5A9E" w:rsidRPr="0054090D" w:rsidRDefault="00B76B80">
            <w:pPr>
              <w:jc w:val="both"/>
              <w:rPr>
                <w:rFonts w:ascii="Arial" w:eastAsia="Arial" w:hAnsi="Arial" w:cs="Arial"/>
              </w:rPr>
            </w:pPr>
            <w:r w:rsidRPr="0054090D">
              <w:rPr>
                <w:rFonts w:ascii="Arial" w:eastAsia="Arial" w:hAnsi="Arial" w:cs="Arial"/>
                <w:b/>
              </w:rPr>
              <w:t>MAGISTRADA INSTRUCTORA:</w:t>
            </w:r>
            <w:r w:rsidRPr="0054090D">
              <w:rPr>
                <w:rFonts w:ascii="Arial" w:eastAsia="Arial" w:hAnsi="Arial" w:cs="Arial"/>
              </w:rPr>
              <w:t xml:space="preserve"> YURISHA ANDRADE MORALES</w:t>
            </w:r>
          </w:p>
          <w:p w14:paraId="492C4AB8" w14:textId="77777777" w:rsidR="00CD5A9E" w:rsidRPr="0054090D" w:rsidRDefault="00CD5A9E">
            <w:pPr>
              <w:jc w:val="both"/>
              <w:rPr>
                <w:rFonts w:ascii="Arial" w:eastAsia="Arial" w:hAnsi="Arial" w:cs="Arial"/>
              </w:rPr>
            </w:pPr>
          </w:p>
          <w:p w14:paraId="433B51D4" w14:textId="77777777" w:rsidR="00CD5A9E" w:rsidRPr="0054090D" w:rsidRDefault="00B76B80">
            <w:pPr>
              <w:jc w:val="both"/>
              <w:rPr>
                <w:rFonts w:ascii="Arial" w:eastAsia="Arial" w:hAnsi="Arial" w:cs="Arial"/>
              </w:rPr>
            </w:pPr>
            <w:r w:rsidRPr="0054090D">
              <w:rPr>
                <w:rFonts w:ascii="Arial" w:eastAsia="Arial" w:hAnsi="Arial" w:cs="Arial"/>
                <w:b/>
              </w:rPr>
              <w:t xml:space="preserve">SECRETARIO INSTRUCTOR Y PROYECTISTA: </w:t>
            </w:r>
            <w:r w:rsidRPr="0054090D">
              <w:rPr>
                <w:rFonts w:ascii="Arial" w:eastAsia="Arial" w:hAnsi="Arial" w:cs="Arial"/>
              </w:rPr>
              <w:t>OSCAR MANUEL REGALADO ARROYO</w:t>
            </w:r>
          </w:p>
          <w:p w14:paraId="55BF1BD0" w14:textId="77777777" w:rsidR="00CD5A9E" w:rsidRPr="0054090D" w:rsidRDefault="00CD5A9E">
            <w:pPr>
              <w:jc w:val="both"/>
              <w:rPr>
                <w:rFonts w:ascii="Arial" w:eastAsia="Arial" w:hAnsi="Arial" w:cs="Arial"/>
              </w:rPr>
            </w:pPr>
          </w:p>
          <w:p w14:paraId="1F9AE6B0" w14:textId="77777777" w:rsidR="00CD5A9E" w:rsidRPr="0054090D" w:rsidRDefault="00B76B80">
            <w:pPr>
              <w:jc w:val="both"/>
              <w:rPr>
                <w:rFonts w:ascii="Arial" w:eastAsia="Arial" w:hAnsi="Arial" w:cs="Arial"/>
              </w:rPr>
            </w:pPr>
            <w:r w:rsidRPr="0054090D">
              <w:rPr>
                <w:rFonts w:ascii="Arial" w:eastAsia="Arial" w:hAnsi="Arial" w:cs="Arial"/>
                <w:b/>
              </w:rPr>
              <w:t xml:space="preserve">COLABORÓ: </w:t>
            </w:r>
            <w:r w:rsidRPr="0054090D">
              <w:rPr>
                <w:rFonts w:ascii="Arial" w:eastAsia="Arial" w:hAnsi="Arial" w:cs="Arial"/>
              </w:rPr>
              <w:t>ADILENE ALMANZA PALOMARES</w:t>
            </w:r>
          </w:p>
        </w:tc>
      </w:tr>
    </w:tbl>
    <w:p w14:paraId="0C2B4A12" w14:textId="77777777" w:rsidR="00CD5A9E" w:rsidRPr="0054090D" w:rsidRDefault="00CD5A9E">
      <w:pPr>
        <w:spacing w:before="240"/>
        <w:jc w:val="both"/>
        <w:rPr>
          <w:rFonts w:ascii="Arial" w:eastAsia="Arial" w:hAnsi="Arial" w:cs="Arial"/>
          <w:sz w:val="26"/>
          <w:szCs w:val="26"/>
        </w:rPr>
      </w:pPr>
    </w:p>
    <w:p w14:paraId="73C54B16" w14:textId="77777777" w:rsidR="00CD5A9E" w:rsidRPr="0054090D" w:rsidRDefault="00CD5A9E">
      <w:pPr>
        <w:jc w:val="both"/>
        <w:rPr>
          <w:rFonts w:ascii="Arial" w:eastAsia="Arial" w:hAnsi="Arial" w:cs="Arial"/>
          <w:sz w:val="26"/>
          <w:szCs w:val="26"/>
        </w:rPr>
      </w:pPr>
    </w:p>
    <w:p w14:paraId="72DE6DD2" w14:textId="77777777" w:rsidR="00CD5A9E" w:rsidRPr="0054090D" w:rsidRDefault="00CD5A9E">
      <w:pPr>
        <w:spacing w:line="360" w:lineRule="auto"/>
        <w:jc w:val="right"/>
        <w:rPr>
          <w:rFonts w:ascii="Arial" w:eastAsia="Arial" w:hAnsi="Arial" w:cs="Arial"/>
          <w:sz w:val="26"/>
          <w:szCs w:val="26"/>
        </w:rPr>
      </w:pPr>
    </w:p>
    <w:p w14:paraId="5A28019B" w14:textId="77777777" w:rsidR="00CD5A9E" w:rsidRPr="0054090D" w:rsidRDefault="00CD5A9E">
      <w:pPr>
        <w:spacing w:line="360" w:lineRule="auto"/>
        <w:jc w:val="right"/>
        <w:rPr>
          <w:rFonts w:ascii="Arial" w:eastAsia="Arial" w:hAnsi="Arial" w:cs="Arial"/>
          <w:sz w:val="26"/>
          <w:szCs w:val="26"/>
        </w:rPr>
      </w:pPr>
    </w:p>
    <w:p w14:paraId="4BD27BF0" w14:textId="77777777" w:rsidR="00CD5A9E" w:rsidRPr="0054090D" w:rsidRDefault="00CD5A9E">
      <w:pPr>
        <w:spacing w:line="360" w:lineRule="auto"/>
        <w:jc w:val="right"/>
        <w:rPr>
          <w:rFonts w:ascii="Arial" w:eastAsia="Arial" w:hAnsi="Arial" w:cs="Arial"/>
          <w:sz w:val="26"/>
          <w:szCs w:val="26"/>
        </w:rPr>
      </w:pPr>
    </w:p>
    <w:p w14:paraId="64E97DDA" w14:textId="77777777" w:rsidR="00CD5A9E" w:rsidRPr="0054090D" w:rsidRDefault="00CD5A9E">
      <w:pPr>
        <w:spacing w:line="360" w:lineRule="auto"/>
        <w:jc w:val="right"/>
        <w:rPr>
          <w:rFonts w:ascii="Arial" w:eastAsia="Arial" w:hAnsi="Arial" w:cs="Arial"/>
          <w:sz w:val="26"/>
          <w:szCs w:val="26"/>
        </w:rPr>
      </w:pPr>
    </w:p>
    <w:p w14:paraId="6C8E01F6" w14:textId="77777777" w:rsidR="00CD5A9E" w:rsidRPr="0054090D" w:rsidRDefault="00CD5A9E">
      <w:pPr>
        <w:spacing w:line="360" w:lineRule="auto"/>
        <w:jc w:val="right"/>
        <w:rPr>
          <w:rFonts w:ascii="Arial" w:eastAsia="Arial" w:hAnsi="Arial" w:cs="Arial"/>
          <w:sz w:val="26"/>
          <w:szCs w:val="26"/>
        </w:rPr>
      </w:pPr>
    </w:p>
    <w:p w14:paraId="1EEE3E8B" w14:textId="77777777" w:rsidR="00CD5A9E" w:rsidRPr="0054090D" w:rsidRDefault="00CD5A9E">
      <w:pPr>
        <w:spacing w:line="360" w:lineRule="auto"/>
        <w:jc w:val="right"/>
        <w:rPr>
          <w:rFonts w:ascii="Arial" w:eastAsia="Arial" w:hAnsi="Arial" w:cs="Arial"/>
          <w:sz w:val="26"/>
          <w:szCs w:val="26"/>
        </w:rPr>
      </w:pPr>
    </w:p>
    <w:p w14:paraId="34E21DDC" w14:textId="77777777" w:rsidR="00CD5A9E" w:rsidRPr="0054090D" w:rsidRDefault="00CD5A9E">
      <w:pPr>
        <w:spacing w:line="360" w:lineRule="auto"/>
        <w:jc w:val="right"/>
        <w:rPr>
          <w:rFonts w:ascii="Arial" w:eastAsia="Arial" w:hAnsi="Arial" w:cs="Arial"/>
          <w:sz w:val="26"/>
          <w:szCs w:val="26"/>
        </w:rPr>
      </w:pPr>
    </w:p>
    <w:p w14:paraId="61A03FB6" w14:textId="77777777" w:rsidR="00CD5A9E" w:rsidRPr="0054090D" w:rsidRDefault="00CD5A9E">
      <w:pPr>
        <w:spacing w:line="360" w:lineRule="auto"/>
        <w:jc w:val="right"/>
        <w:rPr>
          <w:rFonts w:ascii="Arial" w:eastAsia="Arial" w:hAnsi="Arial" w:cs="Arial"/>
          <w:sz w:val="26"/>
          <w:szCs w:val="26"/>
        </w:rPr>
      </w:pPr>
    </w:p>
    <w:p w14:paraId="5BB90B32" w14:textId="77777777" w:rsidR="00CD5A9E" w:rsidRPr="0054090D" w:rsidRDefault="00CD5A9E">
      <w:pPr>
        <w:spacing w:line="360" w:lineRule="auto"/>
        <w:jc w:val="right"/>
        <w:rPr>
          <w:rFonts w:ascii="Arial" w:eastAsia="Arial" w:hAnsi="Arial" w:cs="Arial"/>
          <w:sz w:val="26"/>
          <w:szCs w:val="26"/>
        </w:rPr>
      </w:pPr>
    </w:p>
    <w:p w14:paraId="64EF7473" w14:textId="77777777" w:rsidR="00CD5A9E" w:rsidRPr="0054090D" w:rsidRDefault="00CD5A9E">
      <w:pPr>
        <w:spacing w:line="360" w:lineRule="auto"/>
        <w:jc w:val="right"/>
        <w:rPr>
          <w:rFonts w:ascii="Arial" w:eastAsia="Arial" w:hAnsi="Arial" w:cs="Arial"/>
          <w:sz w:val="26"/>
          <w:szCs w:val="26"/>
        </w:rPr>
      </w:pPr>
    </w:p>
    <w:p w14:paraId="51534036" w14:textId="77777777" w:rsidR="00CD5A9E" w:rsidRPr="0054090D" w:rsidRDefault="00CD5A9E">
      <w:pPr>
        <w:spacing w:line="360" w:lineRule="auto"/>
        <w:jc w:val="right"/>
        <w:rPr>
          <w:rFonts w:ascii="Arial" w:eastAsia="Arial" w:hAnsi="Arial" w:cs="Arial"/>
          <w:sz w:val="26"/>
          <w:szCs w:val="26"/>
        </w:rPr>
      </w:pPr>
    </w:p>
    <w:p w14:paraId="01D328B2" w14:textId="77777777" w:rsidR="00CD5A9E" w:rsidRPr="0054090D" w:rsidRDefault="00CD5A9E">
      <w:pPr>
        <w:spacing w:line="360" w:lineRule="auto"/>
        <w:jc w:val="right"/>
        <w:rPr>
          <w:rFonts w:ascii="Arial" w:eastAsia="Arial" w:hAnsi="Arial" w:cs="Arial"/>
          <w:sz w:val="26"/>
          <w:szCs w:val="26"/>
        </w:rPr>
      </w:pPr>
    </w:p>
    <w:p w14:paraId="1CCCD64F" w14:textId="77777777" w:rsidR="00CD5A9E" w:rsidRPr="0054090D" w:rsidRDefault="00CD5A9E">
      <w:pPr>
        <w:spacing w:line="360" w:lineRule="auto"/>
        <w:jc w:val="right"/>
        <w:rPr>
          <w:rFonts w:ascii="Arial" w:eastAsia="Arial" w:hAnsi="Arial" w:cs="Arial"/>
          <w:sz w:val="26"/>
          <w:szCs w:val="26"/>
        </w:rPr>
      </w:pPr>
    </w:p>
    <w:p w14:paraId="79465D87" w14:textId="77777777" w:rsidR="00CD5A9E" w:rsidRPr="0054090D" w:rsidRDefault="00CD5A9E">
      <w:pPr>
        <w:spacing w:line="360" w:lineRule="auto"/>
        <w:jc w:val="right"/>
        <w:rPr>
          <w:rFonts w:ascii="Arial" w:eastAsia="Arial" w:hAnsi="Arial" w:cs="Arial"/>
          <w:sz w:val="26"/>
          <w:szCs w:val="26"/>
        </w:rPr>
      </w:pPr>
    </w:p>
    <w:p w14:paraId="1B7F0A2B" w14:textId="77777777" w:rsidR="00CD5A9E" w:rsidRPr="0054090D" w:rsidRDefault="00CD5A9E">
      <w:pPr>
        <w:tabs>
          <w:tab w:val="left" w:pos="5835"/>
        </w:tabs>
        <w:spacing w:line="360" w:lineRule="auto"/>
        <w:rPr>
          <w:rFonts w:ascii="Arial" w:eastAsia="Arial" w:hAnsi="Arial" w:cs="Arial"/>
        </w:rPr>
      </w:pPr>
    </w:p>
    <w:p w14:paraId="73B5CC7D" w14:textId="77777777" w:rsidR="00CD5A9E" w:rsidRPr="0054090D" w:rsidRDefault="00CD5A9E">
      <w:pPr>
        <w:spacing w:line="360" w:lineRule="auto"/>
        <w:jc w:val="right"/>
        <w:rPr>
          <w:rFonts w:ascii="Arial" w:eastAsia="Arial" w:hAnsi="Arial" w:cs="Arial"/>
        </w:rPr>
      </w:pPr>
    </w:p>
    <w:p w14:paraId="2072D272" w14:textId="77777777" w:rsidR="00CD5A9E" w:rsidRPr="0054090D" w:rsidRDefault="00CD5A9E">
      <w:pPr>
        <w:spacing w:line="360" w:lineRule="auto"/>
        <w:jc w:val="right"/>
        <w:rPr>
          <w:rFonts w:ascii="Arial" w:eastAsia="Arial" w:hAnsi="Arial" w:cs="Arial"/>
        </w:rPr>
      </w:pPr>
    </w:p>
    <w:p w14:paraId="70001CC7" w14:textId="1BA40765" w:rsidR="00CD5A9E" w:rsidRPr="0054090D" w:rsidRDefault="00B76B80">
      <w:pPr>
        <w:spacing w:line="360" w:lineRule="auto"/>
        <w:jc w:val="right"/>
        <w:rPr>
          <w:rFonts w:ascii="Arial" w:eastAsia="Arial" w:hAnsi="Arial" w:cs="Arial"/>
        </w:rPr>
      </w:pPr>
      <w:r w:rsidRPr="0054090D">
        <w:rPr>
          <w:rFonts w:ascii="Arial" w:eastAsia="Arial" w:hAnsi="Arial" w:cs="Arial"/>
        </w:rPr>
        <w:t xml:space="preserve">Morelia, Michoacán a </w:t>
      </w:r>
      <w:r w:rsidR="0054090D" w:rsidRPr="0054090D">
        <w:rPr>
          <w:rFonts w:ascii="Arial" w:eastAsia="Arial" w:hAnsi="Arial" w:cs="Arial"/>
        </w:rPr>
        <w:t>dieciséis</w:t>
      </w:r>
      <w:r w:rsidRPr="0054090D">
        <w:rPr>
          <w:rFonts w:ascii="Arial" w:eastAsia="Arial" w:hAnsi="Arial" w:cs="Arial"/>
        </w:rPr>
        <w:t xml:space="preserve"> de octubre de dos mil veinticinco.</w:t>
      </w:r>
      <w:r w:rsidRPr="0054090D">
        <w:rPr>
          <w:rFonts w:ascii="Arial" w:eastAsia="Arial" w:hAnsi="Arial" w:cs="Arial"/>
          <w:vertAlign w:val="superscript"/>
        </w:rPr>
        <w:footnoteReference w:id="1"/>
      </w:r>
    </w:p>
    <w:p w14:paraId="4F5CF56E" w14:textId="77777777" w:rsidR="00CD5A9E" w:rsidRPr="0054090D" w:rsidRDefault="00CD5A9E">
      <w:pPr>
        <w:spacing w:line="360" w:lineRule="auto"/>
        <w:jc w:val="right"/>
        <w:rPr>
          <w:rFonts w:ascii="Arial" w:eastAsia="Arial" w:hAnsi="Arial" w:cs="Arial"/>
        </w:rPr>
      </w:pPr>
    </w:p>
    <w:p w14:paraId="3C404F9B" w14:textId="77777777" w:rsidR="00CD5A9E" w:rsidRPr="0054090D" w:rsidRDefault="00B76B80">
      <w:pPr>
        <w:spacing w:line="360" w:lineRule="auto"/>
        <w:jc w:val="both"/>
        <w:rPr>
          <w:rFonts w:ascii="Arial" w:eastAsia="Arial" w:hAnsi="Arial" w:cs="Arial"/>
        </w:rPr>
      </w:pPr>
      <w:r w:rsidRPr="0054090D">
        <w:rPr>
          <w:rFonts w:ascii="Arial" w:eastAsia="Arial" w:hAnsi="Arial" w:cs="Arial"/>
          <w:b/>
        </w:rPr>
        <w:t xml:space="preserve">Acuerdo plenario </w:t>
      </w:r>
      <w:r w:rsidRPr="0054090D">
        <w:rPr>
          <w:rFonts w:ascii="Arial" w:eastAsia="Arial" w:hAnsi="Arial" w:cs="Arial"/>
        </w:rPr>
        <w:t xml:space="preserve">que declara el </w:t>
      </w:r>
      <w:r w:rsidRPr="0054090D">
        <w:rPr>
          <w:rFonts w:ascii="Arial" w:eastAsia="Arial" w:hAnsi="Arial" w:cs="Arial"/>
          <w:b/>
        </w:rPr>
        <w:t>cumplimiento</w:t>
      </w:r>
      <w:r w:rsidRPr="0054090D">
        <w:rPr>
          <w:rFonts w:ascii="Arial" w:eastAsia="Arial" w:hAnsi="Arial" w:cs="Arial"/>
        </w:rPr>
        <w:t xml:space="preserve"> a lo ordenado en la sentencia de seis de agosto,</w:t>
      </w:r>
      <w:r w:rsidRPr="0054090D">
        <w:rPr>
          <w:rFonts w:ascii="Arial" w:eastAsia="Arial" w:hAnsi="Arial" w:cs="Arial"/>
          <w:vertAlign w:val="superscript"/>
        </w:rPr>
        <w:footnoteReference w:id="2"/>
      </w:r>
      <w:r w:rsidRPr="0054090D">
        <w:rPr>
          <w:rFonts w:ascii="Arial" w:eastAsia="Arial" w:hAnsi="Arial" w:cs="Arial"/>
        </w:rPr>
        <w:t xml:space="preserve"> dictada por el Pleno de este Tribunal Electoral en los Juicios para la Protección de los Derechos Político-Electorales del Ciudadano,</w:t>
      </w:r>
      <w:r w:rsidRPr="0054090D">
        <w:rPr>
          <w:rFonts w:ascii="Arial" w:eastAsia="Arial" w:hAnsi="Arial" w:cs="Arial"/>
          <w:vertAlign w:val="superscript"/>
        </w:rPr>
        <w:footnoteReference w:id="3"/>
      </w:r>
      <w:r w:rsidRPr="0054090D">
        <w:rPr>
          <w:rFonts w:ascii="Arial" w:eastAsia="Arial" w:hAnsi="Arial" w:cs="Arial"/>
        </w:rPr>
        <w:t xml:space="preserve"> identificados al rubro, de conformidad con las siguientes consideraciones.</w:t>
      </w:r>
    </w:p>
    <w:p w14:paraId="0A3AD490" w14:textId="77777777" w:rsidR="00CD5A9E" w:rsidRPr="0054090D" w:rsidRDefault="00CD5A9E">
      <w:pPr>
        <w:spacing w:line="360" w:lineRule="auto"/>
        <w:jc w:val="both"/>
        <w:rPr>
          <w:rFonts w:ascii="Arial" w:eastAsia="Arial" w:hAnsi="Arial" w:cs="Arial"/>
        </w:rPr>
      </w:pPr>
    </w:p>
    <w:p w14:paraId="0DF95755" w14:textId="77777777" w:rsidR="00CD5A9E" w:rsidRPr="0054090D" w:rsidRDefault="00B76B80">
      <w:pPr>
        <w:spacing w:line="360" w:lineRule="auto"/>
        <w:ind w:right="-6"/>
        <w:jc w:val="center"/>
        <w:rPr>
          <w:rFonts w:ascii="Arial" w:eastAsia="Arial" w:hAnsi="Arial" w:cs="Arial"/>
        </w:rPr>
      </w:pPr>
      <w:r w:rsidRPr="0054090D">
        <w:rPr>
          <w:rFonts w:ascii="Arial" w:eastAsia="Arial" w:hAnsi="Arial" w:cs="Arial"/>
          <w:b/>
        </w:rPr>
        <w:t>I. ANTECEDENTES</w:t>
      </w:r>
    </w:p>
    <w:p w14:paraId="31980224" w14:textId="77777777" w:rsidR="00CD5A9E" w:rsidRPr="0054090D" w:rsidRDefault="00CD5A9E">
      <w:pPr>
        <w:spacing w:line="360" w:lineRule="auto"/>
        <w:rPr>
          <w:rFonts w:ascii="Arial" w:eastAsia="Arial" w:hAnsi="Arial" w:cs="Arial"/>
        </w:rPr>
      </w:pPr>
      <w:bookmarkStart w:id="2" w:name="_ew2gr28lsr8i" w:colFirst="0" w:colLast="0"/>
      <w:bookmarkEnd w:id="2"/>
    </w:p>
    <w:p w14:paraId="2F96E3A4" w14:textId="77777777" w:rsidR="00CD5A9E" w:rsidRPr="0054090D" w:rsidRDefault="00B76B80">
      <w:pPr>
        <w:tabs>
          <w:tab w:val="left" w:pos="284"/>
        </w:tabs>
        <w:spacing w:line="360" w:lineRule="auto"/>
        <w:jc w:val="both"/>
        <w:rPr>
          <w:rFonts w:ascii="Arial" w:eastAsia="Arial" w:hAnsi="Arial" w:cs="Arial"/>
        </w:rPr>
      </w:pPr>
      <w:r w:rsidRPr="0054090D">
        <w:rPr>
          <w:rFonts w:ascii="Arial" w:eastAsia="Arial" w:hAnsi="Arial" w:cs="Arial"/>
          <w:b/>
        </w:rPr>
        <w:t xml:space="preserve">1. </w:t>
      </w:r>
      <w:r w:rsidRPr="0054090D">
        <w:rPr>
          <w:rFonts w:ascii="Arial" w:eastAsia="Arial" w:hAnsi="Arial" w:cs="Arial"/>
          <w:b/>
          <w:i/>
        </w:rPr>
        <w:t>Sentencia.</w:t>
      </w:r>
      <w:r w:rsidRPr="0054090D">
        <w:rPr>
          <w:rFonts w:ascii="Arial" w:eastAsia="Arial" w:hAnsi="Arial" w:cs="Arial"/>
        </w:rPr>
        <w:t xml:space="preserve"> El seis de agosto, el Pleno de este Tribunal Electoral dictó sentencia</w:t>
      </w:r>
      <w:r w:rsidRPr="0054090D">
        <w:rPr>
          <w:rFonts w:ascii="Arial" w:eastAsia="Arial" w:hAnsi="Arial" w:cs="Arial"/>
          <w:vertAlign w:val="superscript"/>
        </w:rPr>
        <w:footnoteReference w:id="4"/>
      </w:r>
      <w:r w:rsidRPr="0054090D">
        <w:rPr>
          <w:rFonts w:ascii="Arial" w:eastAsia="Arial" w:hAnsi="Arial" w:cs="Arial"/>
        </w:rPr>
        <w:t xml:space="preserve"> dentro de los </w:t>
      </w:r>
      <w:r w:rsidRPr="0054090D">
        <w:rPr>
          <w:rFonts w:ascii="Arial" w:eastAsia="Arial" w:hAnsi="Arial" w:cs="Arial"/>
          <w:i/>
        </w:rPr>
        <w:t>Juicios Ciudadanos</w:t>
      </w:r>
      <w:r w:rsidRPr="0054090D">
        <w:rPr>
          <w:rFonts w:ascii="Arial" w:eastAsia="Arial" w:hAnsi="Arial" w:cs="Arial"/>
        </w:rPr>
        <w:t xml:space="preserve"> en cita, en la que se determinó remitir a la</w:t>
      </w:r>
      <w:r w:rsidRPr="0054090D">
        <w:rPr>
          <w:rFonts w:ascii="Arial" w:eastAsia="Arial" w:hAnsi="Arial" w:cs="Arial"/>
          <w:i/>
        </w:rPr>
        <w:t xml:space="preserve"> </w:t>
      </w:r>
      <w:r w:rsidRPr="0054090D">
        <w:rPr>
          <w:rFonts w:ascii="Arial" w:eastAsia="Arial" w:hAnsi="Arial" w:cs="Arial"/>
        </w:rPr>
        <w:t>Comisión Estatal de Justicia Partidaria del Partido Revolucionario Institucional</w:t>
      </w:r>
      <w:r w:rsidRPr="0054090D">
        <w:rPr>
          <w:rFonts w:ascii="Arial" w:eastAsia="Arial" w:hAnsi="Arial" w:cs="Arial"/>
          <w:vertAlign w:val="superscript"/>
        </w:rPr>
        <w:footnoteReference w:id="5"/>
      </w:r>
      <w:r w:rsidRPr="0054090D">
        <w:rPr>
          <w:rFonts w:ascii="Arial" w:eastAsia="Arial" w:hAnsi="Arial" w:cs="Arial"/>
        </w:rPr>
        <w:t xml:space="preserve"> en </w:t>
      </w:r>
      <w:r w:rsidRPr="0054090D">
        <w:rPr>
          <w:rFonts w:ascii="Arial" w:eastAsia="Arial" w:hAnsi="Arial" w:cs="Arial"/>
        </w:rPr>
        <w:lastRenderedPageBreak/>
        <w:t>Michoacán,</w:t>
      </w:r>
      <w:r w:rsidRPr="0054090D">
        <w:rPr>
          <w:rFonts w:ascii="Arial" w:eastAsia="Arial" w:hAnsi="Arial" w:cs="Arial"/>
          <w:vertAlign w:val="superscript"/>
        </w:rPr>
        <w:footnoteReference w:id="6"/>
      </w:r>
      <w:r w:rsidRPr="0054090D">
        <w:rPr>
          <w:rFonts w:ascii="Arial" w:eastAsia="Arial" w:hAnsi="Arial" w:cs="Arial"/>
        </w:rPr>
        <w:t xml:space="preserve"> para su sustanciación el escrito de dieciséis de julio, signado por la actora, y a la Comisión Nacional de Justicia Partidaria del Partido Revolucionario Institucional,</w:t>
      </w:r>
      <w:r w:rsidRPr="0054090D">
        <w:rPr>
          <w:rFonts w:ascii="Arial" w:eastAsia="Arial" w:hAnsi="Arial" w:cs="Arial"/>
          <w:vertAlign w:val="superscript"/>
        </w:rPr>
        <w:footnoteReference w:id="7"/>
      </w:r>
      <w:r w:rsidRPr="0054090D">
        <w:rPr>
          <w:rFonts w:ascii="Arial" w:eastAsia="Arial" w:hAnsi="Arial" w:cs="Arial"/>
        </w:rPr>
        <w:t xml:space="preserve"> para su resolución, al ser las instancias competentes para conocer del acto impugnado de conformidad con su normatividad interna, dado que, la actora aducía un acto diverso que no formaba parte de la litis inicial, por lo cual no era posible admitir el escrito como una ampliación de demanda.</w:t>
      </w:r>
    </w:p>
    <w:p w14:paraId="4AA7C5C5" w14:textId="77777777" w:rsidR="00CD5A9E" w:rsidRPr="0054090D" w:rsidRDefault="00CD5A9E">
      <w:pPr>
        <w:tabs>
          <w:tab w:val="left" w:pos="284"/>
        </w:tabs>
        <w:spacing w:line="360" w:lineRule="auto"/>
        <w:jc w:val="both"/>
        <w:rPr>
          <w:rFonts w:ascii="Arial" w:eastAsia="Arial" w:hAnsi="Arial" w:cs="Arial"/>
        </w:rPr>
      </w:pPr>
    </w:p>
    <w:p w14:paraId="215B0370" w14:textId="77777777" w:rsidR="00CD5A9E" w:rsidRPr="0054090D" w:rsidRDefault="00B76B80">
      <w:pPr>
        <w:tabs>
          <w:tab w:val="left" w:pos="284"/>
        </w:tabs>
        <w:spacing w:line="360" w:lineRule="auto"/>
        <w:jc w:val="both"/>
        <w:rPr>
          <w:rFonts w:ascii="Arial" w:eastAsia="Arial" w:hAnsi="Arial" w:cs="Arial"/>
        </w:rPr>
      </w:pPr>
      <w:r w:rsidRPr="0054090D">
        <w:rPr>
          <w:rFonts w:ascii="Arial" w:eastAsia="Arial" w:hAnsi="Arial" w:cs="Arial"/>
          <w:b/>
        </w:rPr>
        <w:t xml:space="preserve">2. Cumplimiento de la </w:t>
      </w:r>
      <w:r w:rsidRPr="0054090D">
        <w:rPr>
          <w:rFonts w:ascii="Arial" w:eastAsia="Arial" w:hAnsi="Arial" w:cs="Arial"/>
          <w:b/>
          <w:i/>
        </w:rPr>
        <w:t xml:space="preserve">Comisión Nacional. </w:t>
      </w:r>
      <w:r w:rsidRPr="0054090D">
        <w:rPr>
          <w:rFonts w:ascii="Arial" w:eastAsia="Arial" w:hAnsi="Arial" w:cs="Arial"/>
        </w:rPr>
        <w:t xml:space="preserve">Por acuerdo de uno de septiembre, se tuvo por recibido el oficio CNJP-SGA-OF-591/2025, signado por el </w:t>
      </w:r>
      <w:proofErr w:type="gramStart"/>
      <w:r w:rsidRPr="0054090D">
        <w:rPr>
          <w:rFonts w:ascii="Arial" w:eastAsia="Arial" w:hAnsi="Arial" w:cs="Arial"/>
        </w:rPr>
        <w:t>Secretario General</w:t>
      </w:r>
      <w:proofErr w:type="gramEnd"/>
      <w:r w:rsidRPr="0054090D">
        <w:rPr>
          <w:rFonts w:ascii="Arial" w:eastAsia="Arial" w:hAnsi="Arial" w:cs="Arial"/>
        </w:rPr>
        <w:t xml:space="preserve"> de Acuerdos de la </w:t>
      </w:r>
      <w:r w:rsidRPr="0054090D">
        <w:rPr>
          <w:rFonts w:ascii="Arial" w:eastAsia="Arial" w:hAnsi="Arial" w:cs="Arial"/>
          <w:i/>
        </w:rPr>
        <w:t>Comisión Nacional</w:t>
      </w:r>
      <w:r w:rsidRPr="0054090D">
        <w:rPr>
          <w:rFonts w:ascii="Arial" w:eastAsia="Arial" w:hAnsi="Arial" w:cs="Arial"/>
        </w:rPr>
        <w:t>,</w:t>
      </w:r>
      <w:r w:rsidRPr="0054090D">
        <w:rPr>
          <w:rFonts w:ascii="Arial" w:eastAsia="Arial" w:hAnsi="Arial" w:cs="Arial"/>
          <w:i/>
        </w:rPr>
        <w:t xml:space="preserve"> </w:t>
      </w:r>
      <w:r w:rsidRPr="0054090D">
        <w:rPr>
          <w:rFonts w:ascii="Arial" w:eastAsia="Arial" w:hAnsi="Arial" w:cs="Arial"/>
        </w:rPr>
        <w:t xml:space="preserve">mediante el cual remitió constancias a efecto de dar cumplimiento con lo determinado en la </w:t>
      </w:r>
      <w:r w:rsidRPr="0054090D">
        <w:rPr>
          <w:rFonts w:ascii="Arial" w:eastAsia="Arial" w:hAnsi="Arial" w:cs="Arial"/>
          <w:i/>
        </w:rPr>
        <w:t>Sentencia</w:t>
      </w:r>
      <w:r w:rsidRPr="0054090D">
        <w:rPr>
          <w:rFonts w:ascii="Arial" w:eastAsia="Arial" w:hAnsi="Arial" w:cs="Arial"/>
        </w:rPr>
        <w:t>.</w:t>
      </w:r>
      <w:r w:rsidRPr="0054090D">
        <w:rPr>
          <w:rFonts w:ascii="Arial" w:eastAsia="Arial" w:hAnsi="Arial" w:cs="Arial"/>
          <w:vertAlign w:val="superscript"/>
        </w:rPr>
        <w:footnoteReference w:id="8"/>
      </w:r>
    </w:p>
    <w:p w14:paraId="3B9FB69B" w14:textId="77777777" w:rsidR="00CD5A9E" w:rsidRPr="0054090D" w:rsidRDefault="00CD5A9E">
      <w:pPr>
        <w:tabs>
          <w:tab w:val="left" w:pos="284"/>
        </w:tabs>
        <w:spacing w:line="360" w:lineRule="auto"/>
        <w:jc w:val="both"/>
        <w:rPr>
          <w:rFonts w:ascii="Arial" w:eastAsia="Arial" w:hAnsi="Arial" w:cs="Arial"/>
        </w:rPr>
      </w:pPr>
    </w:p>
    <w:p w14:paraId="792D26C1" w14:textId="77777777" w:rsidR="00CD5A9E" w:rsidRPr="0054090D" w:rsidRDefault="00B76B80">
      <w:pPr>
        <w:tabs>
          <w:tab w:val="left" w:pos="284"/>
        </w:tabs>
        <w:spacing w:line="360" w:lineRule="auto"/>
        <w:jc w:val="both"/>
        <w:rPr>
          <w:rFonts w:ascii="Arial" w:eastAsia="Arial" w:hAnsi="Arial" w:cs="Arial"/>
        </w:rPr>
      </w:pPr>
      <w:r w:rsidRPr="0054090D">
        <w:rPr>
          <w:rFonts w:ascii="Arial" w:eastAsia="Arial" w:hAnsi="Arial" w:cs="Arial"/>
          <w:b/>
        </w:rPr>
        <w:t>3.</w:t>
      </w:r>
      <w:r w:rsidRPr="0054090D">
        <w:rPr>
          <w:rFonts w:ascii="Arial" w:eastAsia="Arial" w:hAnsi="Arial" w:cs="Arial"/>
          <w:i/>
        </w:rPr>
        <w:t xml:space="preserve"> </w:t>
      </w:r>
      <w:r w:rsidRPr="0054090D">
        <w:rPr>
          <w:rFonts w:ascii="Arial" w:eastAsia="Arial" w:hAnsi="Arial" w:cs="Arial"/>
          <w:b/>
        </w:rPr>
        <w:t>Primer requerimiento.</w:t>
      </w:r>
      <w:r w:rsidRPr="0054090D">
        <w:rPr>
          <w:rFonts w:ascii="Arial" w:eastAsia="Arial" w:hAnsi="Arial" w:cs="Arial"/>
        </w:rPr>
        <w:t xml:space="preserve"> Por auto de tres de septiembre, se requirió a la </w:t>
      </w:r>
      <w:r w:rsidRPr="0054090D">
        <w:rPr>
          <w:rFonts w:ascii="Arial" w:eastAsia="Arial" w:hAnsi="Arial" w:cs="Arial"/>
          <w:i/>
        </w:rPr>
        <w:t xml:space="preserve">Comisión Estatal </w:t>
      </w:r>
      <w:r w:rsidRPr="0054090D">
        <w:rPr>
          <w:rFonts w:ascii="Arial" w:eastAsia="Arial" w:hAnsi="Arial" w:cs="Arial"/>
        </w:rPr>
        <w:t xml:space="preserve">con la finalidad de que remitiera documentación relacionada con el cumplimiento de la </w:t>
      </w:r>
      <w:r w:rsidRPr="0054090D">
        <w:rPr>
          <w:rFonts w:ascii="Arial" w:eastAsia="Arial" w:hAnsi="Arial" w:cs="Arial"/>
          <w:i/>
        </w:rPr>
        <w:t>Sentencia.</w:t>
      </w:r>
      <w:r w:rsidRPr="0054090D">
        <w:rPr>
          <w:rFonts w:ascii="Arial" w:eastAsia="Arial" w:hAnsi="Arial" w:cs="Arial"/>
          <w:vertAlign w:val="superscript"/>
        </w:rPr>
        <w:footnoteReference w:id="9"/>
      </w:r>
    </w:p>
    <w:p w14:paraId="5434C122" w14:textId="77777777" w:rsidR="00CD5A9E" w:rsidRPr="0054090D" w:rsidRDefault="00CD5A9E">
      <w:pPr>
        <w:tabs>
          <w:tab w:val="left" w:pos="284"/>
        </w:tabs>
        <w:spacing w:line="360" w:lineRule="auto"/>
        <w:jc w:val="both"/>
        <w:rPr>
          <w:rFonts w:ascii="Arial" w:eastAsia="Arial" w:hAnsi="Arial" w:cs="Arial"/>
        </w:rPr>
      </w:pPr>
    </w:p>
    <w:p w14:paraId="06E21B7C" w14:textId="77777777" w:rsidR="00CD5A9E" w:rsidRPr="0054090D" w:rsidRDefault="00B76B80">
      <w:pPr>
        <w:tabs>
          <w:tab w:val="left" w:pos="284"/>
        </w:tabs>
        <w:spacing w:line="360" w:lineRule="auto"/>
        <w:jc w:val="both"/>
        <w:rPr>
          <w:rFonts w:ascii="Arial" w:eastAsia="Arial" w:hAnsi="Arial" w:cs="Arial"/>
          <w:vertAlign w:val="superscript"/>
        </w:rPr>
      </w:pPr>
      <w:r w:rsidRPr="0054090D">
        <w:rPr>
          <w:rFonts w:ascii="Arial" w:eastAsia="Arial" w:hAnsi="Arial" w:cs="Arial"/>
          <w:b/>
        </w:rPr>
        <w:t>4. Incumplimiento y segundo requerimiento</w:t>
      </w:r>
      <w:r w:rsidRPr="0054090D">
        <w:rPr>
          <w:rFonts w:ascii="Arial" w:eastAsia="Arial" w:hAnsi="Arial" w:cs="Arial"/>
        </w:rPr>
        <w:t xml:space="preserve">. El de once de septiembre, se tuvo por incumpliendo a la </w:t>
      </w:r>
      <w:r w:rsidRPr="0054090D">
        <w:rPr>
          <w:rFonts w:ascii="Arial" w:eastAsia="Arial" w:hAnsi="Arial" w:cs="Arial"/>
          <w:i/>
        </w:rPr>
        <w:t>Comisión Estatal</w:t>
      </w:r>
      <w:r w:rsidRPr="0054090D">
        <w:rPr>
          <w:rFonts w:ascii="Arial" w:eastAsia="Arial" w:hAnsi="Arial" w:cs="Arial"/>
        </w:rPr>
        <w:t xml:space="preserve"> con el requerimiento efectuado por acuerdo de tres de septiembre, por lo que se le requirió por segunda ocasión para que remitiera las constancias relacionadas con el cumplimiento a la </w:t>
      </w:r>
      <w:r w:rsidRPr="0054090D">
        <w:rPr>
          <w:rFonts w:ascii="Arial" w:eastAsia="Arial" w:hAnsi="Arial" w:cs="Arial"/>
          <w:i/>
        </w:rPr>
        <w:t>Sentencia</w:t>
      </w:r>
      <w:r w:rsidRPr="0054090D">
        <w:rPr>
          <w:rFonts w:ascii="Arial" w:eastAsia="Arial" w:hAnsi="Arial" w:cs="Arial"/>
        </w:rPr>
        <w:t>.</w:t>
      </w:r>
      <w:r w:rsidRPr="0054090D">
        <w:rPr>
          <w:rFonts w:ascii="Arial" w:eastAsia="Arial" w:hAnsi="Arial" w:cs="Arial"/>
          <w:vertAlign w:val="superscript"/>
        </w:rPr>
        <w:t xml:space="preserve"> </w:t>
      </w:r>
      <w:r w:rsidRPr="0054090D">
        <w:rPr>
          <w:rFonts w:ascii="Arial" w:eastAsia="Arial" w:hAnsi="Arial" w:cs="Arial"/>
          <w:vertAlign w:val="superscript"/>
        </w:rPr>
        <w:footnoteReference w:id="10"/>
      </w:r>
    </w:p>
    <w:p w14:paraId="2B450744" w14:textId="77777777" w:rsidR="00CD5A9E" w:rsidRPr="0054090D" w:rsidRDefault="00CD5A9E">
      <w:pPr>
        <w:tabs>
          <w:tab w:val="left" w:pos="284"/>
        </w:tabs>
        <w:spacing w:line="360" w:lineRule="auto"/>
        <w:jc w:val="both"/>
        <w:rPr>
          <w:rFonts w:ascii="Arial" w:eastAsia="Arial" w:hAnsi="Arial" w:cs="Arial"/>
          <w:vertAlign w:val="superscript"/>
        </w:rPr>
      </w:pPr>
    </w:p>
    <w:p w14:paraId="12347D6B" w14:textId="77777777" w:rsidR="00CD5A9E" w:rsidRPr="0054090D" w:rsidRDefault="00B76B80">
      <w:pPr>
        <w:tabs>
          <w:tab w:val="left" w:pos="284"/>
        </w:tabs>
        <w:spacing w:line="360" w:lineRule="auto"/>
        <w:jc w:val="both"/>
        <w:rPr>
          <w:rFonts w:ascii="Arial" w:eastAsia="Arial" w:hAnsi="Arial" w:cs="Arial"/>
        </w:rPr>
      </w:pPr>
      <w:r w:rsidRPr="0054090D">
        <w:rPr>
          <w:rFonts w:ascii="Arial" w:eastAsia="Arial" w:hAnsi="Arial" w:cs="Arial"/>
          <w:b/>
        </w:rPr>
        <w:t xml:space="preserve">5. Cumplimiento. </w:t>
      </w:r>
      <w:r w:rsidRPr="0054090D">
        <w:rPr>
          <w:rFonts w:ascii="Arial" w:eastAsia="Arial" w:hAnsi="Arial" w:cs="Arial"/>
        </w:rPr>
        <w:t xml:space="preserve">Mediante acuerdo de dieciocho de septiembre, se tuvo a la </w:t>
      </w:r>
      <w:r w:rsidRPr="0054090D">
        <w:rPr>
          <w:rFonts w:ascii="Arial" w:eastAsia="Arial" w:hAnsi="Arial" w:cs="Arial"/>
          <w:i/>
        </w:rPr>
        <w:t xml:space="preserve">Comisión Estatal </w:t>
      </w:r>
      <w:r w:rsidRPr="0054090D">
        <w:rPr>
          <w:rFonts w:ascii="Arial" w:eastAsia="Arial" w:hAnsi="Arial" w:cs="Arial"/>
        </w:rPr>
        <w:t xml:space="preserve">remitiendo documentación relacionada con el cumplimiento de la </w:t>
      </w:r>
      <w:r w:rsidRPr="0054090D">
        <w:rPr>
          <w:rFonts w:ascii="Arial" w:eastAsia="Arial" w:hAnsi="Arial" w:cs="Arial"/>
          <w:i/>
        </w:rPr>
        <w:t>Sentencia</w:t>
      </w:r>
      <w:r w:rsidRPr="0054090D">
        <w:rPr>
          <w:rFonts w:ascii="Arial" w:eastAsia="Arial" w:hAnsi="Arial" w:cs="Arial"/>
        </w:rPr>
        <w:t>, la cual fue requerida por acuerdo de once de septiembre, y que fue reservada para el momento procesal oportuno.</w:t>
      </w:r>
      <w:r w:rsidRPr="0054090D">
        <w:rPr>
          <w:rFonts w:ascii="Arial" w:eastAsia="Arial" w:hAnsi="Arial" w:cs="Arial"/>
          <w:vertAlign w:val="superscript"/>
        </w:rPr>
        <w:footnoteReference w:id="11"/>
      </w:r>
      <w:r w:rsidRPr="0054090D">
        <w:rPr>
          <w:rFonts w:ascii="Arial" w:eastAsia="Arial" w:hAnsi="Arial" w:cs="Arial"/>
        </w:rPr>
        <w:t xml:space="preserve"> </w:t>
      </w:r>
    </w:p>
    <w:p w14:paraId="02BC30D1" w14:textId="77777777" w:rsidR="00CD5A9E" w:rsidRPr="0054090D" w:rsidRDefault="00CD5A9E">
      <w:pPr>
        <w:tabs>
          <w:tab w:val="left" w:pos="284"/>
        </w:tabs>
        <w:spacing w:line="360" w:lineRule="auto"/>
        <w:jc w:val="both"/>
        <w:rPr>
          <w:rFonts w:ascii="Arial" w:eastAsia="Arial" w:hAnsi="Arial" w:cs="Arial"/>
        </w:rPr>
      </w:pPr>
    </w:p>
    <w:p w14:paraId="08A96539" w14:textId="77777777" w:rsidR="00CD5A9E" w:rsidRPr="0054090D" w:rsidRDefault="00B76B80">
      <w:pPr>
        <w:tabs>
          <w:tab w:val="left" w:pos="284"/>
        </w:tabs>
        <w:spacing w:line="360" w:lineRule="auto"/>
        <w:jc w:val="both"/>
        <w:rPr>
          <w:rFonts w:ascii="Arial" w:eastAsia="Arial" w:hAnsi="Arial" w:cs="Arial"/>
        </w:rPr>
      </w:pPr>
      <w:r w:rsidRPr="0054090D">
        <w:rPr>
          <w:rFonts w:ascii="Arial" w:eastAsia="Arial" w:hAnsi="Arial" w:cs="Arial"/>
          <w:b/>
        </w:rPr>
        <w:t xml:space="preserve">6. Requerimiento. </w:t>
      </w:r>
      <w:r w:rsidRPr="0054090D">
        <w:rPr>
          <w:rFonts w:ascii="Arial" w:eastAsia="Arial" w:hAnsi="Arial" w:cs="Arial"/>
        </w:rPr>
        <w:t xml:space="preserve">El veintidós de septiembre, se requirió a la </w:t>
      </w:r>
      <w:r w:rsidRPr="0054090D">
        <w:rPr>
          <w:rFonts w:ascii="Arial" w:eastAsia="Arial" w:hAnsi="Arial" w:cs="Arial"/>
          <w:i/>
        </w:rPr>
        <w:t>Comisión Estatal</w:t>
      </w:r>
      <w:r w:rsidRPr="0054090D">
        <w:rPr>
          <w:rFonts w:ascii="Arial" w:eastAsia="Arial" w:hAnsi="Arial" w:cs="Arial"/>
        </w:rPr>
        <w:t xml:space="preserve">, para que remitiera las constancias con las cuales acreditara la sustanciación del medio de impugnación, así como la emisión del </w:t>
      </w:r>
      <w:proofErr w:type="spellStart"/>
      <w:r w:rsidRPr="0054090D">
        <w:rPr>
          <w:rFonts w:ascii="Arial" w:eastAsia="Arial" w:hAnsi="Arial" w:cs="Arial"/>
        </w:rPr>
        <w:t>pre-dictamen</w:t>
      </w:r>
      <w:proofErr w:type="spellEnd"/>
      <w:r w:rsidRPr="0054090D">
        <w:rPr>
          <w:rFonts w:ascii="Arial" w:eastAsia="Arial" w:hAnsi="Arial" w:cs="Arial"/>
        </w:rPr>
        <w:t xml:space="preserve"> correspondiente.</w:t>
      </w:r>
      <w:r w:rsidRPr="0054090D">
        <w:rPr>
          <w:rFonts w:ascii="Arial" w:eastAsia="Arial" w:hAnsi="Arial" w:cs="Arial"/>
          <w:vertAlign w:val="superscript"/>
        </w:rPr>
        <w:footnoteReference w:id="12"/>
      </w:r>
    </w:p>
    <w:p w14:paraId="659CDE06" w14:textId="77777777" w:rsidR="00CD5A9E" w:rsidRPr="0054090D" w:rsidRDefault="00CD5A9E">
      <w:pPr>
        <w:tabs>
          <w:tab w:val="left" w:pos="284"/>
        </w:tabs>
        <w:spacing w:line="360" w:lineRule="auto"/>
        <w:jc w:val="both"/>
        <w:rPr>
          <w:rFonts w:ascii="Arial" w:eastAsia="Arial" w:hAnsi="Arial" w:cs="Arial"/>
        </w:rPr>
      </w:pPr>
    </w:p>
    <w:p w14:paraId="4DFE845B" w14:textId="77777777" w:rsidR="00CD5A9E" w:rsidRPr="0054090D" w:rsidRDefault="00B76B80">
      <w:pPr>
        <w:tabs>
          <w:tab w:val="left" w:pos="284"/>
        </w:tabs>
        <w:spacing w:line="360" w:lineRule="auto"/>
        <w:jc w:val="both"/>
        <w:rPr>
          <w:rFonts w:ascii="Arial" w:eastAsia="Arial" w:hAnsi="Arial" w:cs="Arial"/>
        </w:rPr>
      </w:pPr>
      <w:r w:rsidRPr="0054090D">
        <w:rPr>
          <w:rFonts w:ascii="Arial" w:eastAsia="Arial" w:hAnsi="Arial" w:cs="Arial"/>
          <w:b/>
        </w:rPr>
        <w:lastRenderedPageBreak/>
        <w:t xml:space="preserve">7. Incumplimiento de requerimiento. </w:t>
      </w:r>
      <w:r w:rsidRPr="0054090D">
        <w:rPr>
          <w:rFonts w:ascii="Arial" w:eastAsia="Arial" w:hAnsi="Arial" w:cs="Arial"/>
        </w:rPr>
        <w:t>Por acuerdo de seis de octubre, se tuvo por incumpliendo a la Comisión Estatal con el requerimiento que le fue efectuado por acuerdo de veintidós de septiembre.</w:t>
      </w:r>
      <w:r w:rsidRPr="0054090D">
        <w:rPr>
          <w:rFonts w:ascii="Arial" w:eastAsia="Arial" w:hAnsi="Arial" w:cs="Arial"/>
          <w:vertAlign w:val="superscript"/>
        </w:rPr>
        <w:footnoteReference w:id="13"/>
      </w:r>
    </w:p>
    <w:p w14:paraId="38286F1A" w14:textId="77777777" w:rsidR="00CD5A9E" w:rsidRPr="0054090D" w:rsidRDefault="00CD5A9E">
      <w:pPr>
        <w:tabs>
          <w:tab w:val="left" w:pos="284"/>
        </w:tabs>
        <w:spacing w:line="360" w:lineRule="auto"/>
        <w:jc w:val="both"/>
        <w:rPr>
          <w:rFonts w:ascii="Arial" w:eastAsia="Arial" w:hAnsi="Arial" w:cs="Arial"/>
        </w:rPr>
      </w:pPr>
    </w:p>
    <w:p w14:paraId="023AFC56" w14:textId="77777777" w:rsidR="00CD5A9E" w:rsidRPr="0054090D" w:rsidRDefault="00B76B80">
      <w:pPr>
        <w:tabs>
          <w:tab w:val="left" w:pos="284"/>
        </w:tabs>
        <w:spacing w:line="360" w:lineRule="auto"/>
        <w:jc w:val="both"/>
        <w:rPr>
          <w:rFonts w:ascii="Arial" w:eastAsia="Arial" w:hAnsi="Arial" w:cs="Arial"/>
        </w:rPr>
      </w:pPr>
      <w:r w:rsidRPr="0054090D">
        <w:rPr>
          <w:rFonts w:ascii="Arial" w:eastAsia="Arial" w:hAnsi="Arial" w:cs="Arial"/>
          <w:b/>
        </w:rPr>
        <w:t xml:space="preserve">8. Recepción de constancias. </w:t>
      </w:r>
      <w:r w:rsidRPr="0054090D">
        <w:rPr>
          <w:rFonts w:ascii="Arial" w:eastAsia="Arial" w:hAnsi="Arial" w:cs="Arial"/>
        </w:rPr>
        <w:t xml:space="preserve">Por acuerdo de diez de octubre, se tuvo al </w:t>
      </w:r>
      <w:proofErr w:type="gramStart"/>
      <w:r w:rsidRPr="0054090D">
        <w:rPr>
          <w:rFonts w:ascii="Arial" w:eastAsia="Arial" w:hAnsi="Arial" w:cs="Arial"/>
        </w:rPr>
        <w:t>Secretario General</w:t>
      </w:r>
      <w:proofErr w:type="gramEnd"/>
      <w:r w:rsidRPr="0054090D">
        <w:rPr>
          <w:rFonts w:ascii="Arial" w:eastAsia="Arial" w:hAnsi="Arial" w:cs="Arial"/>
        </w:rPr>
        <w:t xml:space="preserve"> de Acuerdos de la </w:t>
      </w:r>
      <w:r w:rsidRPr="0054090D">
        <w:rPr>
          <w:rFonts w:ascii="Arial" w:eastAsia="Arial" w:hAnsi="Arial" w:cs="Arial"/>
          <w:i/>
        </w:rPr>
        <w:t>Comisión Estatal</w:t>
      </w:r>
      <w:r w:rsidRPr="0054090D">
        <w:rPr>
          <w:rFonts w:ascii="Arial" w:eastAsia="Arial" w:hAnsi="Arial" w:cs="Arial"/>
        </w:rPr>
        <w:t xml:space="preserve">, remitiendo diversa documentación relacionada con el cumplimiento a la </w:t>
      </w:r>
      <w:r w:rsidRPr="0054090D">
        <w:rPr>
          <w:rFonts w:ascii="Arial" w:eastAsia="Arial" w:hAnsi="Arial" w:cs="Arial"/>
          <w:i/>
        </w:rPr>
        <w:t>Sentencia</w:t>
      </w:r>
      <w:r w:rsidRPr="0054090D">
        <w:rPr>
          <w:rFonts w:ascii="Arial" w:eastAsia="Arial" w:hAnsi="Arial" w:cs="Arial"/>
        </w:rPr>
        <w:t>.</w:t>
      </w:r>
      <w:r w:rsidRPr="0054090D">
        <w:rPr>
          <w:rFonts w:ascii="Arial" w:eastAsia="Arial" w:hAnsi="Arial" w:cs="Arial"/>
          <w:vertAlign w:val="superscript"/>
        </w:rPr>
        <w:footnoteReference w:id="14"/>
      </w:r>
    </w:p>
    <w:p w14:paraId="2BEF1216" w14:textId="77777777" w:rsidR="00CD5A9E" w:rsidRPr="0054090D" w:rsidRDefault="00CD5A9E">
      <w:pPr>
        <w:tabs>
          <w:tab w:val="left" w:pos="284"/>
        </w:tabs>
        <w:spacing w:line="360" w:lineRule="auto"/>
        <w:jc w:val="both"/>
        <w:rPr>
          <w:rFonts w:ascii="Arial" w:eastAsia="Arial" w:hAnsi="Arial" w:cs="Arial"/>
        </w:rPr>
      </w:pPr>
    </w:p>
    <w:p w14:paraId="0D959B3B" w14:textId="77777777" w:rsidR="00CD5A9E" w:rsidRPr="0054090D" w:rsidRDefault="00B76B80">
      <w:pPr>
        <w:spacing w:line="360" w:lineRule="auto"/>
        <w:jc w:val="center"/>
        <w:rPr>
          <w:rFonts w:ascii="Arial" w:eastAsia="Arial" w:hAnsi="Arial" w:cs="Arial"/>
        </w:rPr>
      </w:pPr>
      <w:r w:rsidRPr="0054090D">
        <w:rPr>
          <w:rFonts w:ascii="Arial" w:eastAsia="Arial" w:hAnsi="Arial" w:cs="Arial"/>
          <w:b/>
        </w:rPr>
        <w:t>II. COMPETENCIA</w:t>
      </w:r>
    </w:p>
    <w:p w14:paraId="3F70EA9E" w14:textId="77777777" w:rsidR="00CD5A9E" w:rsidRPr="0054090D" w:rsidRDefault="00CD5A9E">
      <w:pPr>
        <w:spacing w:line="360" w:lineRule="auto"/>
        <w:jc w:val="center"/>
        <w:rPr>
          <w:rFonts w:ascii="Arial" w:eastAsia="Arial" w:hAnsi="Arial" w:cs="Arial"/>
        </w:rPr>
      </w:pPr>
    </w:p>
    <w:p w14:paraId="69E59479" w14:textId="77777777" w:rsidR="00CD5A9E" w:rsidRPr="0054090D" w:rsidRDefault="00B76B80">
      <w:pPr>
        <w:spacing w:line="360" w:lineRule="auto"/>
        <w:jc w:val="both"/>
        <w:rPr>
          <w:rFonts w:ascii="Arial" w:eastAsia="Arial" w:hAnsi="Arial" w:cs="Arial"/>
        </w:rPr>
      </w:pPr>
      <w:r w:rsidRPr="0054090D">
        <w:rPr>
          <w:rFonts w:ascii="Arial" w:eastAsia="Arial" w:hAnsi="Arial" w:cs="Arial"/>
        </w:rPr>
        <w:t>El Pleno de este Tribunal es competente para conocer y resolver el presente asunto, debido a que la función de los tribunales no se limita a conocer y resolver las controversias de manera pronta, completa e imparcial, sino también se encarga de vigilar y proveer lo necesario para garantizar la plena ejecución de sus resoluciones.</w:t>
      </w:r>
    </w:p>
    <w:p w14:paraId="277DE76F" w14:textId="77777777" w:rsidR="00CD5A9E" w:rsidRPr="0054090D" w:rsidRDefault="00CD5A9E">
      <w:pPr>
        <w:spacing w:line="360" w:lineRule="auto"/>
        <w:jc w:val="both"/>
        <w:rPr>
          <w:rFonts w:ascii="Arial" w:eastAsia="Arial" w:hAnsi="Arial" w:cs="Arial"/>
        </w:rPr>
      </w:pPr>
    </w:p>
    <w:p w14:paraId="2424625F" w14:textId="77777777" w:rsidR="00CD5A9E" w:rsidRPr="0054090D" w:rsidRDefault="00B76B80">
      <w:pPr>
        <w:spacing w:line="360" w:lineRule="auto"/>
        <w:jc w:val="both"/>
        <w:rPr>
          <w:rFonts w:ascii="Arial" w:eastAsia="Arial" w:hAnsi="Arial" w:cs="Arial"/>
        </w:rPr>
      </w:pPr>
      <w:r w:rsidRPr="0054090D">
        <w:rPr>
          <w:rFonts w:ascii="Arial" w:eastAsia="Arial" w:hAnsi="Arial" w:cs="Arial"/>
        </w:rPr>
        <w:t>Lo anterior, con fundamento en los artículos 1° de la Constitución Política de los Estados Unidos Mexicanos, 98 A de la Constitución Política del Estado Libre y Soberano de Michoacán de Ocampo, 60, 64 fracción XIII y 66 fracciones II y III del Código Electoral del Estado de Michoacán de Ocampo, 1 y 5 de Ley de Justicia en Materia Electoral y de Participación Ciudadana del Estado de Michoacán de Ocampo;</w:t>
      </w:r>
      <w:r w:rsidRPr="0054090D">
        <w:rPr>
          <w:rFonts w:ascii="Arial" w:eastAsia="Arial" w:hAnsi="Arial" w:cs="Arial"/>
          <w:vertAlign w:val="superscript"/>
        </w:rPr>
        <w:footnoteReference w:id="15"/>
      </w:r>
      <w:r w:rsidRPr="0054090D">
        <w:rPr>
          <w:rFonts w:ascii="Arial" w:eastAsia="Arial" w:hAnsi="Arial" w:cs="Arial"/>
        </w:rPr>
        <w:t xml:space="preserve"> y, 100 del Reglamento Interior del Tribunal Electoral del Estado.</w:t>
      </w:r>
      <w:r w:rsidRPr="0054090D">
        <w:rPr>
          <w:rFonts w:ascii="Arial" w:eastAsia="Arial" w:hAnsi="Arial" w:cs="Arial"/>
          <w:vertAlign w:val="superscript"/>
        </w:rPr>
        <w:footnoteReference w:id="16"/>
      </w:r>
    </w:p>
    <w:p w14:paraId="22DE9035" w14:textId="77777777" w:rsidR="00CD5A9E" w:rsidRPr="0054090D" w:rsidRDefault="00CD5A9E">
      <w:pPr>
        <w:spacing w:line="360" w:lineRule="auto"/>
        <w:jc w:val="center"/>
        <w:rPr>
          <w:rFonts w:ascii="Arial" w:eastAsia="Arial" w:hAnsi="Arial" w:cs="Arial"/>
        </w:rPr>
      </w:pPr>
    </w:p>
    <w:p w14:paraId="4F4F15D9" w14:textId="77777777" w:rsidR="00CD5A9E" w:rsidRPr="0054090D" w:rsidRDefault="00B76B80">
      <w:pPr>
        <w:spacing w:line="360" w:lineRule="auto"/>
        <w:jc w:val="center"/>
        <w:rPr>
          <w:rFonts w:ascii="Arial" w:eastAsia="Arial" w:hAnsi="Arial" w:cs="Arial"/>
          <w:b/>
        </w:rPr>
      </w:pPr>
      <w:r w:rsidRPr="0054090D">
        <w:rPr>
          <w:rFonts w:ascii="Arial" w:eastAsia="Arial" w:hAnsi="Arial" w:cs="Arial"/>
          <w:b/>
        </w:rPr>
        <w:t>III. EFECTOS DE LA SENTENCIA</w:t>
      </w:r>
    </w:p>
    <w:p w14:paraId="28060272" w14:textId="77777777" w:rsidR="00CD5A9E" w:rsidRPr="0054090D" w:rsidRDefault="00CD5A9E">
      <w:pPr>
        <w:spacing w:line="360" w:lineRule="auto"/>
        <w:jc w:val="both"/>
        <w:rPr>
          <w:rFonts w:ascii="Arial" w:eastAsia="Arial" w:hAnsi="Arial" w:cs="Arial"/>
        </w:rPr>
      </w:pPr>
    </w:p>
    <w:p w14:paraId="09989660" w14:textId="77777777" w:rsidR="00CD5A9E" w:rsidRPr="0054090D" w:rsidRDefault="00B76B80">
      <w:pPr>
        <w:spacing w:line="360" w:lineRule="auto"/>
        <w:jc w:val="both"/>
        <w:rPr>
          <w:rFonts w:ascii="Arial" w:eastAsia="Arial" w:hAnsi="Arial" w:cs="Arial"/>
        </w:rPr>
      </w:pPr>
      <w:r w:rsidRPr="0054090D">
        <w:rPr>
          <w:rFonts w:ascii="Arial" w:eastAsia="Arial" w:hAnsi="Arial" w:cs="Arial"/>
        </w:rPr>
        <w:t>De manera esencial, se determinó lo siguiente:</w:t>
      </w:r>
    </w:p>
    <w:p w14:paraId="3DCD94E0" w14:textId="77777777" w:rsidR="00CD5A9E" w:rsidRPr="0054090D" w:rsidRDefault="00CD5A9E">
      <w:pPr>
        <w:pBdr>
          <w:top w:val="nil"/>
          <w:left w:val="nil"/>
          <w:bottom w:val="nil"/>
          <w:right w:val="nil"/>
          <w:between w:val="nil"/>
        </w:pBdr>
        <w:tabs>
          <w:tab w:val="left" w:pos="567"/>
        </w:tabs>
        <w:spacing w:line="360" w:lineRule="auto"/>
        <w:jc w:val="both"/>
        <w:rPr>
          <w:rFonts w:ascii="Arial" w:eastAsia="Arial" w:hAnsi="Arial" w:cs="Arial"/>
          <w:color w:val="000000"/>
        </w:rPr>
      </w:pPr>
    </w:p>
    <w:p w14:paraId="12D53177" w14:textId="77777777" w:rsidR="00CD5A9E" w:rsidRPr="0010408D" w:rsidRDefault="00B76B80" w:rsidP="0010408D">
      <w:pPr>
        <w:numPr>
          <w:ilvl w:val="0"/>
          <w:numId w:val="3"/>
        </w:numPr>
        <w:tabs>
          <w:tab w:val="left" w:pos="567"/>
        </w:tabs>
        <w:spacing w:line="276" w:lineRule="auto"/>
        <w:ind w:left="1276" w:right="760"/>
        <w:jc w:val="both"/>
        <w:rPr>
          <w:rFonts w:ascii="Arial" w:eastAsia="Arial" w:hAnsi="Arial" w:cs="Arial"/>
          <w:i/>
          <w:color w:val="000000"/>
          <w:sz w:val="22"/>
          <w:szCs w:val="22"/>
        </w:rPr>
      </w:pPr>
      <w:r w:rsidRPr="0010408D">
        <w:rPr>
          <w:rFonts w:ascii="Arial" w:eastAsia="Arial" w:hAnsi="Arial" w:cs="Arial"/>
          <w:i/>
          <w:color w:val="000000"/>
          <w:sz w:val="22"/>
          <w:szCs w:val="22"/>
        </w:rPr>
        <w:t>Toda vez que la normativa interna del partido en específico, el artículo 40 del Reglamento para la Afiliación y del Registro Partidario del Partido Revolucionario Institucional, faculta a la Comisión Nacional para conocer y resolver sobre los planteamientos de la actora en su escrito de manifestaciones de dieciséis de julio, a fin de garantizar de manera eficaz el derecho de acceso a la justicia, sin prejuzgar sobre los requisitos de procedencia del escrito,</w:t>
      </w:r>
      <w:r w:rsidRPr="0010408D">
        <w:rPr>
          <w:rFonts w:ascii="Arial" w:eastAsia="Arial" w:hAnsi="Arial" w:cs="Arial"/>
          <w:i/>
          <w:color w:val="000000"/>
          <w:sz w:val="22"/>
          <w:szCs w:val="22"/>
          <w:vertAlign w:val="superscript"/>
        </w:rPr>
        <w:footnoteReference w:id="17"/>
      </w:r>
      <w:r w:rsidRPr="0010408D">
        <w:rPr>
          <w:rFonts w:ascii="Arial" w:eastAsia="Arial" w:hAnsi="Arial" w:cs="Arial"/>
          <w:i/>
          <w:sz w:val="22"/>
          <w:szCs w:val="22"/>
        </w:rPr>
        <w:t xml:space="preserve"> conforme con el artículo 24 </w:t>
      </w:r>
      <w:r w:rsidRPr="0010408D">
        <w:rPr>
          <w:rFonts w:ascii="Arial" w:eastAsia="Arial" w:hAnsi="Arial" w:cs="Arial"/>
          <w:i/>
          <w:sz w:val="22"/>
          <w:szCs w:val="22"/>
        </w:rPr>
        <w:lastRenderedPageBreak/>
        <w:t xml:space="preserve">fracción I del Código de Justicia, </w:t>
      </w:r>
      <w:r w:rsidRPr="0010408D">
        <w:rPr>
          <w:rFonts w:ascii="Arial" w:eastAsia="Arial" w:hAnsi="Arial" w:cs="Arial"/>
          <w:b/>
          <w:i/>
          <w:sz w:val="22"/>
          <w:szCs w:val="22"/>
        </w:rPr>
        <w:t>se remite el escrito de dieciséis de julio  a la Comisión Estatal de Justicia Partidaria del Partido Revolucionario Institucional,</w:t>
      </w:r>
      <w:r w:rsidRPr="0010408D">
        <w:rPr>
          <w:rFonts w:ascii="Arial" w:eastAsia="Arial" w:hAnsi="Arial" w:cs="Arial"/>
          <w:i/>
          <w:sz w:val="22"/>
          <w:szCs w:val="22"/>
          <w:vertAlign w:val="superscript"/>
        </w:rPr>
        <w:footnoteReference w:id="18"/>
      </w:r>
      <w:r w:rsidRPr="0010408D">
        <w:rPr>
          <w:rFonts w:ascii="Arial" w:eastAsia="Arial" w:hAnsi="Arial" w:cs="Arial"/>
          <w:i/>
          <w:sz w:val="22"/>
          <w:szCs w:val="22"/>
        </w:rPr>
        <w:t xml:space="preserve"> para que en plenitud de atribuciones, sustancie el medio de impugnación que considere idóneo, lo que </w:t>
      </w:r>
      <w:r w:rsidRPr="0010408D">
        <w:rPr>
          <w:rFonts w:ascii="Arial" w:eastAsia="Arial" w:hAnsi="Arial" w:cs="Arial"/>
          <w:b/>
          <w:i/>
          <w:sz w:val="22"/>
          <w:szCs w:val="22"/>
        </w:rPr>
        <w:t>deberá realizar dentro de las cuarenta y ocho horas</w:t>
      </w:r>
      <w:r w:rsidRPr="0010408D">
        <w:rPr>
          <w:rFonts w:ascii="Arial" w:eastAsia="Arial" w:hAnsi="Arial" w:cs="Arial"/>
          <w:i/>
          <w:sz w:val="22"/>
          <w:szCs w:val="22"/>
        </w:rPr>
        <w:t xml:space="preserve"> siguientes a su recepción.</w:t>
      </w:r>
    </w:p>
    <w:p w14:paraId="17D75EC6" w14:textId="77777777" w:rsidR="00CD5A9E" w:rsidRPr="0010408D" w:rsidRDefault="00CD5A9E" w:rsidP="0010408D">
      <w:pPr>
        <w:tabs>
          <w:tab w:val="left" w:pos="567"/>
        </w:tabs>
        <w:spacing w:line="276" w:lineRule="auto"/>
        <w:ind w:left="1276" w:right="760"/>
        <w:jc w:val="both"/>
        <w:rPr>
          <w:rFonts w:ascii="Arial" w:eastAsia="Arial" w:hAnsi="Arial" w:cs="Arial"/>
          <w:i/>
          <w:sz w:val="22"/>
          <w:szCs w:val="22"/>
        </w:rPr>
      </w:pPr>
    </w:p>
    <w:p w14:paraId="3C5BA2C7" w14:textId="77777777" w:rsidR="00CD5A9E" w:rsidRPr="0010408D" w:rsidRDefault="00B76B80" w:rsidP="0010408D">
      <w:pPr>
        <w:numPr>
          <w:ilvl w:val="0"/>
          <w:numId w:val="3"/>
        </w:numPr>
        <w:tabs>
          <w:tab w:val="left" w:pos="567"/>
        </w:tabs>
        <w:spacing w:line="276" w:lineRule="auto"/>
        <w:ind w:left="1276" w:right="760"/>
        <w:jc w:val="both"/>
        <w:rPr>
          <w:rFonts w:ascii="Arial" w:eastAsia="Arial" w:hAnsi="Arial" w:cs="Arial"/>
          <w:i/>
          <w:sz w:val="22"/>
          <w:szCs w:val="22"/>
        </w:rPr>
      </w:pPr>
      <w:r w:rsidRPr="0010408D">
        <w:rPr>
          <w:rFonts w:ascii="Arial" w:eastAsia="Arial" w:hAnsi="Arial" w:cs="Arial"/>
          <w:i/>
          <w:sz w:val="22"/>
          <w:szCs w:val="22"/>
        </w:rPr>
        <w:t xml:space="preserve"> Una vez realizado lo anterior, la Comisión Estatal, </w:t>
      </w:r>
      <w:r w:rsidRPr="0010408D">
        <w:rPr>
          <w:rFonts w:ascii="Arial" w:eastAsia="Arial" w:hAnsi="Arial" w:cs="Arial"/>
          <w:b/>
          <w:i/>
          <w:sz w:val="22"/>
          <w:szCs w:val="22"/>
        </w:rPr>
        <w:t xml:space="preserve">deberá remitir </w:t>
      </w:r>
      <w:r w:rsidRPr="0010408D">
        <w:rPr>
          <w:rFonts w:ascii="Arial" w:eastAsia="Arial" w:hAnsi="Arial" w:cs="Arial"/>
          <w:i/>
          <w:sz w:val="22"/>
          <w:szCs w:val="22"/>
        </w:rPr>
        <w:t xml:space="preserve">el expediente debidamente integrado y un </w:t>
      </w:r>
      <w:proofErr w:type="spellStart"/>
      <w:r w:rsidRPr="0010408D">
        <w:rPr>
          <w:rFonts w:ascii="Arial" w:eastAsia="Arial" w:hAnsi="Arial" w:cs="Arial"/>
          <w:i/>
          <w:sz w:val="22"/>
          <w:szCs w:val="22"/>
        </w:rPr>
        <w:t>pre-dictamen</w:t>
      </w:r>
      <w:proofErr w:type="spellEnd"/>
      <w:r w:rsidRPr="0010408D">
        <w:rPr>
          <w:rFonts w:ascii="Arial" w:eastAsia="Arial" w:hAnsi="Arial" w:cs="Arial"/>
          <w:i/>
          <w:sz w:val="22"/>
          <w:szCs w:val="22"/>
        </w:rPr>
        <w:t xml:space="preserve"> a la</w:t>
      </w:r>
      <w:r w:rsidRPr="0010408D">
        <w:rPr>
          <w:rFonts w:ascii="Arial" w:eastAsia="Arial" w:hAnsi="Arial" w:cs="Arial"/>
          <w:b/>
          <w:i/>
          <w:sz w:val="22"/>
          <w:szCs w:val="22"/>
        </w:rPr>
        <w:t xml:space="preserve"> Comisión Nacional </w:t>
      </w:r>
      <w:r w:rsidRPr="0010408D">
        <w:rPr>
          <w:rFonts w:ascii="Arial" w:eastAsia="Arial" w:hAnsi="Arial" w:cs="Arial"/>
          <w:i/>
          <w:sz w:val="22"/>
          <w:szCs w:val="22"/>
        </w:rPr>
        <w:t xml:space="preserve">para que </w:t>
      </w:r>
      <w:r w:rsidRPr="0010408D">
        <w:rPr>
          <w:rFonts w:ascii="Arial" w:eastAsia="Arial" w:hAnsi="Arial" w:cs="Arial"/>
          <w:b/>
          <w:i/>
          <w:sz w:val="22"/>
          <w:szCs w:val="22"/>
        </w:rPr>
        <w:t>resuelva</w:t>
      </w:r>
      <w:r w:rsidRPr="0010408D">
        <w:rPr>
          <w:rFonts w:ascii="Arial" w:eastAsia="Arial" w:hAnsi="Arial" w:cs="Arial"/>
          <w:i/>
          <w:sz w:val="22"/>
          <w:szCs w:val="22"/>
        </w:rPr>
        <w:t xml:space="preserve"> lo conducente dentro del plazo </w:t>
      </w:r>
      <w:r w:rsidRPr="0010408D">
        <w:rPr>
          <w:rFonts w:ascii="Arial" w:eastAsia="Arial" w:hAnsi="Arial" w:cs="Arial"/>
          <w:b/>
          <w:i/>
          <w:sz w:val="22"/>
          <w:szCs w:val="22"/>
        </w:rPr>
        <w:t>de diez días naturales</w:t>
      </w:r>
      <w:r w:rsidRPr="0010408D">
        <w:rPr>
          <w:rFonts w:ascii="Arial" w:eastAsia="Arial" w:hAnsi="Arial" w:cs="Arial"/>
          <w:i/>
          <w:sz w:val="22"/>
          <w:szCs w:val="22"/>
        </w:rPr>
        <w:t>, contados a partir de la recepción del expediente.</w:t>
      </w:r>
    </w:p>
    <w:p w14:paraId="228085C2" w14:textId="77777777" w:rsidR="00CD5A9E" w:rsidRPr="0010408D" w:rsidRDefault="00CD5A9E" w:rsidP="0010408D">
      <w:pPr>
        <w:tabs>
          <w:tab w:val="left" w:pos="567"/>
        </w:tabs>
        <w:spacing w:line="276" w:lineRule="auto"/>
        <w:ind w:left="1276" w:right="760"/>
        <w:jc w:val="both"/>
        <w:rPr>
          <w:rFonts w:ascii="Arial" w:eastAsia="Arial" w:hAnsi="Arial" w:cs="Arial"/>
          <w:i/>
          <w:color w:val="000000"/>
          <w:sz w:val="22"/>
          <w:szCs w:val="22"/>
        </w:rPr>
      </w:pPr>
    </w:p>
    <w:p w14:paraId="379838AC" w14:textId="77777777" w:rsidR="00CD5A9E" w:rsidRPr="0010408D" w:rsidRDefault="00B76B80" w:rsidP="0010408D">
      <w:pPr>
        <w:tabs>
          <w:tab w:val="left" w:pos="5730"/>
        </w:tabs>
        <w:spacing w:line="276" w:lineRule="auto"/>
        <w:ind w:left="1276" w:right="760"/>
        <w:jc w:val="both"/>
        <w:rPr>
          <w:rFonts w:ascii="Arial" w:eastAsia="Arial" w:hAnsi="Arial" w:cs="Arial"/>
          <w:i/>
          <w:sz w:val="22"/>
          <w:szCs w:val="22"/>
        </w:rPr>
      </w:pPr>
      <w:r w:rsidRPr="0010408D">
        <w:rPr>
          <w:rFonts w:ascii="Arial" w:eastAsia="Arial" w:hAnsi="Arial" w:cs="Arial"/>
          <w:i/>
          <w:sz w:val="22"/>
          <w:szCs w:val="22"/>
        </w:rPr>
        <w:t>Lo anterior, en el entendido de que con la presente sentencia no se está prejuzgando sobre el surtimiento o no de los requisitos de procedencia de algún medio de impugnación, dado que ello le corresponde analizarlo y resolverlo al órgano partidario.</w:t>
      </w:r>
    </w:p>
    <w:p w14:paraId="65C2E61D" w14:textId="77777777" w:rsidR="00CD5A9E" w:rsidRPr="0010408D" w:rsidRDefault="00CD5A9E" w:rsidP="0010408D">
      <w:pPr>
        <w:tabs>
          <w:tab w:val="left" w:pos="5730"/>
        </w:tabs>
        <w:spacing w:line="276" w:lineRule="auto"/>
        <w:ind w:left="1276" w:right="760"/>
        <w:jc w:val="both"/>
        <w:rPr>
          <w:rFonts w:ascii="Arial" w:eastAsia="Arial" w:hAnsi="Arial" w:cs="Arial"/>
          <w:i/>
          <w:sz w:val="22"/>
          <w:szCs w:val="22"/>
        </w:rPr>
      </w:pPr>
    </w:p>
    <w:p w14:paraId="0102D941" w14:textId="77777777" w:rsidR="00CD5A9E" w:rsidRPr="0010408D" w:rsidRDefault="00B76B80" w:rsidP="0010408D">
      <w:pPr>
        <w:numPr>
          <w:ilvl w:val="0"/>
          <w:numId w:val="3"/>
        </w:numPr>
        <w:tabs>
          <w:tab w:val="left" w:pos="5730"/>
        </w:tabs>
        <w:spacing w:line="276" w:lineRule="auto"/>
        <w:ind w:left="1276" w:right="760"/>
        <w:jc w:val="both"/>
        <w:rPr>
          <w:rFonts w:ascii="Arial" w:eastAsia="Arial" w:hAnsi="Arial" w:cs="Arial"/>
          <w:i/>
          <w:sz w:val="22"/>
          <w:szCs w:val="22"/>
        </w:rPr>
      </w:pPr>
      <w:r w:rsidRPr="0010408D">
        <w:rPr>
          <w:rFonts w:ascii="Arial" w:eastAsia="Arial" w:hAnsi="Arial" w:cs="Arial"/>
          <w:i/>
          <w:sz w:val="22"/>
          <w:szCs w:val="22"/>
        </w:rPr>
        <w:t xml:space="preserve">Además, la Comisión Nacional </w:t>
      </w:r>
      <w:r w:rsidRPr="0010408D">
        <w:rPr>
          <w:rFonts w:ascii="Arial" w:eastAsia="Arial" w:hAnsi="Arial" w:cs="Arial"/>
          <w:b/>
          <w:i/>
          <w:sz w:val="22"/>
          <w:szCs w:val="22"/>
        </w:rPr>
        <w:t xml:space="preserve">deberá informar y acreditar </w:t>
      </w:r>
      <w:r w:rsidRPr="0010408D">
        <w:rPr>
          <w:rFonts w:ascii="Arial" w:eastAsia="Arial" w:hAnsi="Arial" w:cs="Arial"/>
          <w:i/>
          <w:sz w:val="22"/>
          <w:szCs w:val="22"/>
        </w:rPr>
        <w:t xml:space="preserve">ante este Tribunal Electoral el cumplimiento dado a lo ordenado, </w:t>
      </w:r>
      <w:r w:rsidRPr="0010408D">
        <w:rPr>
          <w:rFonts w:ascii="Arial" w:eastAsia="Arial" w:hAnsi="Arial" w:cs="Arial"/>
          <w:b/>
          <w:i/>
          <w:sz w:val="22"/>
          <w:szCs w:val="22"/>
        </w:rPr>
        <w:t>dentro de las setenta y dos horas</w:t>
      </w:r>
      <w:r w:rsidRPr="0010408D">
        <w:rPr>
          <w:rFonts w:ascii="Arial" w:eastAsia="Arial" w:hAnsi="Arial" w:cs="Arial"/>
          <w:i/>
          <w:sz w:val="22"/>
          <w:szCs w:val="22"/>
        </w:rPr>
        <w:t xml:space="preserve"> posteriores a que ello ocurra, anexando las constancias que así lo acredite.</w:t>
      </w:r>
    </w:p>
    <w:p w14:paraId="6555499C" w14:textId="77777777" w:rsidR="00CD5A9E" w:rsidRPr="0010408D" w:rsidRDefault="00CD5A9E" w:rsidP="0010408D">
      <w:pPr>
        <w:spacing w:line="276" w:lineRule="auto"/>
        <w:ind w:left="1276" w:right="760"/>
        <w:rPr>
          <w:rFonts w:ascii="Arial" w:eastAsia="Arial" w:hAnsi="Arial" w:cs="Arial"/>
          <w:i/>
          <w:sz w:val="22"/>
          <w:szCs w:val="22"/>
        </w:rPr>
      </w:pPr>
    </w:p>
    <w:p w14:paraId="13F5CBF4" w14:textId="77777777" w:rsidR="00CD5A9E" w:rsidRPr="0010408D" w:rsidRDefault="00B76B80" w:rsidP="0010408D">
      <w:pPr>
        <w:tabs>
          <w:tab w:val="left" w:pos="5730"/>
        </w:tabs>
        <w:spacing w:line="276" w:lineRule="auto"/>
        <w:ind w:left="1276" w:right="760"/>
        <w:jc w:val="both"/>
        <w:rPr>
          <w:rFonts w:ascii="Arial" w:eastAsia="Arial" w:hAnsi="Arial" w:cs="Arial"/>
          <w:i/>
          <w:sz w:val="22"/>
          <w:szCs w:val="22"/>
        </w:rPr>
      </w:pPr>
      <w:r w:rsidRPr="0010408D">
        <w:rPr>
          <w:rFonts w:ascii="Arial" w:eastAsia="Arial" w:hAnsi="Arial" w:cs="Arial"/>
          <w:i/>
          <w:sz w:val="22"/>
          <w:szCs w:val="22"/>
        </w:rPr>
        <w:t>Lo anterior, bajo apercibimiento que, de no cumplir en tiempo y forma con lo ordenado, se le impondrá la medida de apremio prevista en el artículo 44 fracción I de la Ley de Justicia, consistente en una multa de hasta cien veces el valor diario de la Unidad de Medida y Actualización.</w:t>
      </w:r>
    </w:p>
    <w:p w14:paraId="579E0C42" w14:textId="77777777" w:rsidR="00CD5A9E" w:rsidRPr="0010408D" w:rsidRDefault="00CD5A9E" w:rsidP="0010408D">
      <w:pPr>
        <w:tabs>
          <w:tab w:val="left" w:pos="5730"/>
        </w:tabs>
        <w:spacing w:line="276" w:lineRule="auto"/>
        <w:ind w:left="1276" w:right="760"/>
        <w:jc w:val="both"/>
        <w:rPr>
          <w:rFonts w:ascii="Arial" w:eastAsia="Arial" w:hAnsi="Arial" w:cs="Arial"/>
          <w:i/>
          <w:sz w:val="22"/>
          <w:szCs w:val="22"/>
        </w:rPr>
      </w:pPr>
    </w:p>
    <w:p w14:paraId="654917CA" w14:textId="77777777" w:rsidR="00CD5A9E" w:rsidRPr="0010408D" w:rsidRDefault="00B76B80" w:rsidP="0010408D">
      <w:pPr>
        <w:numPr>
          <w:ilvl w:val="0"/>
          <w:numId w:val="3"/>
        </w:numPr>
        <w:tabs>
          <w:tab w:val="left" w:pos="5730"/>
        </w:tabs>
        <w:spacing w:line="276" w:lineRule="auto"/>
        <w:ind w:left="1276" w:right="760"/>
        <w:jc w:val="both"/>
        <w:rPr>
          <w:rFonts w:ascii="Arial" w:eastAsia="Arial" w:hAnsi="Arial" w:cs="Arial"/>
          <w:i/>
          <w:sz w:val="22"/>
          <w:szCs w:val="22"/>
        </w:rPr>
      </w:pPr>
      <w:r w:rsidRPr="0010408D">
        <w:rPr>
          <w:rFonts w:ascii="Arial" w:eastAsia="Arial" w:hAnsi="Arial" w:cs="Arial"/>
          <w:i/>
          <w:sz w:val="22"/>
          <w:szCs w:val="22"/>
        </w:rPr>
        <w:t xml:space="preserve">Se </w:t>
      </w:r>
      <w:r w:rsidRPr="0010408D">
        <w:rPr>
          <w:rFonts w:ascii="Arial" w:eastAsia="Arial" w:hAnsi="Arial" w:cs="Arial"/>
          <w:b/>
          <w:i/>
          <w:sz w:val="22"/>
          <w:szCs w:val="22"/>
        </w:rPr>
        <w:t xml:space="preserve">instruye </w:t>
      </w:r>
      <w:r w:rsidRPr="0010408D">
        <w:rPr>
          <w:rFonts w:ascii="Arial" w:eastAsia="Arial" w:hAnsi="Arial" w:cs="Arial"/>
          <w:i/>
          <w:sz w:val="22"/>
          <w:szCs w:val="22"/>
        </w:rPr>
        <w:t xml:space="preserve">al </w:t>
      </w:r>
      <w:proofErr w:type="gramStart"/>
      <w:r w:rsidRPr="0010408D">
        <w:rPr>
          <w:rFonts w:ascii="Arial" w:eastAsia="Arial" w:hAnsi="Arial" w:cs="Arial"/>
          <w:i/>
          <w:sz w:val="22"/>
          <w:szCs w:val="22"/>
        </w:rPr>
        <w:t>Secretario General</w:t>
      </w:r>
      <w:proofErr w:type="gramEnd"/>
      <w:r w:rsidRPr="0010408D">
        <w:rPr>
          <w:rFonts w:ascii="Arial" w:eastAsia="Arial" w:hAnsi="Arial" w:cs="Arial"/>
          <w:i/>
          <w:sz w:val="22"/>
          <w:szCs w:val="22"/>
        </w:rPr>
        <w:t xml:space="preserve"> de Acuerdos de este Órgano Jurisdiccional para que remita el escrito de dieciséis de julio en original y anexos, a la Comisión Estatal</w:t>
      </w:r>
      <w:r w:rsidRPr="0010408D">
        <w:rPr>
          <w:rFonts w:ascii="Arial" w:eastAsia="Arial" w:hAnsi="Arial" w:cs="Arial"/>
          <w:i/>
          <w:color w:val="000000"/>
          <w:sz w:val="22"/>
          <w:szCs w:val="22"/>
        </w:rPr>
        <w:t>, previas anotaciones y/o certificaciones correspondientes, a efecto de que aquella instancia partidista cuente con los elementos necesarios para resolver lo que en Derecho corresponda.</w:t>
      </w:r>
    </w:p>
    <w:p w14:paraId="40229C17" w14:textId="77777777" w:rsidR="00CD5A9E" w:rsidRPr="0054090D" w:rsidRDefault="00CD5A9E">
      <w:pPr>
        <w:pBdr>
          <w:top w:val="nil"/>
          <w:left w:val="nil"/>
          <w:bottom w:val="nil"/>
          <w:right w:val="nil"/>
          <w:between w:val="nil"/>
        </w:pBdr>
        <w:tabs>
          <w:tab w:val="left" w:pos="567"/>
        </w:tabs>
        <w:spacing w:line="360" w:lineRule="auto"/>
        <w:jc w:val="both"/>
        <w:rPr>
          <w:rFonts w:ascii="Arial" w:eastAsia="Arial" w:hAnsi="Arial" w:cs="Arial"/>
          <w:color w:val="000000"/>
        </w:rPr>
      </w:pPr>
    </w:p>
    <w:p w14:paraId="0ACAF3ED" w14:textId="77777777" w:rsidR="00CD5A9E" w:rsidRPr="0054090D" w:rsidRDefault="00B76B80">
      <w:pPr>
        <w:pBdr>
          <w:top w:val="nil"/>
          <w:left w:val="nil"/>
          <w:bottom w:val="nil"/>
          <w:right w:val="nil"/>
          <w:between w:val="nil"/>
        </w:pBdr>
        <w:tabs>
          <w:tab w:val="left" w:pos="567"/>
        </w:tabs>
        <w:spacing w:line="360" w:lineRule="auto"/>
        <w:jc w:val="both"/>
        <w:rPr>
          <w:rFonts w:ascii="Arial" w:eastAsia="Arial" w:hAnsi="Arial" w:cs="Arial"/>
          <w:color w:val="000000"/>
        </w:rPr>
      </w:pPr>
      <w:r w:rsidRPr="0054090D">
        <w:rPr>
          <w:rFonts w:ascii="Arial" w:eastAsia="Arial" w:hAnsi="Arial" w:cs="Arial"/>
          <w:color w:val="000000"/>
        </w:rPr>
        <w:t>De la transcripción anterior se desprenden claramente las acciones que se debían llevar a cabo para dar cumplimiento, siendo las siguientes:</w:t>
      </w:r>
    </w:p>
    <w:p w14:paraId="26FC8F36" w14:textId="77777777" w:rsidR="00CD5A9E" w:rsidRPr="0054090D" w:rsidRDefault="00CD5A9E">
      <w:pPr>
        <w:pBdr>
          <w:top w:val="nil"/>
          <w:left w:val="nil"/>
          <w:bottom w:val="nil"/>
          <w:right w:val="nil"/>
          <w:between w:val="nil"/>
        </w:pBdr>
        <w:tabs>
          <w:tab w:val="left" w:pos="567"/>
        </w:tabs>
        <w:spacing w:line="360" w:lineRule="auto"/>
        <w:jc w:val="both"/>
        <w:rPr>
          <w:rFonts w:ascii="Arial" w:eastAsia="Arial" w:hAnsi="Arial" w:cs="Arial"/>
          <w:color w:val="000000"/>
        </w:rPr>
      </w:pPr>
    </w:p>
    <w:p w14:paraId="420EC25D" w14:textId="77777777" w:rsidR="00CD5A9E" w:rsidRPr="0054090D" w:rsidRDefault="00B76B80">
      <w:pPr>
        <w:numPr>
          <w:ilvl w:val="0"/>
          <w:numId w:val="1"/>
        </w:numPr>
        <w:pBdr>
          <w:top w:val="nil"/>
          <w:left w:val="nil"/>
          <w:bottom w:val="nil"/>
          <w:right w:val="nil"/>
          <w:between w:val="nil"/>
        </w:pBdr>
        <w:tabs>
          <w:tab w:val="left" w:pos="567"/>
        </w:tabs>
        <w:spacing w:line="360" w:lineRule="auto"/>
        <w:jc w:val="both"/>
        <w:rPr>
          <w:b/>
          <w:color w:val="000000"/>
        </w:rPr>
      </w:pPr>
      <w:r w:rsidRPr="0054090D">
        <w:rPr>
          <w:rFonts w:ascii="Arial" w:eastAsia="Arial" w:hAnsi="Arial" w:cs="Arial"/>
          <w:b/>
          <w:color w:val="000000"/>
        </w:rPr>
        <w:t xml:space="preserve">Secretaría General de Acuerdos de este Tribunal Electoral </w:t>
      </w:r>
    </w:p>
    <w:p w14:paraId="4B434905" w14:textId="77777777" w:rsidR="00CD5A9E" w:rsidRPr="0054090D" w:rsidRDefault="00CD5A9E">
      <w:pPr>
        <w:pBdr>
          <w:top w:val="nil"/>
          <w:left w:val="nil"/>
          <w:bottom w:val="nil"/>
          <w:right w:val="nil"/>
          <w:between w:val="nil"/>
        </w:pBdr>
        <w:tabs>
          <w:tab w:val="left" w:pos="567"/>
        </w:tabs>
        <w:spacing w:line="360" w:lineRule="auto"/>
        <w:jc w:val="both"/>
        <w:rPr>
          <w:rFonts w:ascii="Arial" w:eastAsia="Arial" w:hAnsi="Arial" w:cs="Arial"/>
          <w:color w:val="000000"/>
        </w:rPr>
      </w:pPr>
    </w:p>
    <w:p w14:paraId="6F55197C" w14:textId="77777777" w:rsidR="00CD5A9E" w:rsidRPr="0054090D" w:rsidRDefault="00B76B80">
      <w:pPr>
        <w:pBdr>
          <w:top w:val="nil"/>
          <w:left w:val="nil"/>
          <w:bottom w:val="nil"/>
          <w:right w:val="nil"/>
          <w:between w:val="nil"/>
        </w:pBdr>
        <w:tabs>
          <w:tab w:val="left" w:pos="567"/>
        </w:tabs>
        <w:spacing w:line="360" w:lineRule="auto"/>
        <w:jc w:val="both"/>
        <w:rPr>
          <w:rFonts w:ascii="Arial" w:eastAsia="Arial" w:hAnsi="Arial" w:cs="Arial"/>
          <w:i/>
          <w:color w:val="000000"/>
        </w:rPr>
      </w:pPr>
      <w:r w:rsidRPr="0054090D">
        <w:rPr>
          <w:rFonts w:ascii="Arial" w:eastAsia="Arial" w:hAnsi="Arial" w:cs="Arial"/>
          <w:color w:val="000000"/>
        </w:rPr>
        <w:t xml:space="preserve">-Remitir el escrito de dieciséis de julio en original y anexos a la </w:t>
      </w:r>
      <w:r w:rsidRPr="0054090D">
        <w:rPr>
          <w:rFonts w:ascii="Arial" w:eastAsia="Arial" w:hAnsi="Arial" w:cs="Arial"/>
          <w:i/>
          <w:color w:val="000000"/>
        </w:rPr>
        <w:t>Comisión Estatal.</w:t>
      </w:r>
    </w:p>
    <w:p w14:paraId="2EBF8DA1" w14:textId="77777777" w:rsidR="00CD5A9E" w:rsidRPr="0054090D" w:rsidRDefault="00CD5A9E">
      <w:pPr>
        <w:pBdr>
          <w:top w:val="nil"/>
          <w:left w:val="nil"/>
          <w:bottom w:val="nil"/>
          <w:right w:val="nil"/>
          <w:between w:val="nil"/>
        </w:pBdr>
        <w:tabs>
          <w:tab w:val="left" w:pos="567"/>
        </w:tabs>
        <w:spacing w:line="360" w:lineRule="auto"/>
        <w:jc w:val="both"/>
        <w:rPr>
          <w:rFonts w:ascii="Arial" w:eastAsia="Arial" w:hAnsi="Arial" w:cs="Arial"/>
          <w:i/>
          <w:color w:val="000000"/>
        </w:rPr>
      </w:pPr>
    </w:p>
    <w:p w14:paraId="05A91C67" w14:textId="77777777" w:rsidR="00CD5A9E" w:rsidRPr="0054090D" w:rsidRDefault="00B76B80">
      <w:pPr>
        <w:numPr>
          <w:ilvl w:val="0"/>
          <w:numId w:val="1"/>
        </w:numPr>
        <w:pBdr>
          <w:top w:val="nil"/>
          <w:left w:val="nil"/>
          <w:bottom w:val="nil"/>
          <w:right w:val="nil"/>
          <w:between w:val="nil"/>
        </w:pBdr>
        <w:tabs>
          <w:tab w:val="left" w:pos="567"/>
        </w:tabs>
        <w:spacing w:line="360" w:lineRule="auto"/>
        <w:jc w:val="both"/>
        <w:rPr>
          <w:b/>
          <w:color w:val="000000"/>
        </w:rPr>
      </w:pPr>
      <w:r w:rsidRPr="0054090D">
        <w:rPr>
          <w:rFonts w:ascii="Arial" w:eastAsia="Arial" w:hAnsi="Arial" w:cs="Arial"/>
          <w:b/>
          <w:i/>
          <w:color w:val="000000"/>
        </w:rPr>
        <w:t>Comisión Estatal</w:t>
      </w:r>
    </w:p>
    <w:p w14:paraId="43B356C3" w14:textId="77777777" w:rsidR="00CD5A9E" w:rsidRPr="0054090D" w:rsidRDefault="00CD5A9E">
      <w:pPr>
        <w:pBdr>
          <w:top w:val="nil"/>
          <w:left w:val="nil"/>
          <w:bottom w:val="nil"/>
          <w:right w:val="nil"/>
          <w:between w:val="nil"/>
        </w:pBdr>
        <w:tabs>
          <w:tab w:val="left" w:pos="567"/>
        </w:tabs>
        <w:spacing w:line="360" w:lineRule="auto"/>
        <w:jc w:val="both"/>
        <w:rPr>
          <w:rFonts w:ascii="Arial" w:eastAsia="Arial" w:hAnsi="Arial" w:cs="Arial"/>
          <w:b/>
          <w:color w:val="000000"/>
        </w:rPr>
      </w:pPr>
    </w:p>
    <w:p w14:paraId="52144B49" w14:textId="77777777" w:rsidR="00CD5A9E" w:rsidRPr="0054090D" w:rsidRDefault="00B76B80">
      <w:pPr>
        <w:pBdr>
          <w:top w:val="nil"/>
          <w:left w:val="nil"/>
          <w:bottom w:val="nil"/>
          <w:right w:val="nil"/>
          <w:between w:val="nil"/>
        </w:pBdr>
        <w:tabs>
          <w:tab w:val="left" w:pos="567"/>
        </w:tabs>
        <w:spacing w:line="360" w:lineRule="auto"/>
        <w:jc w:val="both"/>
        <w:rPr>
          <w:rFonts w:ascii="Arial" w:eastAsia="Arial" w:hAnsi="Arial" w:cs="Arial"/>
          <w:color w:val="000000"/>
        </w:rPr>
      </w:pPr>
      <w:r w:rsidRPr="0054090D">
        <w:rPr>
          <w:rFonts w:ascii="Arial" w:eastAsia="Arial" w:hAnsi="Arial" w:cs="Arial"/>
          <w:color w:val="000000"/>
        </w:rPr>
        <w:lastRenderedPageBreak/>
        <w:t>-Sustanciar el medio de impugnación que considerara idóneo, dentro de las cuarenta y ocho horas siguientes a la recepción del escrito.</w:t>
      </w:r>
    </w:p>
    <w:p w14:paraId="6F98FE31" w14:textId="77777777" w:rsidR="00CD5A9E" w:rsidRPr="0054090D" w:rsidRDefault="00B76B80">
      <w:pPr>
        <w:pBdr>
          <w:top w:val="nil"/>
          <w:left w:val="nil"/>
          <w:bottom w:val="nil"/>
          <w:right w:val="nil"/>
          <w:between w:val="nil"/>
        </w:pBdr>
        <w:tabs>
          <w:tab w:val="left" w:pos="567"/>
        </w:tabs>
        <w:spacing w:line="360" w:lineRule="auto"/>
        <w:jc w:val="both"/>
        <w:rPr>
          <w:rFonts w:ascii="Arial" w:eastAsia="Arial" w:hAnsi="Arial" w:cs="Arial"/>
          <w:color w:val="000000"/>
        </w:rPr>
      </w:pPr>
      <w:r w:rsidRPr="0054090D">
        <w:rPr>
          <w:rFonts w:ascii="Arial" w:eastAsia="Arial" w:hAnsi="Arial" w:cs="Arial"/>
          <w:color w:val="000000"/>
        </w:rPr>
        <w:t xml:space="preserve">-Remitir el expediente debidamente integrado y un </w:t>
      </w:r>
      <w:proofErr w:type="spellStart"/>
      <w:r w:rsidRPr="0054090D">
        <w:rPr>
          <w:rFonts w:ascii="Arial" w:eastAsia="Arial" w:hAnsi="Arial" w:cs="Arial"/>
          <w:color w:val="000000"/>
        </w:rPr>
        <w:t>pre-dictamen</w:t>
      </w:r>
      <w:proofErr w:type="spellEnd"/>
      <w:r w:rsidRPr="0054090D">
        <w:rPr>
          <w:rFonts w:ascii="Arial" w:eastAsia="Arial" w:hAnsi="Arial" w:cs="Arial"/>
          <w:color w:val="000000"/>
        </w:rPr>
        <w:t xml:space="preserve"> a la </w:t>
      </w:r>
      <w:r w:rsidRPr="0054090D">
        <w:rPr>
          <w:rFonts w:ascii="Arial" w:eastAsia="Arial" w:hAnsi="Arial" w:cs="Arial"/>
          <w:i/>
          <w:color w:val="000000"/>
        </w:rPr>
        <w:t>Comisión Nacional</w:t>
      </w:r>
      <w:r w:rsidRPr="0054090D">
        <w:rPr>
          <w:rFonts w:ascii="Arial" w:eastAsia="Arial" w:hAnsi="Arial" w:cs="Arial"/>
          <w:color w:val="000000"/>
        </w:rPr>
        <w:t>.</w:t>
      </w:r>
    </w:p>
    <w:p w14:paraId="5B5C935D" w14:textId="77777777" w:rsidR="00CD5A9E" w:rsidRPr="0054090D" w:rsidRDefault="00CD5A9E">
      <w:pPr>
        <w:pBdr>
          <w:top w:val="nil"/>
          <w:left w:val="nil"/>
          <w:bottom w:val="nil"/>
          <w:right w:val="nil"/>
          <w:between w:val="nil"/>
        </w:pBdr>
        <w:tabs>
          <w:tab w:val="left" w:pos="567"/>
        </w:tabs>
        <w:spacing w:line="360" w:lineRule="auto"/>
        <w:jc w:val="both"/>
        <w:rPr>
          <w:rFonts w:ascii="Arial" w:eastAsia="Arial" w:hAnsi="Arial" w:cs="Arial"/>
          <w:color w:val="000000"/>
        </w:rPr>
      </w:pPr>
    </w:p>
    <w:p w14:paraId="098E307A" w14:textId="77777777" w:rsidR="00CD5A9E" w:rsidRPr="0054090D" w:rsidRDefault="00B76B80">
      <w:pPr>
        <w:numPr>
          <w:ilvl w:val="0"/>
          <w:numId w:val="1"/>
        </w:numPr>
        <w:pBdr>
          <w:top w:val="nil"/>
          <w:left w:val="nil"/>
          <w:bottom w:val="nil"/>
          <w:right w:val="nil"/>
          <w:between w:val="nil"/>
        </w:pBdr>
        <w:tabs>
          <w:tab w:val="left" w:pos="567"/>
        </w:tabs>
        <w:spacing w:line="360" w:lineRule="auto"/>
        <w:jc w:val="both"/>
        <w:rPr>
          <w:b/>
          <w:i/>
          <w:color w:val="000000"/>
        </w:rPr>
      </w:pPr>
      <w:r w:rsidRPr="0054090D">
        <w:rPr>
          <w:rFonts w:ascii="Arial" w:eastAsia="Arial" w:hAnsi="Arial" w:cs="Arial"/>
          <w:b/>
          <w:i/>
          <w:color w:val="000000"/>
        </w:rPr>
        <w:t>Comisión Nacional</w:t>
      </w:r>
    </w:p>
    <w:p w14:paraId="2EE67C0F" w14:textId="77777777" w:rsidR="00CD5A9E" w:rsidRPr="0054090D" w:rsidRDefault="00CD5A9E">
      <w:pPr>
        <w:pBdr>
          <w:top w:val="nil"/>
          <w:left w:val="nil"/>
          <w:bottom w:val="nil"/>
          <w:right w:val="nil"/>
          <w:between w:val="nil"/>
        </w:pBdr>
        <w:tabs>
          <w:tab w:val="left" w:pos="567"/>
        </w:tabs>
        <w:spacing w:line="360" w:lineRule="auto"/>
        <w:jc w:val="both"/>
        <w:rPr>
          <w:rFonts w:ascii="Arial" w:eastAsia="Arial" w:hAnsi="Arial" w:cs="Arial"/>
          <w:b/>
          <w:i/>
          <w:color w:val="000000"/>
        </w:rPr>
      </w:pPr>
    </w:p>
    <w:p w14:paraId="5B3206B7" w14:textId="77777777" w:rsidR="00CD5A9E" w:rsidRPr="0054090D" w:rsidRDefault="00B76B80">
      <w:pPr>
        <w:pBdr>
          <w:top w:val="nil"/>
          <w:left w:val="nil"/>
          <w:bottom w:val="nil"/>
          <w:right w:val="nil"/>
          <w:between w:val="nil"/>
        </w:pBdr>
        <w:tabs>
          <w:tab w:val="left" w:pos="567"/>
        </w:tabs>
        <w:spacing w:line="360" w:lineRule="auto"/>
        <w:jc w:val="both"/>
        <w:rPr>
          <w:rFonts w:ascii="Arial" w:eastAsia="Arial" w:hAnsi="Arial" w:cs="Arial"/>
          <w:color w:val="000000"/>
        </w:rPr>
      </w:pPr>
      <w:r w:rsidRPr="0054090D">
        <w:rPr>
          <w:rFonts w:ascii="Arial" w:eastAsia="Arial" w:hAnsi="Arial" w:cs="Arial"/>
          <w:color w:val="000000"/>
        </w:rPr>
        <w:t>-Resolver lo conducente dentro del plazo de diez días naturales, contados a partir de la recepción del expediente.</w:t>
      </w:r>
    </w:p>
    <w:p w14:paraId="29388E52" w14:textId="77777777" w:rsidR="00CD5A9E" w:rsidRPr="0054090D" w:rsidRDefault="00B76B80">
      <w:pPr>
        <w:pBdr>
          <w:top w:val="nil"/>
          <w:left w:val="nil"/>
          <w:bottom w:val="nil"/>
          <w:right w:val="nil"/>
          <w:between w:val="nil"/>
        </w:pBdr>
        <w:tabs>
          <w:tab w:val="left" w:pos="567"/>
        </w:tabs>
        <w:spacing w:line="360" w:lineRule="auto"/>
        <w:jc w:val="both"/>
        <w:rPr>
          <w:rFonts w:ascii="Arial" w:eastAsia="Arial" w:hAnsi="Arial" w:cs="Arial"/>
          <w:color w:val="000000"/>
        </w:rPr>
      </w:pPr>
      <w:r w:rsidRPr="0054090D">
        <w:rPr>
          <w:rFonts w:ascii="Arial" w:eastAsia="Arial" w:hAnsi="Arial" w:cs="Arial"/>
          <w:color w:val="000000"/>
        </w:rPr>
        <w:t>-Informar y acreditar ante este Tribunal Electoral el cumplimiento dado a lo ordenado, dentro de las cuarenta y dos horas posteriores a su resolución, anexando las constancias que así lo acreditara.</w:t>
      </w:r>
    </w:p>
    <w:p w14:paraId="79B8B295" w14:textId="77777777" w:rsidR="00CD5A9E" w:rsidRPr="0054090D" w:rsidRDefault="00CD5A9E">
      <w:pPr>
        <w:pBdr>
          <w:top w:val="nil"/>
          <w:left w:val="nil"/>
          <w:bottom w:val="nil"/>
          <w:right w:val="nil"/>
          <w:between w:val="nil"/>
        </w:pBdr>
        <w:tabs>
          <w:tab w:val="left" w:pos="567"/>
        </w:tabs>
        <w:spacing w:line="360" w:lineRule="auto"/>
        <w:jc w:val="both"/>
        <w:rPr>
          <w:rFonts w:ascii="Arial" w:eastAsia="Arial" w:hAnsi="Arial" w:cs="Arial"/>
          <w:color w:val="000000"/>
        </w:rPr>
      </w:pPr>
    </w:p>
    <w:p w14:paraId="3DA7F351" w14:textId="77777777" w:rsidR="00CD5A9E" w:rsidRPr="0054090D" w:rsidRDefault="00B76B80">
      <w:pPr>
        <w:spacing w:line="360" w:lineRule="auto"/>
        <w:jc w:val="center"/>
        <w:rPr>
          <w:rFonts w:ascii="Arial" w:eastAsia="Arial" w:hAnsi="Arial" w:cs="Arial"/>
        </w:rPr>
      </w:pPr>
      <w:r w:rsidRPr="0054090D">
        <w:rPr>
          <w:rFonts w:ascii="Arial" w:eastAsia="Arial" w:hAnsi="Arial" w:cs="Arial"/>
          <w:b/>
        </w:rPr>
        <w:t>IV. ANÁLISIS SOBRE EL CUMPLIMIENTO DE LA SENTENCIA</w:t>
      </w:r>
    </w:p>
    <w:p w14:paraId="6F2E478F" w14:textId="77777777" w:rsidR="00CD5A9E" w:rsidRPr="0054090D" w:rsidRDefault="00CD5A9E">
      <w:pPr>
        <w:spacing w:line="360" w:lineRule="auto"/>
        <w:jc w:val="center"/>
        <w:rPr>
          <w:rFonts w:ascii="Arial" w:eastAsia="Arial" w:hAnsi="Arial" w:cs="Arial"/>
        </w:rPr>
      </w:pPr>
    </w:p>
    <w:p w14:paraId="5D7C30AF" w14:textId="77777777" w:rsidR="00CD5A9E" w:rsidRPr="0054090D" w:rsidRDefault="00B76B80">
      <w:pPr>
        <w:spacing w:line="360" w:lineRule="auto"/>
        <w:jc w:val="both"/>
        <w:rPr>
          <w:rFonts w:ascii="Arial" w:eastAsia="Arial" w:hAnsi="Arial" w:cs="Arial"/>
        </w:rPr>
      </w:pPr>
      <w:r w:rsidRPr="0054090D">
        <w:rPr>
          <w:rFonts w:ascii="Arial" w:eastAsia="Arial" w:hAnsi="Arial" w:cs="Arial"/>
        </w:rPr>
        <w:t>Como lo ha sostenido Sala Superior del Tribunal Electoral del Poder Judicial de la Federación,</w:t>
      </w:r>
      <w:r w:rsidRPr="0054090D">
        <w:rPr>
          <w:rFonts w:ascii="Arial" w:eastAsia="Arial" w:hAnsi="Arial" w:cs="Arial"/>
          <w:vertAlign w:val="superscript"/>
        </w:rPr>
        <w:footnoteReference w:id="19"/>
      </w:r>
      <w:r w:rsidRPr="0054090D">
        <w:rPr>
          <w:rFonts w:ascii="Arial" w:eastAsia="Arial" w:hAnsi="Arial" w:cs="Arial"/>
        </w:rPr>
        <w:t xml:space="preserve"> el objeto de la determinación sobre el cumplimiento de una sentencia o acuerdo plenario se encuentra delimitado por lo resuelto en estos, es decir, por la </w:t>
      </w:r>
      <w:r w:rsidRPr="0054090D">
        <w:rPr>
          <w:rFonts w:ascii="Arial" w:eastAsia="Arial" w:hAnsi="Arial" w:cs="Arial"/>
          <w:i/>
        </w:rPr>
        <w:t>litis</w:t>
      </w:r>
      <w:r w:rsidRPr="0054090D">
        <w:rPr>
          <w:rFonts w:ascii="Arial" w:eastAsia="Arial" w:hAnsi="Arial" w:cs="Arial"/>
        </w:rPr>
        <w:t>, sus fundamentos, su motivación, así como por los efectos que de ellos deriven, siendo estos aspectos los que circunscriben los alcances de la resolución que deba emitirse sobre el cumplimiento o no de la determinación emitida por este Tribunal Electoral.</w:t>
      </w:r>
    </w:p>
    <w:p w14:paraId="00648D9C" w14:textId="77777777" w:rsidR="00CD5A9E" w:rsidRPr="0054090D" w:rsidRDefault="00CD5A9E">
      <w:pPr>
        <w:spacing w:line="360" w:lineRule="auto"/>
        <w:jc w:val="both"/>
        <w:rPr>
          <w:rFonts w:ascii="Arial" w:eastAsia="Arial" w:hAnsi="Arial" w:cs="Arial"/>
        </w:rPr>
      </w:pPr>
    </w:p>
    <w:p w14:paraId="2C993998" w14:textId="77777777" w:rsidR="00CD5A9E" w:rsidRPr="0054090D" w:rsidRDefault="00B76B80">
      <w:pPr>
        <w:spacing w:line="360" w:lineRule="auto"/>
        <w:jc w:val="both"/>
        <w:rPr>
          <w:rFonts w:ascii="Arial" w:eastAsia="Arial" w:hAnsi="Arial" w:cs="Arial"/>
        </w:rPr>
      </w:pPr>
      <w:r w:rsidRPr="0054090D">
        <w:rPr>
          <w:rFonts w:ascii="Arial" w:eastAsia="Arial" w:hAnsi="Arial" w:cs="Arial"/>
        </w:rPr>
        <w:t>Por tanto, solo se hará cumplir aquello que se ordenó expresamente, con el objeto de materializar lo determinado por este Tribunal Electoral, y así lograr un cumplimiento eficaz en apego a lo que fue resuelto por este.</w:t>
      </w:r>
    </w:p>
    <w:p w14:paraId="0D433E3C" w14:textId="77777777" w:rsidR="00CD5A9E" w:rsidRPr="0054090D" w:rsidRDefault="00CD5A9E">
      <w:pPr>
        <w:spacing w:line="360" w:lineRule="auto"/>
        <w:jc w:val="both"/>
        <w:rPr>
          <w:rFonts w:ascii="Arial" w:eastAsia="Arial" w:hAnsi="Arial" w:cs="Arial"/>
        </w:rPr>
      </w:pPr>
    </w:p>
    <w:p w14:paraId="67B746A1" w14:textId="77777777" w:rsidR="00CD5A9E" w:rsidRPr="0054090D" w:rsidRDefault="00B76B80">
      <w:pPr>
        <w:numPr>
          <w:ilvl w:val="0"/>
          <w:numId w:val="2"/>
        </w:numPr>
        <w:pBdr>
          <w:top w:val="nil"/>
          <w:left w:val="nil"/>
          <w:bottom w:val="nil"/>
          <w:right w:val="nil"/>
          <w:between w:val="nil"/>
        </w:pBdr>
        <w:spacing w:line="360" w:lineRule="auto"/>
        <w:jc w:val="both"/>
        <w:rPr>
          <w:rFonts w:ascii="Arial" w:eastAsia="Arial" w:hAnsi="Arial" w:cs="Arial"/>
          <w:color w:val="000000"/>
        </w:rPr>
      </w:pPr>
      <w:r w:rsidRPr="0054090D">
        <w:rPr>
          <w:rFonts w:ascii="Arial" w:eastAsia="Arial" w:hAnsi="Arial" w:cs="Arial"/>
          <w:b/>
          <w:color w:val="000000"/>
        </w:rPr>
        <w:t>Material probatorio</w:t>
      </w:r>
    </w:p>
    <w:p w14:paraId="7D1D8F96" w14:textId="77777777" w:rsidR="00CD5A9E" w:rsidRPr="0054090D" w:rsidRDefault="00CD5A9E">
      <w:pPr>
        <w:pBdr>
          <w:top w:val="nil"/>
          <w:left w:val="nil"/>
          <w:bottom w:val="nil"/>
          <w:right w:val="nil"/>
          <w:between w:val="nil"/>
        </w:pBdr>
        <w:tabs>
          <w:tab w:val="left" w:pos="567"/>
        </w:tabs>
        <w:spacing w:line="360" w:lineRule="auto"/>
        <w:jc w:val="both"/>
        <w:rPr>
          <w:rFonts w:ascii="Arial" w:eastAsia="Arial" w:hAnsi="Arial" w:cs="Arial"/>
          <w:color w:val="000000"/>
        </w:rPr>
      </w:pPr>
    </w:p>
    <w:p w14:paraId="721A6C6B" w14:textId="77777777" w:rsidR="00CD5A9E" w:rsidRPr="0054090D" w:rsidRDefault="00B76B80">
      <w:pPr>
        <w:spacing w:line="360" w:lineRule="auto"/>
        <w:jc w:val="both"/>
        <w:rPr>
          <w:rFonts w:ascii="Arial" w:eastAsia="Arial" w:hAnsi="Arial" w:cs="Arial"/>
        </w:rPr>
      </w:pPr>
      <w:r w:rsidRPr="0054090D">
        <w:rPr>
          <w:rFonts w:ascii="Arial" w:eastAsia="Arial" w:hAnsi="Arial" w:cs="Arial"/>
          <w:b/>
        </w:rPr>
        <w:t>Secretaría General de Acuerdos</w:t>
      </w:r>
      <w:r w:rsidRPr="0054090D">
        <w:rPr>
          <w:rFonts w:ascii="Arial" w:eastAsia="Arial" w:hAnsi="Arial" w:cs="Arial"/>
        </w:rPr>
        <w:t xml:space="preserve"> </w:t>
      </w:r>
      <w:r w:rsidRPr="0054090D">
        <w:rPr>
          <w:rFonts w:ascii="Arial" w:eastAsia="Arial" w:hAnsi="Arial" w:cs="Arial"/>
          <w:b/>
        </w:rPr>
        <w:t>de este Tribunal Electoral</w:t>
      </w:r>
    </w:p>
    <w:p w14:paraId="7ABE39AE" w14:textId="77777777" w:rsidR="00CD5A9E" w:rsidRPr="0054090D" w:rsidRDefault="00CD5A9E">
      <w:pPr>
        <w:spacing w:line="360" w:lineRule="auto"/>
        <w:jc w:val="both"/>
        <w:rPr>
          <w:rFonts w:ascii="Arial" w:eastAsia="Arial" w:hAnsi="Arial" w:cs="Arial"/>
        </w:rPr>
      </w:pPr>
    </w:p>
    <w:p w14:paraId="6EB7CF4E" w14:textId="77777777" w:rsidR="00CD5A9E" w:rsidRPr="0054090D" w:rsidRDefault="00B76B80">
      <w:pPr>
        <w:spacing w:line="360" w:lineRule="auto"/>
        <w:jc w:val="both"/>
        <w:rPr>
          <w:rFonts w:ascii="Arial" w:eastAsia="Arial" w:hAnsi="Arial" w:cs="Arial"/>
        </w:rPr>
      </w:pPr>
      <w:bookmarkStart w:id="3" w:name="_4whmskjp4mj9" w:colFirst="0" w:colLast="0"/>
      <w:bookmarkEnd w:id="3"/>
      <w:r w:rsidRPr="0054090D">
        <w:rPr>
          <w:rFonts w:ascii="Arial" w:eastAsia="Arial" w:hAnsi="Arial" w:cs="Arial"/>
        </w:rPr>
        <w:t xml:space="preserve">-Original del acuse del oficio </w:t>
      </w:r>
      <w:r w:rsidRPr="0054090D">
        <w:rPr>
          <w:rFonts w:ascii="Arial" w:eastAsia="Arial" w:hAnsi="Arial" w:cs="Arial"/>
          <w:color w:val="000000"/>
        </w:rPr>
        <w:t xml:space="preserve">TEEM-SGA-2018/2025 de siete de agosto, signado por el </w:t>
      </w:r>
      <w:proofErr w:type="gramStart"/>
      <w:r w:rsidRPr="0054090D">
        <w:rPr>
          <w:rFonts w:ascii="Arial" w:eastAsia="Arial" w:hAnsi="Arial" w:cs="Arial"/>
          <w:color w:val="000000"/>
        </w:rPr>
        <w:t>Secretario General</w:t>
      </w:r>
      <w:proofErr w:type="gramEnd"/>
      <w:r w:rsidRPr="0054090D">
        <w:rPr>
          <w:rFonts w:ascii="Arial" w:eastAsia="Arial" w:hAnsi="Arial" w:cs="Arial"/>
          <w:color w:val="000000"/>
        </w:rPr>
        <w:t xml:space="preserve"> de Acuerdos, mediante el cual remitió a la </w:t>
      </w:r>
      <w:r w:rsidRPr="0054090D">
        <w:rPr>
          <w:rFonts w:ascii="Arial" w:eastAsia="Arial" w:hAnsi="Arial" w:cs="Arial"/>
          <w:i/>
          <w:color w:val="000000"/>
        </w:rPr>
        <w:t>Comisión Estatal</w:t>
      </w:r>
      <w:r w:rsidRPr="0054090D">
        <w:rPr>
          <w:rFonts w:ascii="Arial" w:eastAsia="Arial" w:hAnsi="Arial" w:cs="Arial"/>
          <w:color w:val="000000"/>
        </w:rPr>
        <w:t xml:space="preserve"> el original del escrito de dieciséis de julio y anexos, presentados por Irma Villagómez Carbajal</w:t>
      </w:r>
      <w:r w:rsidRPr="0054090D">
        <w:rPr>
          <w:rFonts w:ascii="Arial" w:eastAsia="Arial" w:hAnsi="Arial" w:cs="Arial"/>
        </w:rPr>
        <w:t>.</w:t>
      </w:r>
      <w:r w:rsidRPr="0054090D">
        <w:rPr>
          <w:rFonts w:ascii="Arial" w:eastAsia="Arial" w:hAnsi="Arial" w:cs="Arial"/>
          <w:vertAlign w:val="superscript"/>
        </w:rPr>
        <w:footnoteReference w:id="20"/>
      </w:r>
    </w:p>
    <w:p w14:paraId="1C98D05C" w14:textId="77777777" w:rsidR="00CD5A9E" w:rsidRPr="0054090D" w:rsidRDefault="00CD5A9E">
      <w:pPr>
        <w:spacing w:line="360" w:lineRule="auto"/>
        <w:jc w:val="both"/>
        <w:rPr>
          <w:rFonts w:ascii="Arial" w:eastAsia="Arial" w:hAnsi="Arial" w:cs="Arial"/>
          <w:color w:val="000000"/>
        </w:rPr>
      </w:pPr>
    </w:p>
    <w:p w14:paraId="2D7E17FD" w14:textId="77777777" w:rsidR="00CD5A9E" w:rsidRPr="0054090D" w:rsidRDefault="00B76B80">
      <w:pPr>
        <w:spacing w:line="360" w:lineRule="auto"/>
        <w:jc w:val="both"/>
        <w:rPr>
          <w:rFonts w:ascii="Arial" w:eastAsia="Arial" w:hAnsi="Arial" w:cs="Arial"/>
          <w:color w:val="000000"/>
        </w:rPr>
      </w:pPr>
      <w:r w:rsidRPr="0054090D">
        <w:rPr>
          <w:rFonts w:ascii="Arial" w:eastAsia="Arial" w:hAnsi="Arial" w:cs="Arial"/>
          <w:color w:val="000000"/>
        </w:rPr>
        <w:t xml:space="preserve">Posteriormente, </w:t>
      </w:r>
      <w:r w:rsidRPr="0054090D">
        <w:rPr>
          <w:rFonts w:ascii="Arial" w:eastAsia="Arial" w:hAnsi="Arial" w:cs="Arial"/>
        </w:rPr>
        <w:t xml:space="preserve">a fin de dar cumplimiento a lo ordenado en la </w:t>
      </w:r>
      <w:r w:rsidRPr="0054090D">
        <w:rPr>
          <w:rFonts w:ascii="Arial" w:eastAsia="Arial" w:hAnsi="Arial" w:cs="Arial"/>
          <w:i/>
        </w:rPr>
        <w:t>Sentencia</w:t>
      </w:r>
      <w:r w:rsidRPr="0054090D">
        <w:rPr>
          <w:rFonts w:ascii="Arial" w:eastAsia="Arial" w:hAnsi="Arial" w:cs="Arial"/>
        </w:rPr>
        <w:t xml:space="preserve"> se remitieron a este Tribunal Electoral</w:t>
      </w:r>
      <w:r w:rsidRPr="0054090D">
        <w:rPr>
          <w:rFonts w:ascii="Arial" w:eastAsia="Arial" w:hAnsi="Arial" w:cs="Arial"/>
          <w:i/>
        </w:rPr>
        <w:t xml:space="preserve"> </w:t>
      </w:r>
      <w:r w:rsidRPr="0054090D">
        <w:rPr>
          <w:rFonts w:ascii="Arial" w:eastAsia="Arial" w:hAnsi="Arial" w:cs="Arial"/>
        </w:rPr>
        <w:t>las siguientes constancias:</w:t>
      </w:r>
    </w:p>
    <w:p w14:paraId="596B1216" w14:textId="77777777" w:rsidR="00CD5A9E" w:rsidRPr="0054090D" w:rsidRDefault="00CD5A9E">
      <w:pPr>
        <w:spacing w:line="360" w:lineRule="auto"/>
        <w:jc w:val="both"/>
        <w:rPr>
          <w:rFonts w:ascii="Arial" w:eastAsia="Arial" w:hAnsi="Arial" w:cs="Arial"/>
        </w:rPr>
      </w:pPr>
    </w:p>
    <w:p w14:paraId="7BA1B346" w14:textId="77777777" w:rsidR="00CD5A9E" w:rsidRPr="0054090D" w:rsidRDefault="00B76B80">
      <w:pPr>
        <w:spacing w:line="360" w:lineRule="auto"/>
        <w:jc w:val="both"/>
        <w:rPr>
          <w:rFonts w:ascii="Arial" w:eastAsia="Arial" w:hAnsi="Arial" w:cs="Arial"/>
        </w:rPr>
      </w:pPr>
      <w:r w:rsidRPr="0054090D">
        <w:rPr>
          <w:rFonts w:ascii="Arial" w:eastAsia="Arial" w:hAnsi="Arial" w:cs="Arial"/>
          <w:b/>
          <w:i/>
          <w:color w:val="000000"/>
        </w:rPr>
        <w:t>Comisión Nacional</w:t>
      </w:r>
    </w:p>
    <w:p w14:paraId="05678A1B" w14:textId="77777777" w:rsidR="00CD5A9E" w:rsidRPr="0054090D" w:rsidRDefault="00CD5A9E">
      <w:pPr>
        <w:pBdr>
          <w:top w:val="nil"/>
          <w:left w:val="nil"/>
          <w:bottom w:val="nil"/>
          <w:right w:val="nil"/>
          <w:between w:val="nil"/>
        </w:pBdr>
        <w:tabs>
          <w:tab w:val="left" w:pos="567"/>
        </w:tabs>
        <w:spacing w:line="360" w:lineRule="auto"/>
        <w:jc w:val="both"/>
        <w:rPr>
          <w:rFonts w:ascii="Arial" w:eastAsia="Arial" w:hAnsi="Arial" w:cs="Arial"/>
          <w:color w:val="000000"/>
        </w:rPr>
      </w:pPr>
    </w:p>
    <w:p w14:paraId="7029E314" w14:textId="77777777" w:rsidR="00CD5A9E" w:rsidRPr="0054090D" w:rsidRDefault="00B76B80">
      <w:pPr>
        <w:pBdr>
          <w:top w:val="nil"/>
          <w:left w:val="nil"/>
          <w:bottom w:val="nil"/>
          <w:right w:val="nil"/>
          <w:between w:val="nil"/>
        </w:pBdr>
        <w:spacing w:line="360" w:lineRule="auto"/>
        <w:jc w:val="both"/>
        <w:rPr>
          <w:rFonts w:ascii="Arial" w:eastAsia="Arial" w:hAnsi="Arial" w:cs="Arial"/>
          <w:color w:val="000000"/>
        </w:rPr>
      </w:pPr>
      <w:r w:rsidRPr="0054090D">
        <w:rPr>
          <w:rFonts w:ascii="Arial" w:eastAsia="Arial" w:hAnsi="Arial" w:cs="Arial"/>
          <w:color w:val="000000"/>
        </w:rPr>
        <w:t xml:space="preserve">-Original del oficio CNJP-SGA-OF-591/2025 de veintinueve de agosto, signado por el </w:t>
      </w:r>
      <w:proofErr w:type="gramStart"/>
      <w:r w:rsidRPr="0054090D">
        <w:rPr>
          <w:rFonts w:ascii="Arial" w:eastAsia="Arial" w:hAnsi="Arial" w:cs="Arial"/>
          <w:color w:val="000000"/>
        </w:rPr>
        <w:t>Secretario General</w:t>
      </w:r>
      <w:proofErr w:type="gramEnd"/>
      <w:r w:rsidRPr="0054090D">
        <w:rPr>
          <w:rFonts w:ascii="Arial" w:eastAsia="Arial" w:hAnsi="Arial" w:cs="Arial"/>
          <w:color w:val="000000"/>
        </w:rPr>
        <w:t xml:space="preserve"> de Acuerdos de la </w:t>
      </w:r>
      <w:r w:rsidRPr="0054090D">
        <w:rPr>
          <w:rFonts w:ascii="Arial" w:eastAsia="Arial" w:hAnsi="Arial" w:cs="Arial"/>
          <w:i/>
          <w:color w:val="000000"/>
        </w:rPr>
        <w:t>Comisión Nacional</w:t>
      </w:r>
      <w:r w:rsidRPr="0054090D">
        <w:rPr>
          <w:rFonts w:ascii="Arial" w:eastAsia="Arial" w:hAnsi="Arial" w:cs="Arial"/>
          <w:color w:val="000000"/>
        </w:rPr>
        <w:t>, por medio del cual remitió a este Tribunal lo siguiente:</w:t>
      </w:r>
      <w:r w:rsidRPr="0054090D">
        <w:rPr>
          <w:rFonts w:ascii="Arial" w:eastAsia="Arial" w:hAnsi="Arial" w:cs="Arial"/>
          <w:color w:val="000000"/>
          <w:sz w:val="22"/>
          <w:szCs w:val="22"/>
          <w:vertAlign w:val="superscript"/>
        </w:rPr>
        <w:footnoteReference w:id="21"/>
      </w:r>
    </w:p>
    <w:p w14:paraId="11F97C17" w14:textId="77777777" w:rsidR="00CD5A9E" w:rsidRPr="0054090D" w:rsidRDefault="00B76B80">
      <w:pPr>
        <w:numPr>
          <w:ilvl w:val="0"/>
          <w:numId w:val="1"/>
        </w:numPr>
        <w:pBdr>
          <w:top w:val="nil"/>
          <w:left w:val="nil"/>
          <w:bottom w:val="nil"/>
          <w:right w:val="nil"/>
          <w:between w:val="nil"/>
        </w:pBdr>
        <w:spacing w:line="360" w:lineRule="auto"/>
        <w:jc w:val="both"/>
        <w:rPr>
          <w:color w:val="000000"/>
        </w:rPr>
      </w:pPr>
      <w:r w:rsidRPr="0054090D">
        <w:rPr>
          <w:rFonts w:ascii="Arial" w:eastAsia="Arial" w:hAnsi="Arial" w:cs="Arial"/>
          <w:color w:val="000000"/>
        </w:rPr>
        <w:t>Copia certificada de la resolución del Juicio para la Protección de los Derechos Partidarios de las y los Militantes, emitida el veintinueve de agosto, dentro del expediente CNJP-JDP-MICH-027/2025, y del acuerdo de solicitud de notificación anexo.</w:t>
      </w:r>
    </w:p>
    <w:p w14:paraId="2B1A41B8" w14:textId="77777777" w:rsidR="00CD5A9E" w:rsidRPr="0054090D" w:rsidRDefault="00CD5A9E">
      <w:pPr>
        <w:pBdr>
          <w:top w:val="nil"/>
          <w:left w:val="nil"/>
          <w:bottom w:val="nil"/>
          <w:right w:val="nil"/>
          <w:between w:val="nil"/>
        </w:pBdr>
        <w:spacing w:line="360" w:lineRule="auto"/>
        <w:jc w:val="both"/>
        <w:rPr>
          <w:rFonts w:ascii="Arial" w:eastAsia="Arial" w:hAnsi="Arial" w:cs="Arial"/>
          <w:color w:val="000000"/>
        </w:rPr>
      </w:pPr>
    </w:p>
    <w:p w14:paraId="2957EEA3" w14:textId="77777777" w:rsidR="00CD5A9E" w:rsidRPr="0054090D" w:rsidRDefault="00B76B80">
      <w:pPr>
        <w:pBdr>
          <w:top w:val="nil"/>
          <w:left w:val="nil"/>
          <w:bottom w:val="nil"/>
          <w:right w:val="nil"/>
          <w:between w:val="nil"/>
        </w:pBdr>
        <w:spacing w:line="360" w:lineRule="auto"/>
        <w:jc w:val="both"/>
        <w:rPr>
          <w:rFonts w:ascii="Arial" w:eastAsia="Arial" w:hAnsi="Arial" w:cs="Arial"/>
          <w:b/>
          <w:i/>
          <w:color w:val="000000"/>
        </w:rPr>
      </w:pPr>
      <w:r w:rsidRPr="0054090D">
        <w:rPr>
          <w:rFonts w:ascii="Arial" w:eastAsia="Arial" w:hAnsi="Arial" w:cs="Arial"/>
          <w:b/>
          <w:i/>
          <w:color w:val="000000"/>
        </w:rPr>
        <w:t>Comisión Estatal</w:t>
      </w:r>
    </w:p>
    <w:p w14:paraId="2D6A9EEF" w14:textId="77777777" w:rsidR="00CD5A9E" w:rsidRPr="0054090D" w:rsidRDefault="00CD5A9E">
      <w:pPr>
        <w:pBdr>
          <w:top w:val="nil"/>
          <w:left w:val="nil"/>
          <w:bottom w:val="nil"/>
          <w:right w:val="nil"/>
          <w:between w:val="nil"/>
        </w:pBdr>
        <w:spacing w:line="360" w:lineRule="auto"/>
        <w:jc w:val="both"/>
        <w:rPr>
          <w:rFonts w:ascii="Arial" w:eastAsia="Arial" w:hAnsi="Arial" w:cs="Arial"/>
          <w:b/>
          <w:color w:val="000000"/>
        </w:rPr>
      </w:pPr>
    </w:p>
    <w:p w14:paraId="6E6007BF" w14:textId="77777777" w:rsidR="00CD5A9E" w:rsidRPr="0054090D" w:rsidRDefault="00B76B80">
      <w:pPr>
        <w:pBdr>
          <w:top w:val="nil"/>
          <w:left w:val="nil"/>
          <w:bottom w:val="nil"/>
          <w:right w:val="nil"/>
          <w:between w:val="nil"/>
        </w:pBdr>
        <w:spacing w:line="360" w:lineRule="auto"/>
        <w:jc w:val="both"/>
        <w:rPr>
          <w:rFonts w:ascii="Arial" w:eastAsia="Arial" w:hAnsi="Arial" w:cs="Arial"/>
          <w:color w:val="000000"/>
        </w:rPr>
      </w:pPr>
      <w:r w:rsidRPr="0054090D">
        <w:rPr>
          <w:rFonts w:ascii="Arial" w:eastAsia="Arial" w:hAnsi="Arial" w:cs="Arial"/>
          <w:color w:val="000000"/>
        </w:rPr>
        <w:t xml:space="preserve">-Original del oficio PRI/CDE/MICH/20J.7/13/01/2025 de siete de octubre, signado por el </w:t>
      </w:r>
      <w:proofErr w:type="gramStart"/>
      <w:r w:rsidRPr="0054090D">
        <w:rPr>
          <w:rFonts w:ascii="Arial" w:eastAsia="Arial" w:hAnsi="Arial" w:cs="Arial"/>
          <w:color w:val="000000"/>
        </w:rPr>
        <w:t>Secretario General</w:t>
      </w:r>
      <w:proofErr w:type="gramEnd"/>
      <w:r w:rsidRPr="0054090D">
        <w:rPr>
          <w:rFonts w:ascii="Arial" w:eastAsia="Arial" w:hAnsi="Arial" w:cs="Arial"/>
          <w:color w:val="000000"/>
        </w:rPr>
        <w:t xml:space="preserve"> de Acuerdos de la </w:t>
      </w:r>
      <w:r w:rsidRPr="0054090D">
        <w:rPr>
          <w:rFonts w:ascii="Arial" w:eastAsia="Arial" w:hAnsi="Arial" w:cs="Arial"/>
          <w:i/>
          <w:color w:val="000000"/>
        </w:rPr>
        <w:t>Comisión Estatal</w:t>
      </w:r>
      <w:r w:rsidRPr="0054090D">
        <w:rPr>
          <w:rFonts w:ascii="Arial" w:eastAsia="Arial" w:hAnsi="Arial" w:cs="Arial"/>
          <w:color w:val="000000"/>
        </w:rPr>
        <w:t>,</w:t>
      </w:r>
      <w:r w:rsidRPr="0054090D">
        <w:rPr>
          <w:rFonts w:ascii="Calibri" w:eastAsia="Calibri" w:hAnsi="Calibri" w:cs="Calibri"/>
          <w:color w:val="000000"/>
          <w:sz w:val="22"/>
          <w:szCs w:val="22"/>
          <w:vertAlign w:val="superscript"/>
        </w:rPr>
        <w:footnoteReference w:id="22"/>
      </w:r>
      <w:r w:rsidRPr="0054090D">
        <w:rPr>
          <w:rFonts w:ascii="Arial" w:eastAsia="Arial" w:hAnsi="Arial" w:cs="Arial"/>
          <w:color w:val="000000"/>
        </w:rPr>
        <w:t xml:space="preserve"> por</w:t>
      </w:r>
      <w:r w:rsidRPr="0054090D">
        <w:rPr>
          <w:rFonts w:ascii="Arial" w:eastAsia="Arial" w:hAnsi="Arial" w:cs="Arial"/>
          <w:i/>
          <w:color w:val="000000"/>
        </w:rPr>
        <w:t xml:space="preserve"> </w:t>
      </w:r>
      <w:r w:rsidRPr="0054090D">
        <w:rPr>
          <w:rFonts w:ascii="Arial" w:eastAsia="Arial" w:hAnsi="Arial" w:cs="Arial"/>
          <w:color w:val="000000"/>
        </w:rPr>
        <w:t>medio del cual remitió a este Tribunal lo siguiente:</w:t>
      </w:r>
    </w:p>
    <w:p w14:paraId="75160AD1" w14:textId="77777777" w:rsidR="00CD5A9E" w:rsidRPr="0054090D" w:rsidRDefault="00B76B80">
      <w:pPr>
        <w:numPr>
          <w:ilvl w:val="0"/>
          <w:numId w:val="1"/>
        </w:numPr>
        <w:pBdr>
          <w:top w:val="nil"/>
          <w:left w:val="nil"/>
          <w:bottom w:val="nil"/>
          <w:right w:val="nil"/>
          <w:between w:val="nil"/>
        </w:pBdr>
        <w:spacing w:line="360" w:lineRule="auto"/>
        <w:jc w:val="both"/>
        <w:rPr>
          <w:color w:val="000000"/>
        </w:rPr>
      </w:pPr>
      <w:r w:rsidRPr="0054090D">
        <w:rPr>
          <w:rFonts w:ascii="Arial" w:eastAsia="Arial" w:hAnsi="Arial" w:cs="Arial"/>
          <w:color w:val="000000"/>
        </w:rPr>
        <w:t xml:space="preserve">Copia simple acuse de recibido del oficio PRI/CDE/MICH/20J.7/10/01/2025 de doce de agosto, signado por el </w:t>
      </w:r>
      <w:proofErr w:type="gramStart"/>
      <w:r w:rsidRPr="0054090D">
        <w:rPr>
          <w:rFonts w:ascii="Arial" w:eastAsia="Arial" w:hAnsi="Arial" w:cs="Arial"/>
          <w:color w:val="000000"/>
        </w:rPr>
        <w:t>Secretario General</w:t>
      </w:r>
      <w:proofErr w:type="gramEnd"/>
      <w:r w:rsidRPr="0054090D">
        <w:rPr>
          <w:rFonts w:ascii="Arial" w:eastAsia="Arial" w:hAnsi="Arial" w:cs="Arial"/>
          <w:color w:val="000000"/>
        </w:rPr>
        <w:t xml:space="preserve"> de Acuerdos de la </w:t>
      </w:r>
      <w:r w:rsidRPr="0054090D">
        <w:rPr>
          <w:rFonts w:ascii="Arial" w:eastAsia="Arial" w:hAnsi="Arial" w:cs="Arial"/>
          <w:i/>
          <w:color w:val="000000"/>
        </w:rPr>
        <w:t>Comisión Estatal</w:t>
      </w:r>
      <w:r w:rsidRPr="0054090D">
        <w:rPr>
          <w:rFonts w:ascii="Arial" w:eastAsia="Arial" w:hAnsi="Arial" w:cs="Arial"/>
          <w:color w:val="000000"/>
        </w:rPr>
        <w:t xml:space="preserve">, por el que remitió las constancias originales de los expedientes TEEM-JDC-205/2025 y acumulado al Comité Ejecutivo Nacional del </w:t>
      </w:r>
      <w:r w:rsidRPr="0054090D">
        <w:rPr>
          <w:rFonts w:ascii="Arial" w:eastAsia="Arial" w:hAnsi="Arial" w:cs="Arial"/>
          <w:i/>
          <w:color w:val="000000"/>
        </w:rPr>
        <w:t>PRI</w:t>
      </w:r>
      <w:r w:rsidRPr="0054090D">
        <w:rPr>
          <w:rFonts w:ascii="Arial" w:eastAsia="Arial" w:hAnsi="Arial" w:cs="Arial"/>
          <w:color w:val="000000"/>
        </w:rPr>
        <w:t>.</w:t>
      </w:r>
      <w:r w:rsidRPr="0054090D">
        <w:rPr>
          <w:rFonts w:ascii="Calibri" w:eastAsia="Calibri" w:hAnsi="Calibri" w:cs="Calibri"/>
          <w:color w:val="000000"/>
          <w:sz w:val="22"/>
          <w:szCs w:val="22"/>
          <w:vertAlign w:val="superscript"/>
        </w:rPr>
        <w:footnoteReference w:id="23"/>
      </w:r>
    </w:p>
    <w:p w14:paraId="69A9EB6F" w14:textId="77777777" w:rsidR="00CD5A9E" w:rsidRPr="0054090D" w:rsidRDefault="00B76B80">
      <w:pPr>
        <w:numPr>
          <w:ilvl w:val="0"/>
          <w:numId w:val="1"/>
        </w:numPr>
        <w:pBdr>
          <w:top w:val="nil"/>
          <w:left w:val="nil"/>
          <w:bottom w:val="nil"/>
          <w:right w:val="nil"/>
          <w:between w:val="nil"/>
        </w:pBdr>
        <w:spacing w:line="360" w:lineRule="auto"/>
        <w:jc w:val="both"/>
        <w:rPr>
          <w:color w:val="000000"/>
        </w:rPr>
      </w:pPr>
      <w:r w:rsidRPr="0054090D">
        <w:rPr>
          <w:rFonts w:ascii="Arial" w:eastAsia="Arial" w:hAnsi="Arial" w:cs="Arial"/>
          <w:color w:val="000000"/>
        </w:rPr>
        <w:t xml:space="preserve">Copia simple del acuerdo de incompetencia de once de agosto, signado por el </w:t>
      </w:r>
      <w:proofErr w:type="gramStart"/>
      <w:r w:rsidRPr="0054090D">
        <w:rPr>
          <w:rFonts w:ascii="Arial" w:eastAsia="Arial" w:hAnsi="Arial" w:cs="Arial"/>
          <w:color w:val="000000"/>
        </w:rPr>
        <w:t>Secretario General</w:t>
      </w:r>
      <w:proofErr w:type="gramEnd"/>
      <w:r w:rsidRPr="0054090D">
        <w:rPr>
          <w:rFonts w:ascii="Arial" w:eastAsia="Arial" w:hAnsi="Arial" w:cs="Arial"/>
          <w:color w:val="000000"/>
        </w:rPr>
        <w:t xml:space="preserve"> de Acuerdos de la </w:t>
      </w:r>
      <w:r w:rsidRPr="0054090D">
        <w:rPr>
          <w:rFonts w:ascii="Arial" w:eastAsia="Arial" w:hAnsi="Arial" w:cs="Arial"/>
          <w:i/>
          <w:color w:val="000000"/>
        </w:rPr>
        <w:t>Comisión Estatal</w:t>
      </w:r>
      <w:r w:rsidRPr="0054090D">
        <w:rPr>
          <w:rFonts w:ascii="Arial" w:eastAsia="Arial" w:hAnsi="Arial" w:cs="Arial"/>
          <w:color w:val="000000"/>
        </w:rPr>
        <w:t>.</w:t>
      </w:r>
      <w:r w:rsidRPr="0054090D">
        <w:rPr>
          <w:rFonts w:ascii="Calibri" w:eastAsia="Calibri" w:hAnsi="Calibri" w:cs="Calibri"/>
          <w:color w:val="000000"/>
          <w:sz w:val="22"/>
          <w:szCs w:val="22"/>
          <w:vertAlign w:val="superscript"/>
        </w:rPr>
        <w:footnoteReference w:id="24"/>
      </w:r>
    </w:p>
    <w:p w14:paraId="36B9F6BD" w14:textId="77777777" w:rsidR="00CD5A9E" w:rsidRPr="0054090D" w:rsidRDefault="00CD5A9E">
      <w:pPr>
        <w:pBdr>
          <w:top w:val="nil"/>
          <w:left w:val="nil"/>
          <w:bottom w:val="nil"/>
          <w:right w:val="nil"/>
          <w:between w:val="nil"/>
        </w:pBdr>
        <w:spacing w:line="360" w:lineRule="auto"/>
        <w:jc w:val="both"/>
        <w:rPr>
          <w:rFonts w:ascii="Arial" w:eastAsia="Arial" w:hAnsi="Arial" w:cs="Arial"/>
          <w:color w:val="000000"/>
        </w:rPr>
      </w:pPr>
    </w:p>
    <w:p w14:paraId="173B7C57" w14:textId="77777777" w:rsidR="00CD5A9E" w:rsidRPr="0054090D" w:rsidRDefault="00B76B80">
      <w:pPr>
        <w:spacing w:line="360" w:lineRule="auto"/>
        <w:jc w:val="both"/>
        <w:rPr>
          <w:rFonts w:ascii="Arial" w:eastAsia="Arial" w:hAnsi="Arial" w:cs="Arial"/>
          <w:b/>
          <w:i/>
        </w:rPr>
      </w:pPr>
      <w:r w:rsidRPr="0054090D">
        <w:rPr>
          <w:rFonts w:ascii="Arial" w:eastAsia="Arial" w:hAnsi="Arial" w:cs="Arial"/>
          <w:b/>
        </w:rPr>
        <w:t>Recabadas y allegadas por este Tribunal Electoral</w:t>
      </w:r>
    </w:p>
    <w:p w14:paraId="601DDA9D" w14:textId="77777777" w:rsidR="00CD5A9E" w:rsidRPr="0054090D" w:rsidRDefault="00CD5A9E">
      <w:pPr>
        <w:pBdr>
          <w:top w:val="nil"/>
          <w:left w:val="nil"/>
          <w:bottom w:val="nil"/>
          <w:right w:val="nil"/>
          <w:between w:val="nil"/>
        </w:pBdr>
        <w:spacing w:line="360" w:lineRule="auto"/>
        <w:jc w:val="both"/>
        <w:rPr>
          <w:rFonts w:ascii="Arial" w:eastAsia="Arial" w:hAnsi="Arial" w:cs="Arial"/>
          <w:color w:val="000000"/>
        </w:rPr>
      </w:pPr>
    </w:p>
    <w:p w14:paraId="74589E09" w14:textId="77777777" w:rsidR="00CD5A9E" w:rsidRPr="0054090D" w:rsidRDefault="00B76B80">
      <w:pPr>
        <w:pBdr>
          <w:top w:val="nil"/>
          <w:left w:val="nil"/>
          <w:bottom w:val="nil"/>
          <w:right w:val="nil"/>
          <w:between w:val="nil"/>
        </w:pBdr>
        <w:spacing w:line="360" w:lineRule="auto"/>
        <w:jc w:val="both"/>
        <w:rPr>
          <w:rFonts w:ascii="Arial" w:eastAsia="Arial" w:hAnsi="Arial" w:cs="Arial"/>
          <w:color w:val="000000"/>
        </w:rPr>
      </w:pPr>
      <w:r w:rsidRPr="0054090D">
        <w:rPr>
          <w:rFonts w:ascii="Arial" w:eastAsia="Arial" w:hAnsi="Arial" w:cs="Arial"/>
          <w:b/>
          <w:color w:val="000000"/>
        </w:rPr>
        <w:t>-</w:t>
      </w:r>
      <w:r w:rsidRPr="0054090D">
        <w:rPr>
          <w:rFonts w:ascii="Arial" w:eastAsia="Arial" w:hAnsi="Arial" w:cs="Arial"/>
          <w:color w:val="000000"/>
        </w:rPr>
        <w:t xml:space="preserve">Original del oficio PRI/CDE/MICH/20J.7/12/01/2025 de doce de agosto, signado por el </w:t>
      </w:r>
      <w:proofErr w:type="gramStart"/>
      <w:r w:rsidRPr="0054090D">
        <w:rPr>
          <w:rFonts w:ascii="Arial" w:eastAsia="Arial" w:hAnsi="Arial" w:cs="Arial"/>
          <w:color w:val="000000"/>
        </w:rPr>
        <w:t>Secretario General</w:t>
      </w:r>
      <w:proofErr w:type="gramEnd"/>
      <w:r w:rsidRPr="0054090D">
        <w:rPr>
          <w:rFonts w:ascii="Arial" w:eastAsia="Arial" w:hAnsi="Arial" w:cs="Arial"/>
          <w:color w:val="000000"/>
        </w:rPr>
        <w:t xml:space="preserve"> de Acuerdos de la </w:t>
      </w:r>
      <w:r w:rsidRPr="0054090D">
        <w:rPr>
          <w:rFonts w:ascii="Arial" w:eastAsia="Arial" w:hAnsi="Arial" w:cs="Arial"/>
          <w:i/>
          <w:color w:val="000000"/>
        </w:rPr>
        <w:t xml:space="preserve">Comisión Estatal, </w:t>
      </w:r>
      <w:r w:rsidRPr="0054090D">
        <w:rPr>
          <w:rFonts w:ascii="Arial" w:eastAsia="Arial" w:hAnsi="Arial" w:cs="Arial"/>
          <w:color w:val="000000"/>
        </w:rPr>
        <w:t>por el cual remitió lo siguiente.</w:t>
      </w:r>
      <w:r w:rsidRPr="0054090D">
        <w:rPr>
          <w:rFonts w:ascii="Arial" w:eastAsia="Arial" w:hAnsi="Arial" w:cs="Arial"/>
          <w:color w:val="000000"/>
          <w:vertAlign w:val="superscript"/>
        </w:rPr>
        <w:footnoteReference w:id="25"/>
      </w:r>
    </w:p>
    <w:p w14:paraId="06B3B9C8" w14:textId="77777777" w:rsidR="00CD5A9E" w:rsidRPr="0054090D" w:rsidRDefault="00B76B80">
      <w:pPr>
        <w:numPr>
          <w:ilvl w:val="0"/>
          <w:numId w:val="1"/>
        </w:numPr>
        <w:pBdr>
          <w:top w:val="nil"/>
          <w:left w:val="nil"/>
          <w:bottom w:val="nil"/>
          <w:right w:val="nil"/>
          <w:between w:val="nil"/>
        </w:pBdr>
        <w:spacing w:line="360" w:lineRule="auto"/>
        <w:jc w:val="both"/>
        <w:rPr>
          <w:color w:val="000000"/>
        </w:rPr>
      </w:pPr>
      <w:bookmarkStart w:id="4" w:name="_4pu5tqijxxp6" w:colFirst="0" w:colLast="0"/>
      <w:bookmarkEnd w:id="4"/>
      <w:r w:rsidRPr="0054090D">
        <w:rPr>
          <w:rFonts w:ascii="Arial" w:eastAsia="Arial" w:hAnsi="Arial" w:cs="Arial"/>
          <w:color w:val="000000"/>
        </w:rPr>
        <w:lastRenderedPageBreak/>
        <w:t xml:space="preserve">Copia certificada el oficio PRI/CDE/MICH/20J.7/10/01/2025 de doce de agosto, signado por el </w:t>
      </w:r>
      <w:proofErr w:type="gramStart"/>
      <w:r w:rsidRPr="0054090D">
        <w:rPr>
          <w:rFonts w:ascii="Arial" w:eastAsia="Arial" w:hAnsi="Arial" w:cs="Arial"/>
          <w:color w:val="000000"/>
        </w:rPr>
        <w:t>Secretario General</w:t>
      </w:r>
      <w:proofErr w:type="gramEnd"/>
      <w:r w:rsidRPr="0054090D">
        <w:rPr>
          <w:rFonts w:ascii="Arial" w:eastAsia="Arial" w:hAnsi="Arial" w:cs="Arial"/>
          <w:color w:val="000000"/>
        </w:rPr>
        <w:t xml:space="preserve"> de Acuerdos de la </w:t>
      </w:r>
      <w:r w:rsidRPr="0054090D">
        <w:rPr>
          <w:rFonts w:ascii="Arial" w:eastAsia="Arial" w:hAnsi="Arial" w:cs="Arial"/>
          <w:i/>
          <w:color w:val="000000"/>
        </w:rPr>
        <w:t>Comisión Estatal</w:t>
      </w:r>
      <w:r w:rsidRPr="0054090D">
        <w:rPr>
          <w:rFonts w:ascii="Arial" w:eastAsia="Arial" w:hAnsi="Arial" w:cs="Arial"/>
          <w:color w:val="000000"/>
        </w:rPr>
        <w:t xml:space="preserve">, por el que remitió las constancias originales de los expedientes TEEM-JDC-205/2025 y acumulado al Comité Ejecutivo Nacional del </w:t>
      </w:r>
      <w:r w:rsidRPr="0054090D">
        <w:rPr>
          <w:rFonts w:ascii="Arial" w:eastAsia="Arial" w:hAnsi="Arial" w:cs="Arial"/>
          <w:i/>
          <w:color w:val="000000"/>
        </w:rPr>
        <w:t>PRI</w:t>
      </w:r>
      <w:r w:rsidRPr="0054090D">
        <w:rPr>
          <w:rFonts w:ascii="Arial" w:eastAsia="Arial" w:hAnsi="Arial" w:cs="Arial"/>
          <w:color w:val="000000"/>
        </w:rPr>
        <w:t>.</w:t>
      </w:r>
      <w:r w:rsidRPr="0054090D">
        <w:rPr>
          <w:color w:val="000000"/>
          <w:vertAlign w:val="superscript"/>
        </w:rPr>
        <w:footnoteReference w:id="26"/>
      </w:r>
    </w:p>
    <w:p w14:paraId="37EAE089" w14:textId="77777777" w:rsidR="00CD5A9E" w:rsidRPr="0054090D" w:rsidRDefault="00B76B80">
      <w:pPr>
        <w:numPr>
          <w:ilvl w:val="0"/>
          <w:numId w:val="1"/>
        </w:numPr>
        <w:pBdr>
          <w:top w:val="nil"/>
          <w:left w:val="nil"/>
          <w:bottom w:val="nil"/>
          <w:right w:val="nil"/>
          <w:between w:val="nil"/>
        </w:pBdr>
        <w:spacing w:line="360" w:lineRule="auto"/>
        <w:jc w:val="both"/>
        <w:rPr>
          <w:color w:val="000000"/>
        </w:rPr>
      </w:pPr>
      <w:r w:rsidRPr="0054090D">
        <w:rPr>
          <w:rFonts w:ascii="Arial" w:eastAsia="Arial" w:hAnsi="Arial" w:cs="Arial"/>
          <w:color w:val="000000"/>
        </w:rPr>
        <w:t xml:space="preserve">Original de la cédula de notificación de la resolución del expediente CNJP-JDP-MICH-027/2025, con fecha de recepción de dieciocho de septiembre, dirigida a Vicente Manuel García </w:t>
      </w:r>
      <w:proofErr w:type="spellStart"/>
      <w:r w:rsidRPr="0054090D">
        <w:rPr>
          <w:rFonts w:ascii="Arial" w:eastAsia="Arial" w:hAnsi="Arial" w:cs="Arial"/>
          <w:color w:val="000000"/>
        </w:rPr>
        <w:t>Paulín</w:t>
      </w:r>
      <w:proofErr w:type="spellEnd"/>
      <w:r w:rsidRPr="0054090D">
        <w:rPr>
          <w:rFonts w:ascii="Arial" w:eastAsia="Arial" w:hAnsi="Arial" w:cs="Arial"/>
          <w:color w:val="000000"/>
        </w:rPr>
        <w:t xml:space="preserve"> e Irma Villagómez Carbajal.</w:t>
      </w:r>
      <w:r w:rsidRPr="0054090D">
        <w:rPr>
          <w:rFonts w:ascii="Calibri" w:eastAsia="Calibri" w:hAnsi="Calibri" w:cs="Calibri"/>
          <w:color w:val="000000"/>
          <w:sz w:val="22"/>
          <w:szCs w:val="22"/>
          <w:vertAlign w:val="superscript"/>
        </w:rPr>
        <w:footnoteReference w:id="27"/>
      </w:r>
    </w:p>
    <w:p w14:paraId="48B4A80F" w14:textId="77777777" w:rsidR="00CD5A9E" w:rsidRPr="0054090D" w:rsidRDefault="00B76B80">
      <w:pPr>
        <w:numPr>
          <w:ilvl w:val="0"/>
          <w:numId w:val="1"/>
        </w:numPr>
        <w:pBdr>
          <w:top w:val="nil"/>
          <w:left w:val="nil"/>
          <w:bottom w:val="nil"/>
          <w:right w:val="nil"/>
          <w:between w:val="nil"/>
        </w:pBdr>
        <w:spacing w:line="360" w:lineRule="auto"/>
        <w:jc w:val="both"/>
        <w:rPr>
          <w:color w:val="000000"/>
        </w:rPr>
      </w:pPr>
      <w:r w:rsidRPr="0054090D">
        <w:rPr>
          <w:rFonts w:ascii="Arial" w:eastAsia="Arial" w:hAnsi="Arial" w:cs="Arial"/>
          <w:color w:val="000000"/>
        </w:rPr>
        <w:t>Original del acuse de recibido de la resolución del expediente CNJP-JDP-MICH-027/2025, con fecha de recepción de dieciocho de septiembre y copia simple anexa de la credencial para votar expedida en favor de Octavio Mayoral Osnaya.</w:t>
      </w:r>
      <w:r w:rsidRPr="0054090D">
        <w:rPr>
          <w:rFonts w:ascii="Calibri" w:eastAsia="Calibri" w:hAnsi="Calibri" w:cs="Calibri"/>
          <w:color w:val="000000"/>
          <w:sz w:val="22"/>
          <w:szCs w:val="22"/>
          <w:vertAlign w:val="superscript"/>
        </w:rPr>
        <w:footnoteReference w:id="28"/>
      </w:r>
    </w:p>
    <w:p w14:paraId="55A01B71" w14:textId="77777777" w:rsidR="00CD5A9E" w:rsidRPr="0054090D" w:rsidRDefault="00CD5A9E">
      <w:pPr>
        <w:pBdr>
          <w:top w:val="nil"/>
          <w:left w:val="nil"/>
          <w:bottom w:val="nil"/>
          <w:right w:val="nil"/>
          <w:between w:val="nil"/>
        </w:pBdr>
        <w:spacing w:line="360" w:lineRule="auto"/>
        <w:ind w:left="720"/>
        <w:jc w:val="both"/>
        <w:rPr>
          <w:rFonts w:ascii="Arial" w:eastAsia="Arial" w:hAnsi="Arial" w:cs="Arial"/>
          <w:color w:val="000000"/>
        </w:rPr>
      </w:pPr>
    </w:p>
    <w:p w14:paraId="7A49AFA4" w14:textId="77777777" w:rsidR="00CD5A9E" w:rsidRPr="0054090D" w:rsidRDefault="00B76B80">
      <w:pPr>
        <w:pBdr>
          <w:top w:val="nil"/>
          <w:left w:val="nil"/>
          <w:bottom w:val="nil"/>
          <w:right w:val="nil"/>
          <w:between w:val="nil"/>
        </w:pBdr>
        <w:spacing w:line="360" w:lineRule="auto"/>
        <w:jc w:val="both"/>
        <w:rPr>
          <w:rFonts w:ascii="Arial" w:eastAsia="Arial" w:hAnsi="Arial" w:cs="Arial"/>
          <w:color w:val="000000"/>
        </w:rPr>
      </w:pPr>
      <w:r w:rsidRPr="0054090D">
        <w:rPr>
          <w:rFonts w:ascii="Arial" w:eastAsia="Arial" w:hAnsi="Arial" w:cs="Arial"/>
          <w:color w:val="000000"/>
        </w:rPr>
        <w:t>Documentales que cuentan con valor probatorio de conformidad con lo establecido en los artículos 16 fracción II y 18 en relación con el artículo 22 fracción I y IV de la</w:t>
      </w:r>
      <w:r w:rsidRPr="0054090D">
        <w:rPr>
          <w:rFonts w:ascii="Arial" w:eastAsia="Arial" w:hAnsi="Arial" w:cs="Arial"/>
          <w:i/>
          <w:color w:val="000000"/>
        </w:rPr>
        <w:t xml:space="preserve"> Ley de Justicia</w:t>
      </w:r>
      <w:r w:rsidRPr="0054090D">
        <w:rPr>
          <w:rFonts w:ascii="Arial" w:eastAsia="Arial" w:hAnsi="Arial" w:cs="Arial"/>
          <w:color w:val="000000"/>
        </w:rPr>
        <w:t>.</w:t>
      </w:r>
    </w:p>
    <w:p w14:paraId="77E40E80" w14:textId="77777777" w:rsidR="00CD5A9E" w:rsidRPr="0054090D" w:rsidRDefault="00CD5A9E">
      <w:pPr>
        <w:pBdr>
          <w:top w:val="nil"/>
          <w:left w:val="nil"/>
          <w:bottom w:val="nil"/>
          <w:right w:val="nil"/>
          <w:between w:val="nil"/>
        </w:pBdr>
        <w:spacing w:line="360" w:lineRule="auto"/>
        <w:jc w:val="both"/>
        <w:rPr>
          <w:rFonts w:ascii="Arial" w:eastAsia="Arial" w:hAnsi="Arial" w:cs="Arial"/>
          <w:color w:val="000000"/>
        </w:rPr>
      </w:pPr>
    </w:p>
    <w:p w14:paraId="030D424F" w14:textId="77777777" w:rsidR="00CD5A9E" w:rsidRPr="0054090D" w:rsidRDefault="00B76B80">
      <w:pPr>
        <w:numPr>
          <w:ilvl w:val="0"/>
          <w:numId w:val="2"/>
        </w:numPr>
        <w:pBdr>
          <w:top w:val="nil"/>
          <w:left w:val="nil"/>
          <w:bottom w:val="nil"/>
          <w:right w:val="nil"/>
          <w:between w:val="nil"/>
        </w:pBdr>
        <w:spacing w:line="360" w:lineRule="auto"/>
        <w:jc w:val="both"/>
        <w:rPr>
          <w:rFonts w:ascii="Arial" w:eastAsia="Arial" w:hAnsi="Arial" w:cs="Arial"/>
          <w:color w:val="000000"/>
        </w:rPr>
      </w:pPr>
      <w:r w:rsidRPr="0054090D">
        <w:rPr>
          <w:rFonts w:ascii="Arial" w:eastAsia="Arial" w:hAnsi="Arial" w:cs="Arial"/>
          <w:b/>
          <w:color w:val="000000"/>
        </w:rPr>
        <w:t>Determinación sobre el cumplimiento</w:t>
      </w:r>
    </w:p>
    <w:p w14:paraId="2EB58347" w14:textId="77777777" w:rsidR="00CD5A9E" w:rsidRPr="0054090D" w:rsidRDefault="00CD5A9E">
      <w:pPr>
        <w:spacing w:line="360" w:lineRule="auto"/>
        <w:jc w:val="both"/>
        <w:rPr>
          <w:rFonts w:ascii="Arial" w:eastAsia="Arial" w:hAnsi="Arial" w:cs="Arial"/>
        </w:rPr>
      </w:pPr>
    </w:p>
    <w:p w14:paraId="047A0594" w14:textId="17B1078D" w:rsidR="00CD5A9E" w:rsidRPr="0054090D" w:rsidRDefault="00B76B80">
      <w:pPr>
        <w:spacing w:line="360" w:lineRule="auto"/>
        <w:jc w:val="both"/>
        <w:rPr>
          <w:rFonts w:ascii="Arial" w:eastAsia="Arial" w:hAnsi="Arial" w:cs="Arial"/>
        </w:rPr>
      </w:pPr>
      <w:r w:rsidRPr="0054090D">
        <w:rPr>
          <w:rFonts w:ascii="Arial" w:eastAsia="Arial" w:hAnsi="Arial" w:cs="Arial"/>
        </w:rPr>
        <w:t xml:space="preserve">Con base en los medios de prueba que se han valorado, este Tribunal Electoral puede arribar a la convicción de que la Secretaría General de Acuerdos ha atendido la vinculación efectuada, que la </w:t>
      </w:r>
      <w:r w:rsidRPr="0054090D">
        <w:rPr>
          <w:rFonts w:ascii="Arial" w:eastAsia="Arial" w:hAnsi="Arial" w:cs="Arial"/>
          <w:i/>
        </w:rPr>
        <w:t>Comisión Estatal</w:t>
      </w:r>
      <w:r w:rsidRPr="0054090D">
        <w:rPr>
          <w:rFonts w:ascii="Arial" w:eastAsia="Arial" w:hAnsi="Arial" w:cs="Arial"/>
        </w:rPr>
        <w:t xml:space="preserve"> </w:t>
      </w:r>
      <w:r w:rsidR="003816E3" w:rsidRPr="0054090D">
        <w:rPr>
          <w:rFonts w:ascii="Arial" w:eastAsia="Arial" w:hAnsi="Arial" w:cs="Arial"/>
          <w:color w:val="000000"/>
        </w:rPr>
        <w:t xml:space="preserve">cumplió con lo ordenado en la </w:t>
      </w:r>
      <w:r w:rsidR="003816E3" w:rsidRPr="0054090D">
        <w:rPr>
          <w:rFonts w:ascii="Arial" w:eastAsia="Arial" w:hAnsi="Arial" w:cs="Arial"/>
          <w:i/>
          <w:iCs/>
          <w:color w:val="000000"/>
        </w:rPr>
        <w:t>Sentencia</w:t>
      </w:r>
      <w:r w:rsidR="003816E3" w:rsidRPr="0054090D">
        <w:rPr>
          <w:rFonts w:ascii="Arial" w:eastAsia="Arial" w:hAnsi="Arial" w:cs="Arial"/>
          <w:color w:val="000000"/>
        </w:rPr>
        <w:t xml:space="preserve"> al haber actuado dentro del marco de su competencia</w:t>
      </w:r>
      <w:r w:rsidRPr="0054090D">
        <w:rPr>
          <w:rFonts w:ascii="Arial" w:eastAsia="Arial" w:hAnsi="Arial" w:cs="Arial"/>
        </w:rPr>
        <w:t xml:space="preserve">; y que, la </w:t>
      </w:r>
      <w:r w:rsidRPr="0054090D">
        <w:rPr>
          <w:rFonts w:ascii="Arial" w:eastAsia="Arial" w:hAnsi="Arial" w:cs="Arial"/>
          <w:i/>
        </w:rPr>
        <w:t>Comisión Nacional</w:t>
      </w:r>
      <w:r w:rsidRPr="0054090D">
        <w:rPr>
          <w:rFonts w:ascii="Arial" w:eastAsia="Arial" w:hAnsi="Arial" w:cs="Arial"/>
        </w:rPr>
        <w:t xml:space="preserve"> acató dentro del plazo establecido y conforme con las formalidades previstas.</w:t>
      </w:r>
    </w:p>
    <w:p w14:paraId="5834AD85" w14:textId="77777777" w:rsidR="00CD5A9E" w:rsidRPr="0054090D" w:rsidRDefault="00CD5A9E">
      <w:pPr>
        <w:spacing w:line="360" w:lineRule="auto"/>
        <w:jc w:val="both"/>
        <w:rPr>
          <w:rFonts w:ascii="Arial" w:eastAsia="Arial" w:hAnsi="Arial" w:cs="Arial"/>
        </w:rPr>
      </w:pPr>
    </w:p>
    <w:p w14:paraId="77F1AE57" w14:textId="77777777" w:rsidR="00CD5A9E" w:rsidRPr="0054090D" w:rsidRDefault="00B76B80">
      <w:pPr>
        <w:spacing w:line="360" w:lineRule="auto"/>
        <w:jc w:val="both"/>
        <w:rPr>
          <w:rFonts w:ascii="Arial" w:eastAsia="Arial" w:hAnsi="Arial" w:cs="Arial"/>
        </w:rPr>
      </w:pPr>
      <w:r w:rsidRPr="0054090D">
        <w:rPr>
          <w:rFonts w:ascii="Arial" w:eastAsia="Arial" w:hAnsi="Arial" w:cs="Arial"/>
        </w:rPr>
        <w:t>Para lo cual, se inserta la tabla ilustrativa siguiente:</w:t>
      </w:r>
    </w:p>
    <w:tbl>
      <w:tblPr>
        <w:tblStyle w:val="a0"/>
        <w:tblW w:w="7789" w:type="dxa"/>
        <w:jc w:val="cente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2401"/>
        <w:gridCol w:w="1559"/>
        <w:gridCol w:w="1276"/>
        <w:gridCol w:w="1276"/>
        <w:gridCol w:w="1277"/>
      </w:tblGrid>
      <w:tr w:rsidR="00CD5A9E" w:rsidRPr="0054090D" w14:paraId="6C4184CF" w14:textId="77777777" w:rsidTr="0010408D">
        <w:trPr>
          <w:trHeight w:val="373"/>
          <w:tblHeader/>
          <w:jc w:val="center"/>
        </w:trPr>
        <w:tc>
          <w:tcPr>
            <w:tcW w:w="7789" w:type="dxa"/>
            <w:gridSpan w:val="5"/>
            <w:shd w:val="clear" w:color="auto" w:fill="DBEEF3"/>
            <w:tcMar>
              <w:top w:w="20" w:type="dxa"/>
              <w:left w:w="20" w:type="dxa"/>
              <w:bottom w:w="20" w:type="dxa"/>
              <w:right w:w="20" w:type="dxa"/>
            </w:tcMar>
            <w:vAlign w:val="center"/>
          </w:tcPr>
          <w:p w14:paraId="3BC76A30" w14:textId="77777777" w:rsidR="00CD5A9E" w:rsidRPr="0054090D" w:rsidRDefault="00B76B80">
            <w:pPr>
              <w:jc w:val="center"/>
              <w:rPr>
                <w:rFonts w:ascii="Arial Narrow" w:eastAsia="Arial Narrow" w:hAnsi="Arial Narrow" w:cs="Arial Narrow"/>
                <w:sz w:val="20"/>
                <w:szCs w:val="20"/>
              </w:rPr>
            </w:pPr>
            <w:r w:rsidRPr="0054090D">
              <w:rPr>
                <w:rFonts w:ascii="Arial Narrow" w:eastAsia="Arial Narrow" w:hAnsi="Arial Narrow" w:cs="Arial Narrow"/>
                <w:b/>
                <w:sz w:val="20"/>
                <w:szCs w:val="20"/>
              </w:rPr>
              <w:t>ACCIONES MATERIA DEL CUMPLIMIENTO DE LA SENTENCIA</w:t>
            </w:r>
          </w:p>
        </w:tc>
      </w:tr>
      <w:tr w:rsidR="00CD5A9E" w:rsidRPr="0054090D" w14:paraId="7AACEEF1" w14:textId="77777777" w:rsidTr="0010408D">
        <w:trPr>
          <w:trHeight w:val="270"/>
          <w:tblHeader/>
          <w:jc w:val="center"/>
        </w:trPr>
        <w:tc>
          <w:tcPr>
            <w:tcW w:w="3960" w:type="dxa"/>
            <w:gridSpan w:val="2"/>
            <w:vMerge w:val="restart"/>
            <w:tcBorders>
              <w:right w:val="single" w:sz="4" w:space="0" w:color="000000"/>
            </w:tcBorders>
            <w:shd w:val="clear" w:color="auto" w:fill="DBEEF3"/>
            <w:tcMar>
              <w:top w:w="20" w:type="dxa"/>
              <w:left w:w="20" w:type="dxa"/>
              <w:bottom w:w="20" w:type="dxa"/>
              <w:right w:w="20" w:type="dxa"/>
            </w:tcMar>
            <w:vAlign w:val="center"/>
          </w:tcPr>
          <w:p w14:paraId="2890DD15" w14:textId="77777777" w:rsidR="00CD5A9E" w:rsidRPr="0054090D" w:rsidRDefault="00B76B80">
            <w:pPr>
              <w:jc w:val="both"/>
              <w:rPr>
                <w:rFonts w:ascii="Arial Narrow" w:eastAsia="Arial Narrow" w:hAnsi="Arial Narrow" w:cs="Arial Narrow"/>
                <w:b/>
                <w:sz w:val="20"/>
                <w:szCs w:val="20"/>
              </w:rPr>
            </w:pPr>
            <w:r w:rsidRPr="0054090D">
              <w:rPr>
                <w:rFonts w:ascii="Arial Narrow" w:eastAsia="Arial Narrow" w:hAnsi="Arial Narrow" w:cs="Arial Narrow"/>
                <w:b/>
                <w:sz w:val="20"/>
                <w:szCs w:val="20"/>
              </w:rPr>
              <w:t xml:space="preserve">En la </w:t>
            </w:r>
            <w:r w:rsidRPr="0054090D">
              <w:rPr>
                <w:rFonts w:ascii="Arial Narrow" w:eastAsia="Arial Narrow" w:hAnsi="Arial Narrow" w:cs="Arial Narrow"/>
                <w:b/>
                <w:i/>
                <w:sz w:val="20"/>
                <w:szCs w:val="20"/>
              </w:rPr>
              <w:t>Sentencia</w:t>
            </w:r>
            <w:r w:rsidRPr="0054090D">
              <w:rPr>
                <w:rFonts w:ascii="Arial Narrow" w:eastAsia="Arial Narrow" w:hAnsi="Arial Narrow" w:cs="Arial Narrow"/>
                <w:b/>
                <w:sz w:val="20"/>
                <w:szCs w:val="20"/>
              </w:rPr>
              <w:t xml:space="preserve"> se instruyó al </w:t>
            </w:r>
            <w:proofErr w:type="gramStart"/>
            <w:r w:rsidRPr="0054090D">
              <w:rPr>
                <w:rFonts w:ascii="Arial Narrow" w:eastAsia="Arial Narrow" w:hAnsi="Arial Narrow" w:cs="Arial Narrow"/>
                <w:b/>
                <w:sz w:val="20"/>
                <w:szCs w:val="20"/>
              </w:rPr>
              <w:t>Secretario General</w:t>
            </w:r>
            <w:proofErr w:type="gramEnd"/>
            <w:r w:rsidRPr="0054090D">
              <w:rPr>
                <w:rFonts w:ascii="Arial Narrow" w:eastAsia="Arial Narrow" w:hAnsi="Arial Narrow" w:cs="Arial Narrow"/>
                <w:b/>
                <w:sz w:val="20"/>
                <w:szCs w:val="20"/>
              </w:rPr>
              <w:t xml:space="preserve"> de Acuerdos para que remitiera en original el escrito de dieciséis de julio y anexos</w:t>
            </w:r>
          </w:p>
        </w:tc>
        <w:tc>
          <w:tcPr>
            <w:tcW w:w="3829" w:type="dxa"/>
            <w:gridSpan w:val="3"/>
            <w:tcBorders>
              <w:left w:val="single" w:sz="4" w:space="0" w:color="000000"/>
              <w:bottom w:val="single" w:sz="4" w:space="0" w:color="000000"/>
              <w:right w:val="single" w:sz="4" w:space="0" w:color="000000"/>
            </w:tcBorders>
            <w:shd w:val="clear" w:color="auto" w:fill="DBEEF3"/>
            <w:vAlign w:val="center"/>
          </w:tcPr>
          <w:p w14:paraId="587E270C" w14:textId="77777777" w:rsidR="00CD5A9E" w:rsidRPr="0054090D" w:rsidRDefault="00B76B80">
            <w:pPr>
              <w:jc w:val="center"/>
              <w:rPr>
                <w:rFonts w:ascii="Arial Narrow" w:eastAsia="Arial Narrow" w:hAnsi="Arial Narrow" w:cs="Arial Narrow"/>
                <w:b/>
                <w:sz w:val="20"/>
                <w:szCs w:val="20"/>
              </w:rPr>
            </w:pPr>
            <w:r w:rsidRPr="0054090D">
              <w:rPr>
                <w:rFonts w:ascii="Arial Narrow" w:eastAsia="Arial Narrow" w:hAnsi="Arial Narrow" w:cs="Arial Narrow"/>
                <w:b/>
                <w:sz w:val="20"/>
                <w:szCs w:val="20"/>
              </w:rPr>
              <w:t>Cumple</w:t>
            </w:r>
          </w:p>
        </w:tc>
      </w:tr>
      <w:tr w:rsidR="00CD5A9E" w:rsidRPr="0054090D" w14:paraId="2D6169F7" w14:textId="77777777" w:rsidTr="0010408D">
        <w:trPr>
          <w:trHeight w:val="435"/>
          <w:tblHeader/>
          <w:jc w:val="center"/>
        </w:trPr>
        <w:tc>
          <w:tcPr>
            <w:tcW w:w="3960" w:type="dxa"/>
            <w:gridSpan w:val="2"/>
            <w:vMerge/>
            <w:tcBorders>
              <w:right w:val="single" w:sz="4" w:space="0" w:color="000000"/>
            </w:tcBorders>
            <w:shd w:val="clear" w:color="auto" w:fill="DBEEF3"/>
            <w:tcMar>
              <w:top w:w="20" w:type="dxa"/>
              <w:left w:w="20" w:type="dxa"/>
              <w:bottom w:w="20" w:type="dxa"/>
              <w:right w:w="20" w:type="dxa"/>
            </w:tcMar>
            <w:vAlign w:val="center"/>
          </w:tcPr>
          <w:p w14:paraId="57578FDB" w14:textId="77777777" w:rsidR="00CD5A9E" w:rsidRPr="0054090D" w:rsidRDefault="00CD5A9E">
            <w:pPr>
              <w:widowControl w:val="0"/>
              <w:pBdr>
                <w:top w:val="nil"/>
                <w:left w:val="nil"/>
                <w:bottom w:val="nil"/>
                <w:right w:val="nil"/>
                <w:between w:val="nil"/>
              </w:pBdr>
              <w:spacing w:line="276" w:lineRule="auto"/>
              <w:rPr>
                <w:rFonts w:ascii="Arial Narrow" w:eastAsia="Arial Narrow" w:hAnsi="Arial Narrow" w:cs="Arial Narrow"/>
                <w:b/>
                <w:sz w:val="20"/>
                <w:szCs w:val="20"/>
              </w:rPr>
            </w:pPr>
          </w:p>
        </w:tc>
        <w:tc>
          <w:tcPr>
            <w:tcW w:w="3829" w:type="dxa"/>
            <w:gridSpan w:val="3"/>
            <w:tcBorders>
              <w:top w:val="single" w:sz="4" w:space="0" w:color="000000"/>
              <w:left w:val="single" w:sz="4" w:space="0" w:color="000000"/>
              <w:right w:val="single" w:sz="4" w:space="0" w:color="000000"/>
            </w:tcBorders>
            <w:shd w:val="clear" w:color="auto" w:fill="DBEEF3"/>
            <w:vAlign w:val="center"/>
          </w:tcPr>
          <w:p w14:paraId="5536AB96" w14:textId="77777777" w:rsidR="00CD5A9E" w:rsidRPr="0054090D" w:rsidRDefault="00B76B80">
            <w:pPr>
              <w:jc w:val="center"/>
              <w:rPr>
                <w:rFonts w:ascii="Arial Narrow" w:eastAsia="Arial Narrow" w:hAnsi="Arial Narrow" w:cs="Arial Narrow"/>
                <w:sz w:val="20"/>
                <w:szCs w:val="20"/>
              </w:rPr>
            </w:pPr>
            <w:r w:rsidRPr="0054090D">
              <w:rPr>
                <w:rFonts w:ascii="Arial Narrow" w:eastAsia="Arial Narrow" w:hAnsi="Arial Narrow" w:cs="Arial Narrow"/>
                <w:b/>
                <w:sz w:val="20"/>
                <w:szCs w:val="20"/>
              </w:rPr>
              <w:t>Sí</w:t>
            </w:r>
            <w:r w:rsidRPr="0054090D">
              <w:rPr>
                <w:rFonts w:ascii="Arial Narrow" w:eastAsia="Arial Narrow" w:hAnsi="Arial Narrow" w:cs="Arial Narrow"/>
                <w:sz w:val="20"/>
                <w:szCs w:val="20"/>
              </w:rPr>
              <w:t>, el 7 de agosto remitió el escrito y anexos.</w:t>
            </w:r>
          </w:p>
        </w:tc>
      </w:tr>
      <w:tr w:rsidR="00CD5A9E" w:rsidRPr="0054090D" w14:paraId="5613883D" w14:textId="77777777" w:rsidTr="0010408D">
        <w:trPr>
          <w:trHeight w:val="815"/>
          <w:tblHeader/>
          <w:jc w:val="center"/>
        </w:trPr>
        <w:tc>
          <w:tcPr>
            <w:tcW w:w="2401" w:type="dxa"/>
            <w:shd w:val="clear" w:color="auto" w:fill="DBEEF3"/>
            <w:tcMar>
              <w:top w:w="20" w:type="dxa"/>
              <w:left w:w="20" w:type="dxa"/>
              <w:bottom w:w="20" w:type="dxa"/>
              <w:right w:w="20" w:type="dxa"/>
            </w:tcMar>
            <w:vAlign w:val="center"/>
          </w:tcPr>
          <w:p w14:paraId="0D2B05B8" w14:textId="77777777" w:rsidR="00CD5A9E" w:rsidRPr="0054090D" w:rsidRDefault="00B76B80">
            <w:pPr>
              <w:jc w:val="center"/>
              <w:rPr>
                <w:rFonts w:ascii="Arial Narrow" w:eastAsia="Arial Narrow" w:hAnsi="Arial Narrow" w:cs="Arial Narrow"/>
                <w:sz w:val="20"/>
                <w:szCs w:val="20"/>
              </w:rPr>
            </w:pPr>
            <w:r w:rsidRPr="0054090D">
              <w:rPr>
                <w:rFonts w:ascii="Arial Narrow" w:eastAsia="Arial Narrow" w:hAnsi="Arial Narrow" w:cs="Arial Narrow"/>
                <w:b/>
                <w:sz w:val="20"/>
                <w:szCs w:val="20"/>
              </w:rPr>
              <w:t xml:space="preserve">Acto u obligación </w:t>
            </w:r>
          </w:p>
        </w:tc>
        <w:tc>
          <w:tcPr>
            <w:tcW w:w="1559" w:type="dxa"/>
            <w:shd w:val="clear" w:color="auto" w:fill="DBEEF3"/>
            <w:tcMar>
              <w:top w:w="20" w:type="dxa"/>
              <w:left w:w="20" w:type="dxa"/>
              <w:bottom w:w="20" w:type="dxa"/>
              <w:right w:w="20" w:type="dxa"/>
            </w:tcMar>
            <w:vAlign w:val="center"/>
          </w:tcPr>
          <w:p w14:paraId="46872747" w14:textId="77777777" w:rsidR="00CD5A9E" w:rsidRPr="0054090D" w:rsidRDefault="00B76B80">
            <w:pPr>
              <w:jc w:val="center"/>
              <w:rPr>
                <w:rFonts w:ascii="Arial Narrow" w:eastAsia="Arial Narrow" w:hAnsi="Arial Narrow" w:cs="Arial Narrow"/>
                <w:sz w:val="20"/>
                <w:szCs w:val="20"/>
              </w:rPr>
            </w:pPr>
            <w:r w:rsidRPr="0054090D">
              <w:rPr>
                <w:rFonts w:ascii="Arial Narrow" w:eastAsia="Arial Narrow" w:hAnsi="Arial Narrow" w:cs="Arial Narrow"/>
                <w:b/>
                <w:sz w:val="20"/>
                <w:szCs w:val="20"/>
              </w:rPr>
              <w:t>Sujeto obligado</w:t>
            </w:r>
          </w:p>
        </w:tc>
        <w:tc>
          <w:tcPr>
            <w:tcW w:w="1276" w:type="dxa"/>
            <w:tcBorders>
              <w:left w:val="single" w:sz="4" w:space="0" w:color="000000"/>
            </w:tcBorders>
            <w:shd w:val="clear" w:color="auto" w:fill="DBEEF3"/>
            <w:tcMar>
              <w:top w:w="20" w:type="dxa"/>
              <w:left w:w="20" w:type="dxa"/>
              <w:bottom w:w="20" w:type="dxa"/>
              <w:right w:w="20" w:type="dxa"/>
            </w:tcMar>
            <w:vAlign w:val="center"/>
          </w:tcPr>
          <w:p w14:paraId="49FABAEA" w14:textId="77777777" w:rsidR="00CD5A9E" w:rsidRPr="0054090D" w:rsidRDefault="00B76B80">
            <w:pPr>
              <w:jc w:val="center"/>
              <w:rPr>
                <w:rFonts w:ascii="Arial Narrow" w:eastAsia="Arial Narrow" w:hAnsi="Arial Narrow" w:cs="Arial Narrow"/>
                <w:sz w:val="20"/>
                <w:szCs w:val="20"/>
              </w:rPr>
            </w:pPr>
            <w:r w:rsidRPr="0054090D">
              <w:rPr>
                <w:rFonts w:ascii="Arial Narrow" w:eastAsia="Arial Narrow" w:hAnsi="Arial Narrow" w:cs="Arial Narrow"/>
                <w:b/>
                <w:sz w:val="20"/>
                <w:szCs w:val="20"/>
              </w:rPr>
              <w:t>Plazo otorgado</w:t>
            </w:r>
          </w:p>
        </w:tc>
        <w:tc>
          <w:tcPr>
            <w:tcW w:w="1276" w:type="dxa"/>
            <w:shd w:val="clear" w:color="auto" w:fill="DBEEF3"/>
            <w:tcMar>
              <w:top w:w="20" w:type="dxa"/>
              <w:left w:w="20" w:type="dxa"/>
              <w:bottom w:w="20" w:type="dxa"/>
              <w:right w:w="20" w:type="dxa"/>
            </w:tcMar>
            <w:vAlign w:val="center"/>
          </w:tcPr>
          <w:p w14:paraId="32E180F8" w14:textId="77777777" w:rsidR="00CD5A9E" w:rsidRPr="0054090D" w:rsidRDefault="00B76B80">
            <w:pPr>
              <w:jc w:val="center"/>
              <w:rPr>
                <w:rFonts w:ascii="Arial Narrow" w:eastAsia="Arial Narrow" w:hAnsi="Arial Narrow" w:cs="Arial Narrow"/>
                <w:sz w:val="20"/>
                <w:szCs w:val="20"/>
              </w:rPr>
            </w:pPr>
            <w:r w:rsidRPr="0054090D">
              <w:rPr>
                <w:rFonts w:ascii="Arial Narrow" w:eastAsia="Arial Narrow" w:hAnsi="Arial Narrow" w:cs="Arial Narrow"/>
                <w:b/>
                <w:sz w:val="20"/>
                <w:szCs w:val="20"/>
              </w:rPr>
              <w:t>Realización</w:t>
            </w:r>
          </w:p>
        </w:tc>
        <w:tc>
          <w:tcPr>
            <w:tcW w:w="1277" w:type="dxa"/>
            <w:shd w:val="clear" w:color="auto" w:fill="DBEEF3"/>
            <w:tcMar>
              <w:top w:w="20" w:type="dxa"/>
              <w:left w:w="20" w:type="dxa"/>
              <w:bottom w:w="20" w:type="dxa"/>
              <w:right w:w="20" w:type="dxa"/>
            </w:tcMar>
            <w:vAlign w:val="center"/>
          </w:tcPr>
          <w:p w14:paraId="101D7B65" w14:textId="77777777" w:rsidR="00CD5A9E" w:rsidRPr="0054090D" w:rsidRDefault="00B76B80">
            <w:pPr>
              <w:jc w:val="center"/>
              <w:rPr>
                <w:rFonts w:ascii="Arial Narrow" w:eastAsia="Arial Narrow" w:hAnsi="Arial Narrow" w:cs="Arial Narrow"/>
                <w:sz w:val="20"/>
                <w:szCs w:val="20"/>
              </w:rPr>
            </w:pPr>
            <w:r w:rsidRPr="0054090D">
              <w:rPr>
                <w:rFonts w:ascii="Arial Narrow" w:eastAsia="Arial Narrow" w:hAnsi="Arial Narrow" w:cs="Arial Narrow"/>
                <w:b/>
                <w:sz w:val="20"/>
                <w:szCs w:val="20"/>
              </w:rPr>
              <w:t>Cumple</w:t>
            </w:r>
          </w:p>
        </w:tc>
      </w:tr>
      <w:tr w:rsidR="00477D32" w:rsidRPr="0054090D" w14:paraId="70819A2D" w14:textId="23988237" w:rsidTr="0010408D">
        <w:trPr>
          <w:trHeight w:val="775"/>
          <w:jc w:val="center"/>
        </w:trPr>
        <w:tc>
          <w:tcPr>
            <w:tcW w:w="2401" w:type="dxa"/>
            <w:tcMar>
              <w:top w:w="20" w:type="dxa"/>
              <w:left w:w="20" w:type="dxa"/>
              <w:bottom w:w="20" w:type="dxa"/>
              <w:right w:w="20" w:type="dxa"/>
            </w:tcMar>
            <w:vAlign w:val="center"/>
          </w:tcPr>
          <w:p w14:paraId="465E6EFE" w14:textId="77777777" w:rsidR="00477D32" w:rsidRPr="0054090D" w:rsidRDefault="00477D32">
            <w:pPr>
              <w:jc w:val="center"/>
              <w:rPr>
                <w:rFonts w:ascii="Arial Narrow" w:eastAsia="Arial Narrow" w:hAnsi="Arial Narrow" w:cs="Arial Narrow"/>
                <w:sz w:val="20"/>
                <w:szCs w:val="20"/>
              </w:rPr>
            </w:pPr>
            <w:r w:rsidRPr="0054090D">
              <w:rPr>
                <w:rFonts w:ascii="Arial" w:eastAsia="Arial" w:hAnsi="Arial" w:cs="Arial"/>
                <w:b/>
                <w:sz w:val="18"/>
                <w:szCs w:val="18"/>
              </w:rPr>
              <w:t xml:space="preserve">Sustanciar el medio de impugnación y remitirlo </w:t>
            </w:r>
            <w:r w:rsidRPr="0054090D">
              <w:rPr>
                <w:rFonts w:ascii="Arial" w:eastAsia="Arial" w:hAnsi="Arial" w:cs="Arial"/>
                <w:b/>
                <w:sz w:val="18"/>
                <w:szCs w:val="18"/>
              </w:rPr>
              <w:lastRenderedPageBreak/>
              <w:t xml:space="preserve">con </w:t>
            </w:r>
            <w:proofErr w:type="spellStart"/>
            <w:r w:rsidRPr="0054090D">
              <w:rPr>
                <w:rFonts w:ascii="Arial" w:eastAsia="Arial" w:hAnsi="Arial" w:cs="Arial"/>
                <w:b/>
                <w:sz w:val="18"/>
                <w:szCs w:val="18"/>
              </w:rPr>
              <w:t>pre-dictamen</w:t>
            </w:r>
            <w:proofErr w:type="spellEnd"/>
            <w:r w:rsidRPr="0054090D">
              <w:rPr>
                <w:rFonts w:ascii="Arial" w:eastAsia="Arial" w:hAnsi="Arial" w:cs="Arial"/>
                <w:b/>
                <w:sz w:val="18"/>
                <w:szCs w:val="18"/>
              </w:rPr>
              <w:t xml:space="preserve"> a la </w:t>
            </w:r>
            <w:r w:rsidRPr="0054090D">
              <w:rPr>
                <w:rFonts w:ascii="Arial" w:eastAsia="Arial" w:hAnsi="Arial" w:cs="Arial"/>
                <w:b/>
                <w:i/>
                <w:sz w:val="18"/>
                <w:szCs w:val="18"/>
              </w:rPr>
              <w:t>Comisión Nacional</w:t>
            </w:r>
          </w:p>
        </w:tc>
        <w:tc>
          <w:tcPr>
            <w:tcW w:w="1559" w:type="dxa"/>
            <w:tcMar>
              <w:top w:w="20" w:type="dxa"/>
              <w:left w:w="20" w:type="dxa"/>
              <w:bottom w:w="20" w:type="dxa"/>
              <w:right w:w="20" w:type="dxa"/>
            </w:tcMar>
            <w:vAlign w:val="center"/>
          </w:tcPr>
          <w:p w14:paraId="2FD4D027" w14:textId="77777777" w:rsidR="00477D32" w:rsidRPr="0054090D" w:rsidRDefault="00477D32">
            <w:pPr>
              <w:jc w:val="center"/>
              <w:rPr>
                <w:rFonts w:ascii="Arial Narrow" w:eastAsia="Arial Narrow" w:hAnsi="Arial Narrow" w:cs="Arial Narrow"/>
                <w:sz w:val="20"/>
                <w:szCs w:val="20"/>
              </w:rPr>
            </w:pPr>
            <w:r w:rsidRPr="0054090D">
              <w:rPr>
                <w:rFonts w:ascii="Arial Narrow" w:eastAsia="Arial Narrow" w:hAnsi="Arial Narrow" w:cs="Arial Narrow"/>
                <w:i/>
                <w:sz w:val="20"/>
                <w:szCs w:val="20"/>
              </w:rPr>
              <w:lastRenderedPageBreak/>
              <w:t>Comisión Estatal</w:t>
            </w:r>
          </w:p>
        </w:tc>
        <w:tc>
          <w:tcPr>
            <w:tcW w:w="1276" w:type="dxa"/>
            <w:tcMar>
              <w:top w:w="20" w:type="dxa"/>
              <w:left w:w="20" w:type="dxa"/>
              <w:bottom w:w="20" w:type="dxa"/>
              <w:right w:w="20" w:type="dxa"/>
            </w:tcMar>
            <w:vAlign w:val="center"/>
          </w:tcPr>
          <w:p w14:paraId="124245C2" w14:textId="77777777" w:rsidR="00477D32" w:rsidRPr="0054090D" w:rsidRDefault="00477D32">
            <w:pPr>
              <w:jc w:val="center"/>
              <w:rPr>
                <w:rFonts w:ascii="Arial Narrow" w:eastAsia="Arial Narrow" w:hAnsi="Arial Narrow" w:cs="Arial Narrow"/>
                <w:sz w:val="20"/>
                <w:szCs w:val="20"/>
              </w:rPr>
            </w:pPr>
            <w:r w:rsidRPr="0054090D">
              <w:rPr>
                <w:rFonts w:ascii="Arial Narrow" w:eastAsia="Arial Narrow" w:hAnsi="Arial Narrow" w:cs="Arial Narrow"/>
                <w:sz w:val="20"/>
                <w:szCs w:val="20"/>
              </w:rPr>
              <w:t>48 horas para sustanciación</w:t>
            </w:r>
          </w:p>
          <w:p w14:paraId="137AD1EF" w14:textId="77777777" w:rsidR="00477D32" w:rsidRPr="0054090D" w:rsidRDefault="00477D32">
            <w:pPr>
              <w:jc w:val="center"/>
              <w:rPr>
                <w:rFonts w:ascii="Arial Narrow" w:eastAsia="Arial Narrow" w:hAnsi="Arial Narrow" w:cs="Arial Narrow"/>
                <w:sz w:val="20"/>
                <w:szCs w:val="20"/>
              </w:rPr>
            </w:pPr>
            <w:r w:rsidRPr="0054090D">
              <w:rPr>
                <w:rFonts w:ascii="Arial Narrow" w:eastAsia="Arial Narrow" w:hAnsi="Arial Narrow" w:cs="Arial Narrow"/>
                <w:sz w:val="20"/>
                <w:szCs w:val="20"/>
              </w:rPr>
              <w:lastRenderedPageBreak/>
              <w:t>- 08 al 09 de agosto-</w:t>
            </w:r>
          </w:p>
          <w:p w14:paraId="69D488FA" w14:textId="77777777" w:rsidR="00477D32" w:rsidRPr="0054090D" w:rsidRDefault="00477D32">
            <w:pPr>
              <w:jc w:val="center"/>
              <w:rPr>
                <w:rFonts w:ascii="Arial Narrow" w:eastAsia="Arial Narrow" w:hAnsi="Arial Narrow" w:cs="Arial Narrow"/>
                <w:sz w:val="20"/>
                <w:szCs w:val="20"/>
              </w:rPr>
            </w:pPr>
            <w:r w:rsidRPr="0054090D">
              <w:rPr>
                <w:rFonts w:ascii="Arial Narrow" w:eastAsia="Arial Narrow" w:hAnsi="Arial Narrow" w:cs="Arial Narrow"/>
                <w:sz w:val="20"/>
                <w:szCs w:val="20"/>
              </w:rPr>
              <w:t>Una vez realizado lo anterior, debía remitir</w:t>
            </w:r>
          </w:p>
        </w:tc>
        <w:tc>
          <w:tcPr>
            <w:tcW w:w="1276" w:type="dxa"/>
            <w:tcBorders>
              <w:right w:val="single" w:sz="4" w:space="0" w:color="auto"/>
            </w:tcBorders>
            <w:tcMar>
              <w:top w:w="20" w:type="dxa"/>
              <w:left w:w="20" w:type="dxa"/>
              <w:bottom w:w="20" w:type="dxa"/>
              <w:right w:w="20" w:type="dxa"/>
            </w:tcMar>
            <w:vAlign w:val="center"/>
          </w:tcPr>
          <w:p w14:paraId="6DA510C7" w14:textId="5586009C" w:rsidR="00477D32" w:rsidRPr="0054090D" w:rsidRDefault="001975BE" w:rsidP="00477D32">
            <w:pPr>
              <w:jc w:val="center"/>
              <w:rPr>
                <w:rFonts w:ascii="Arial Narrow" w:eastAsia="Arial Narrow" w:hAnsi="Arial Narrow" w:cs="Arial Narrow"/>
                <w:sz w:val="20"/>
                <w:szCs w:val="20"/>
              </w:rPr>
            </w:pPr>
            <w:r w:rsidRPr="0054090D">
              <w:rPr>
                <w:rFonts w:ascii="Arial Narrow" w:eastAsia="Arial Narrow" w:hAnsi="Arial Narrow" w:cs="Arial Narrow"/>
                <w:sz w:val="20"/>
                <w:szCs w:val="20"/>
              </w:rPr>
              <w:lastRenderedPageBreak/>
              <w:t xml:space="preserve">El </w:t>
            </w:r>
            <w:r w:rsidR="00477D32" w:rsidRPr="0054090D">
              <w:rPr>
                <w:rFonts w:ascii="Arial Narrow" w:eastAsia="Arial Narrow" w:hAnsi="Arial Narrow" w:cs="Arial Narrow"/>
                <w:sz w:val="20"/>
                <w:szCs w:val="20"/>
              </w:rPr>
              <w:t>19 de agosto</w:t>
            </w:r>
            <w:r w:rsidRPr="0054090D">
              <w:rPr>
                <w:rFonts w:ascii="Arial Narrow" w:eastAsia="Arial Narrow" w:hAnsi="Arial Narrow" w:cs="Arial Narrow"/>
                <w:sz w:val="20"/>
                <w:szCs w:val="20"/>
              </w:rPr>
              <w:t xml:space="preserve"> remitió el original de los </w:t>
            </w:r>
            <w:r w:rsidRPr="0054090D">
              <w:rPr>
                <w:rFonts w:ascii="Arial Narrow" w:eastAsia="Arial Narrow" w:hAnsi="Arial Narrow" w:cs="Arial Narrow"/>
                <w:sz w:val="20"/>
                <w:szCs w:val="20"/>
              </w:rPr>
              <w:lastRenderedPageBreak/>
              <w:t>expedientes TEEM-JDC-205/2025 y acumulado</w:t>
            </w:r>
          </w:p>
        </w:tc>
        <w:tc>
          <w:tcPr>
            <w:tcW w:w="1277" w:type="dxa"/>
            <w:tcBorders>
              <w:left w:val="single" w:sz="4" w:space="0" w:color="auto"/>
            </w:tcBorders>
            <w:vAlign w:val="center"/>
          </w:tcPr>
          <w:p w14:paraId="2CC84C47" w14:textId="7918836E" w:rsidR="00477D32" w:rsidRPr="0054090D" w:rsidRDefault="00477D32" w:rsidP="00477D32">
            <w:pPr>
              <w:jc w:val="center"/>
              <w:rPr>
                <w:rFonts w:ascii="Arial Narrow" w:eastAsia="Arial Narrow" w:hAnsi="Arial Narrow" w:cs="Arial Narrow"/>
                <w:b/>
                <w:bCs/>
                <w:sz w:val="20"/>
                <w:szCs w:val="20"/>
              </w:rPr>
            </w:pPr>
            <w:r w:rsidRPr="0054090D">
              <w:rPr>
                <w:rFonts w:ascii="Arial Narrow" w:eastAsia="Arial Narrow" w:hAnsi="Arial Narrow" w:cs="Arial Narrow"/>
                <w:b/>
                <w:bCs/>
                <w:sz w:val="20"/>
                <w:szCs w:val="20"/>
              </w:rPr>
              <w:lastRenderedPageBreak/>
              <w:t>Sí</w:t>
            </w:r>
            <w:r w:rsidR="00F72C0C" w:rsidRPr="0054090D">
              <w:rPr>
                <w:rFonts w:ascii="Arial Narrow" w:eastAsia="Arial" w:hAnsi="Arial Narrow" w:cs="Arial"/>
                <w:b/>
                <w:bCs/>
                <w:sz w:val="20"/>
                <w:szCs w:val="20"/>
                <w:vertAlign w:val="superscript"/>
                <w:lang w:val="es-MX"/>
              </w:rPr>
              <w:footnoteReference w:id="29"/>
            </w:r>
          </w:p>
        </w:tc>
      </w:tr>
      <w:tr w:rsidR="00CD5A9E" w:rsidRPr="0054090D" w14:paraId="451F9CDF" w14:textId="77777777" w:rsidTr="0010408D">
        <w:trPr>
          <w:trHeight w:val="576"/>
          <w:jc w:val="center"/>
        </w:trPr>
        <w:tc>
          <w:tcPr>
            <w:tcW w:w="2401" w:type="dxa"/>
            <w:tcMar>
              <w:top w:w="20" w:type="dxa"/>
              <w:left w:w="20" w:type="dxa"/>
              <w:bottom w:w="20" w:type="dxa"/>
              <w:right w:w="20" w:type="dxa"/>
            </w:tcMar>
            <w:vAlign w:val="center"/>
          </w:tcPr>
          <w:p w14:paraId="3704A22A" w14:textId="77777777" w:rsidR="00CD5A9E" w:rsidRPr="0054090D" w:rsidRDefault="00B76B80">
            <w:pPr>
              <w:jc w:val="center"/>
              <w:rPr>
                <w:rFonts w:ascii="Arial Narrow" w:eastAsia="Arial Narrow" w:hAnsi="Arial Narrow" w:cs="Arial Narrow"/>
                <w:sz w:val="20"/>
                <w:szCs w:val="20"/>
              </w:rPr>
            </w:pPr>
            <w:r w:rsidRPr="0054090D">
              <w:rPr>
                <w:rFonts w:ascii="Arial Narrow" w:eastAsia="Arial Narrow" w:hAnsi="Arial Narrow" w:cs="Arial Narrow"/>
                <w:b/>
                <w:sz w:val="20"/>
                <w:szCs w:val="20"/>
              </w:rPr>
              <w:t>Emitir resolución</w:t>
            </w:r>
          </w:p>
        </w:tc>
        <w:tc>
          <w:tcPr>
            <w:tcW w:w="1559" w:type="dxa"/>
            <w:tcMar>
              <w:top w:w="20" w:type="dxa"/>
              <w:left w:w="20" w:type="dxa"/>
              <w:bottom w:w="20" w:type="dxa"/>
              <w:right w:w="20" w:type="dxa"/>
            </w:tcMar>
            <w:vAlign w:val="center"/>
          </w:tcPr>
          <w:p w14:paraId="47CDFBCD" w14:textId="77777777" w:rsidR="00CD5A9E" w:rsidRPr="0054090D" w:rsidRDefault="00B76B80">
            <w:pPr>
              <w:jc w:val="center"/>
              <w:rPr>
                <w:rFonts w:ascii="Arial Narrow" w:eastAsia="Arial Narrow" w:hAnsi="Arial Narrow" w:cs="Arial Narrow"/>
                <w:sz w:val="20"/>
                <w:szCs w:val="20"/>
              </w:rPr>
            </w:pPr>
            <w:r w:rsidRPr="0054090D">
              <w:rPr>
                <w:rFonts w:ascii="Arial Narrow" w:eastAsia="Arial Narrow" w:hAnsi="Arial Narrow" w:cs="Arial Narrow"/>
                <w:i/>
                <w:sz w:val="20"/>
                <w:szCs w:val="20"/>
              </w:rPr>
              <w:t>Comisión Nacional</w:t>
            </w:r>
          </w:p>
        </w:tc>
        <w:tc>
          <w:tcPr>
            <w:tcW w:w="1276" w:type="dxa"/>
            <w:tcMar>
              <w:top w:w="20" w:type="dxa"/>
              <w:left w:w="20" w:type="dxa"/>
              <w:bottom w:w="20" w:type="dxa"/>
              <w:right w:w="20" w:type="dxa"/>
            </w:tcMar>
            <w:vAlign w:val="center"/>
          </w:tcPr>
          <w:p w14:paraId="4441B972" w14:textId="77777777" w:rsidR="00CD5A9E" w:rsidRPr="0054090D" w:rsidRDefault="00B76B80">
            <w:pPr>
              <w:jc w:val="center"/>
              <w:rPr>
                <w:rFonts w:ascii="Arial Narrow" w:eastAsia="Arial Narrow" w:hAnsi="Arial Narrow" w:cs="Arial Narrow"/>
                <w:sz w:val="20"/>
                <w:szCs w:val="20"/>
              </w:rPr>
            </w:pPr>
            <w:r w:rsidRPr="0054090D">
              <w:rPr>
                <w:rFonts w:ascii="Arial Narrow" w:eastAsia="Arial Narrow" w:hAnsi="Arial Narrow" w:cs="Arial Narrow"/>
                <w:sz w:val="20"/>
                <w:szCs w:val="20"/>
              </w:rPr>
              <w:t>10 días naturales desde recepción -20 al 29 de agosto-</w:t>
            </w:r>
          </w:p>
        </w:tc>
        <w:tc>
          <w:tcPr>
            <w:tcW w:w="1276" w:type="dxa"/>
            <w:tcMar>
              <w:top w:w="20" w:type="dxa"/>
              <w:left w:w="20" w:type="dxa"/>
              <w:bottom w:w="20" w:type="dxa"/>
              <w:right w:w="20" w:type="dxa"/>
            </w:tcMar>
            <w:vAlign w:val="center"/>
          </w:tcPr>
          <w:p w14:paraId="28741951" w14:textId="77777777" w:rsidR="00CD5A9E" w:rsidRPr="0054090D" w:rsidRDefault="00B76B80">
            <w:pPr>
              <w:jc w:val="center"/>
              <w:rPr>
                <w:rFonts w:ascii="Arial Narrow" w:eastAsia="Arial Narrow" w:hAnsi="Arial Narrow" w:cs="Arial Narrow"/>
                <w:sz w:val="20"/>
                <w:szCs w:val="20"/>
              </w:rPr>
            </w:pPr>
            <w:r w:rsidRPr="0054090D">
              <w:rPr>
                <w:rFonts w:ascii="Arial Narrow" w:eastAsia="Arial Narrow" w:hAnsi="Arial Narrow" w:cs="Arial Narrow"/>
                <w:sz w:val="20"/>
                <w:szCs w:val="20"/>
              </w:rPr>
              <w:t>29 de agosto</w:t>
            </w:r>
          </w:p>
        </w:tc>
        <w:tc>
          <w:tcPr>
            <w:tcW w:w="1277" w:type="dxa"/>
            <w:tcMar>
              <w:top w:w="20" w:type="dxa"/>
              <w:left w:w="20" w:type="dxa"/>
              <w:bottom w:w="20" w:type="dxa"/>
              <w:right w:w="20" w:type="dxa"/>
            </w:tcMar>
            <w:vAlign w:val="center"/>
          </w:tcPr>
          <w:p w14:paraId="08FBF62C" w14:textId="77777777" w:rsidR="00CD5A9E" w:rsidRPr="0054090D" w:rsidRDefault="00B76B80">
            <w:pPr>
              <w:jc w:val="center"/>
              <w:rPr>
                <w:rFonts w:ascii="Arial Narrow" w:eastAsia="Arial Narrow" w:hAnsi="Arial Narrow" w:cs="Arial Narrow"/>
                <w:sz w:val="20"/>
                <w:szCs w:val="20"/>
              </w:rPr>
            </w:pPr>
            <w:r w:rsidRPr="0054090D">
              <w:rPr>
                <w:rFonts w:ascii="Arial Narrow" w:eastAsia="Arial Narrow" w:hAnsi="Arial Narrow" w:cs="Arial Narrow"/>
                <w:b/>
                <w:sz w:val="20"/>
                <w:szCs w:val="20"/>
              </w:rPr>
              <w:t>Sí</w:t>
            </w:r>
          </w:p>
        </w:tc>
      </w:tr>
      <w:tr w:rsidR="00CD5A9E" w:rsidRPr="0054090D" w14:paraId="724D3AC3" w14:textId="77777777" w:rsidTr="0010408D">
        <w:trPr>
          <w:trHeight w:val="576"/>
          <w:jc w:val="center"/>
        </w:trPr>
        <w:tc>
          <w:tcPr>
            <w:tcW w:w="2401" w:type="dxa"/>
            <w:tcMar>
              <w:top w:w="20" w:type="dxa"/>
              <w:left w:w="20" w:type="dxa"/>
              <w:bottom w:w="20" w:type="dxa"/>
              <w:right w:w="20" w:type="dxa"/>
            </w:tcMar>
            <w:vAlign w:val="center"/>
          </w:tcPr>
          <w:p w14:paraId="68D1FB43" w14:textId="77777777" w:rsidR="00CD5A9E" w:rsidRPr="0054090D" w:rsidRDefault="00B76B80">
            <w:pPr>
              <w:jc w:val="center"/>
              <w:rPr>
                <w:rFonts w:ascii="Arial Narrow" w:eastAsia="Arial Narrow" w:hAnsi="Arial Narrow" w:cs="Arial Narrow"/>
                <w:sz w:val="20"/>
                <w:szCs w:val="20"/>
              </w:rPr>
            </w:pPr>
            <w:r w:rsidRPr="0054090D">
              <w:rPr>
                <w:rFonts w:ascii="Arial Narrow" w:eastAsia="Arial Narrow" w:hAnsi="Arial Narrow" w:cs="Arial Narrow"/>
                <w:b/>
                <w:sz w:val="20"/>
                <w:szCs w:val="20"/>
              </w:rPr>
              <w:t>Informar al Tribunal Electoral sobre el cumplimiento</w:t>
            </w:r>
          </w:p>
        </w:tc>
        <w:tc>
          <w:tcPr>
            <w:tcW w:w="1559" w:type="dxa"/>
            <w:tcMar>
              <w:top w:w="20" w:type="dxa"/>
              <w:left w:w="20" w:type="dxa"/>
              <w:bottom w:w="20" w:type="dxa"/>
              <w:right w:w="20" w:type="dxa"/>
            </w:tcMar>
            <w:vAlign w:val="center"/>
          </w:tcPr>
          <w:p w14:paraId="5AA13AE4" w14:textId="77777777" w:rsidR="00CD5A9E" w:rsidRPr="0054090D" w:rsidRDefault="00B76B80">
            <w:pPr>
              <w:jc w:val="center"/>
              <w:rPr>
                <w:rFonts w:ascii="Arial Narrow" w:eastAsia="Arial Narrow" w:hAnsi="Arial Narrow" w:cs="Arial Narrow"/>
                <w:i/>
                <w:sz w:val="20"/>
                <w:szCs w:val="20"/>
              </w:rPr>
            </w:pPr>
            <w:r w:rsidRPr="0054090D">
              <w:rPr>
                <w:rFonts w:ascii="Arial Narrow" w:eastAsia="Arial Narrow" w:hAnsi="Arial Narrow" w:cs="Arial Narrow"/>
                <w:i/>
                <w:sz w:val="20"/>
                <w:szCs w:val="20"/>
              </w:rPr>
              <w:t>Comisión Nacional</w:t>
            </w:r>
          </w:p>
        </w:tc>
        <w:tc>
          <w:tcPr>
            <w:tcW w:w="1276" w:type="dxa"/>
            <w:tcMar>
              <w:top w:w="20" w:type="dxa"/>
              <w:left w:w="20" w:type="dxa"/>
              <w:bottom w:w="20" w:type="dxa"/>
              <w:right w:w="20" w:type="dxa"/>
            </w:tcMar>
            <w:vAlign w:val="center"/>
          </w:tcPr>
          <w:p w14:paraId="765D18D6" w14:textId="77777777" w:rsidR="00CD5A9E" w:rsidRPr="0054090D" w:rsidRDefault="00B76B80">
            <w:pPr>
              <w:jc w:val="center"/>
              <w:rPr>
                <w:rFonts w:ascii="Arial Narrow" w:eastAsia="Arial Narrow" w:hAnsi="Arial Narrow" w:cs="Arial Narrow"/>
                <w:sz w:val="20"/>
                <w:szCs w:val="20"/>
              </w:rPr>
            </w:pPr>
            <w:r w:rsidRPr="0054090D">
              <w:rPr>
                <w:rFonts w:ascii="Arial Narrow" w:eastAsia="Arial Narrow" w:hAnsi="Arial Narrow" w:cs="Arial Narrow"/>
                <w:sz w:val="20"/>
                <w:szCs w:val="20"/>
              </w:rPr>
              <w:t>72 horas posteriores para informar –30 de agosto al 01 de septiembre-</w:t>
            </w:r>
          </w:p>
        </w:tc>
        <w:tc>
          <w:tcPr>
            <w:tcW w:w="1276" w:type="dxa"/>
            <w:tcMar>
              <w:top w:w="20" w:type="dxa"/>
              <w:left w:w="20" w:type="dxa"/>
              <w:bottom w:w="20" w:type="dxa"/>
              <w:right w:w="20" w:type="dxa"/>
            </w:tcMar>
            <w:vAlign w:val="center"/>
          </w:tcPr>
          <w:p w14:paraId="6C8ECC0A" w14:textId="77777777" w:rsidR="00CD5A9E" w:rsidRPr="0054090D" w:rsidRDefault="00B76B80">
            <w:pPr>
              <w:jc w:val="center"/>
              <w:rPr>
                <w:rFonts w:ascii="Arial Narrow" w:eastAsia="Arial Narrow" w:hAnsi="Arial Narrow" w:cs="Arial Narrow"/>
                <w:sz w:val="20"/>
                <w:szCs w:val="20"/>
              </w:rPr>
            </w:pPr>
            <w:r w:rsidRPr="0054090D">
              <w:rPr>
                <w:rFonts w:ascii="Arial Narrow" w:eastAsia="Arial Narrow" w:hAnsi="Arial Narrow" w:cs="Arial Narrow"/>
                <w:sz w:val="20"/>
                <w:szCs w:val="20"/>
              </w:rPr>
              <w:t>29 de agosto</w:t>
            </w:r>
          </w:p>
        </w:tc>
        <w:tc>
          <w:tcPr>
            <w:tcW w:w="1277" w:type="dxa"/>
            <w:tcMar>
              <w:top w:w="20" w:type="dxa"/>
              <w:left w:w="20" w:type="dxa"/>
              <w:bottom w:w="20" w:type="dxa"/>
              <w:right w:w="20" w:type="dxa"/>
            </w:tcMar>
            <w:vAlign w:val="center"/>
          </w:tcPr>
          <w:p w14:paraId="3D36970A" w14:textId="77777777" w:rsidR="00CD5A9E" w:rsidRPr="0054090D" w:rsidRDefault="00B76B80">
            <w:pPr>
              <w:jc w:val="center"/>
              <w:rPr>
                <w:rFonts w:ascii="Arial Narrow" w:eastAsia="Arial Narrow" w:hAnsi="Arial Narrow" w:cs="Arial Narrow"/>
                <w:b/>
                <w:sz w:val="20"/>
                <w:szCs w:val="20"/>
              </w:rPr>
            </w:pPr>
            <w:r w:rsidRPr="0054090D">
              <w:rPr>
                <w:rFonts w:ascii="Arial Narrow" w:eastAsia="Arial Narrow" w:hAnsi="Arial Narrow" w:cs="Arial Narrow"/>
                <w:b/>
                <w:sz w:val="20"/>
                <w:szCs w:val="20"/>
              </w:rPr>
              <w:t>Sí</w:t>
            </w:r>
          </w:p>
        </w:tc>
      </w:tr>
    </w:tbl>
    <w:p w14:paraId="17D44CC5" w14:textId="77777777" w:rsidR="00CD5A9E" w:rsidRPr="0054090D" w:rsidRDefault="00CD5A9E">
      <w:pPr>
        <w:spacing w:line="360" w:lineRule="auto"/>
        <w:jc w:val="both"/>
        <w:rPr>
          <w:rFonts w:ascii="Arial" w:eastAsia="Arial" w:hAnsi="Arial" w:cs="Arial"/>
        </w:rPr>
      </w:pPr>
    </w:p>
    <w:p w14:paraId="4691D3D8" w14:textId="77777777" w:rsidR="00CD5A9E" w:rsidRPr="0054090D" w:rsidRDefault="00B76B80">
      <w:pPr>
        <w:spacing w:line="360" w:lineRule="auto"/>
        <w:jc w:val="both"/>
        <w:rPr>
          <w:rFonts w:ascii="Arial" w:eastAsia="Arial" w:hAnsi="Arial" w:cs="Arial"/>
          <w:b/>
        </w:rPr>
      </w:pPr>
      <w:r w:rsidRPr="0054090D">
        <w:rPr>
          <w:rFonts w:ascii="Arial" w:eastAsia="Arial" w:hAnsi="Arial" w:cs="Arial"/>
          <w:b/>
        </w:rPr>
        <w:t>Secretaría General de Acuerdos</w:t>
      </w:r>
    </w:p>
    <w:p w14:paraId="6378DABC" w14:textId="77777777" w:rsidR="00CD5A9E" w:rsidRPr="0054090D" w:rsidRDefault="00CD5A9E">
      <w:pPr>
        <w:spacing w:line="360" w:lineRule="auto"/>
        <w:jc w:val="both"/>
        <w:rPr>
          <w:rFonts w:ascii="Arial" w:eastAsia="Arial" w:hAnsi="Arial" w:cs="Arial"/>
          <w:b/>
        </w:rPr>
      </w:pPr>
    </w:p>
    <w:p w14:paraId="2E6C5343" w14:textId="77777777" w:rsidR="00CD5A9E" w:rsidRPr="0054090D" w:rsidRDefault="00B76B80">
      <w:pPr>
        <w:spacing w:line="360" w:lineRule="auto"/>
        <w:jc w:val="both"/>
        <w:rPr>
          <w:rFonts w:ascii="Arial" w:eastAsia="Arial" w:hAnsi="Arial" w:cs="Arial"/>
        </w:rPr>
      </w:pPr>
      <w:r w:rsidRPr="0054090D">
        <w:rPr>
          <w:rFonts w:ascii="Arial" w:eastAsia="Arial" w:hAnsi="Arial" w:cs="Arial"/>
        </w:rPr>
        <w:t>De las constancias que obran en el expediente, este Tribunal Electoral advierte que la Secretaría General de Acuerdos atendió la vinculación efectuada, en virtud de que desplegó las acciones necesarias para dar cumplimiento. En específico, se acredita que mediante oficio TEEM-SGA-2018/2025</w:t>
      </w:r>
      <w:r w:rsidRPr="0054090D">
        <w:rPr>
          <w:rFonts w:ascii="Arial" w:eastAsia="Arial" w:hAnsi="Arial" w:cs="Arial"/>
          <w:vertAlign w:val="superscript"/>
        </w:rPr>
        <w:footnoteReference w:id="30"/>
      </w:r>
      <w:r w:rsidRPr="0054090D">
        <w:rPr>
          <w:rFonts w:ascii="Arial" w:eastAsia="Arial" w:hAnsi="Arial" w:cs="Arial"/>
        </w:rPr>
        <w:t xml:space="preserve"> de siete de agosto, remitió a la </w:t>
      </w:r>
      <w:r w:rsidRPr="0054090D">
        <w:rPr>
          <w:rFonts w:ascii="Arial" w:eastAsia="Arial" w:hAnsi="Arial" w:cs="Arial"/>
          <w:i/>
        </w:rPr>
        <w:t>Comisión Estatal</w:t>
      </w:r>
      <w:r w:rsidRPr="0054090D">
        <w:rPr>
          <w:rFonts w:ascii="Arial" w:eastAsia="Arial" w:hAnsi="Arial" w:cs="Arial"/>
        </w:rPr>
        <w:t xml:space="preserve"> el original del escrito presentado el dieciséis de julio por Irma Villagómez Carbajal, dentro de los juicios de la ciudadanía en cita, así como los anexos correspondientes.</w:t>
      </w:r>
    </w:p>
    <w:p w14:paraId="0CC2F993" w14:textId="77777777" w:rsidR="00CD5A9E" w:rsidRPr="0054090D" w:rsidRDefault="00CD5A9E">
      <w:pPr>
        <w:spacing w:line="360" w:lineRule="auto"/>
        <w:jc w:val="both"/>
        <w:rPr>
          <w:rFonts w:ascii="Arial" w:eastAsia="Arial" w:hAnsi="Arial" w:cs="Arial"/>
        </w:rPr>
      </w:pPr>
    </w:p>
    <w:p w14:paraId="2EED33C7" w14:textId="77777777" w:rsidR="00CD5A9E" w:rsidRPr="0054090D" w:rsidRDefault="00B76B80">
      <w:pPr>
        <w:spacing w:line="360" w:lineRule="auto"/>
        <w:jc w:val="both"/>
        <w:rPr>
          <w:rFonts w:ascii="Arial" w:eastAsia="Arial" w:hAnsi="Arial" w:cs="Arial"/>
        </w:rPr>
      </w:pPr>
      <w:r w:rsidRPr="0054090D">
        <w:rPr>
          <w:rFonts w:ascii="Arial" w:eastAsia="Arial" w:hAnsi="Arial" w:cs="Arial"/>
        </w:rPr>
        <w:t xml:space="preserve">Lo anterior se corrobora con el acuse original que contiene el sello de recibido por parte de la Presidencia del Comité Directivo Estatal del </w:t>
      </w:r>
      <w:r w:rsidRPr="0054090D">
        <w:rPr>
          <w:rFonts w:ascii="Arial" w:eastAsia="Arial" w:hAnsi="Arial" w:cs="Arial"/>
          <w:i/>
        </w:rPr>
        <w:t>PRI</w:t>
      </w:r>
      <w:r w:rsidRPr="0054090D">
        <w:rPr>
          <w:rFonts w:ascii="Arial" w:eastAsia="Arial" w:hAnsi="Arial" w:cs="Arial"/>
        </w:rPr>
        <w:t xml:space="preserve"> en Michoacán, con lo cual se tiene por demostrado que la Secretaría General de Acuerdos realizó las gestiones conducentes para el cumplimiento de lo vinculado en la </w:t>
      </w:r>
      <w:r w:rsidRPr="0054090D">
        <w:rPr>
          <w:rFonts w:ascii="Arial" w:eastAsia="Arial" w:hAnsi="Arial" w:cs="Arial"/>
          <w:i/>
        </w:rPr>
        <w:t>Sentencia</w:t>
      </w:r>
      <w:r w:rsidRPr="0054090D">
        <w:rPr>
          <w:rFonts w:ascii="Arial" w:eastAsia="Arial" w:hAnsi="Arial" w:cs="Arial"/>
        </w:rPr>
        <w:t>.</w:t>
      </w:r>
    </w:p>
    <w:p w14:paraId="5CE815AF" w14:textId="77777777" w:rsidR="00CD5A9E" w:rsidRPr="0054090D" w:rsidRDefault="00CD5A9E">
      <w:pPr>
        <w:spacing w:line="360" w:lineRule="auto"/>
        <w:jc w:val="both"/>
        <w:rPr>
          <w:rFonts w:ascii="Arial" w:eastAsia="Arial" w:hAnsi="Arial" w:cs="Arial"/>
        </w:rPr>
      </w:pPr>
    </w:p>
    <w:p w14:paraId="4E94C3D9" w14:textId="77777777" w:rsidR="00CD5A9E" w:rsidRPr="0054090D" w:rsidRDefault="00B76B80">
      <w:pPr>
        <w:spacing w:line="360" w:lineRule="auto"/>
        <w:jc w:val="both"/>
        <w:rPr>
          <w:rFonts w:ascii="Arial" w:eastAsia="Arial" w:hAnsi="Arial" w:cs="Arial"/>
        </w:rPr>
      </w:pPr>
      <w:r w:rsidRPr="0054090D">
        <w:rPr>
          <w:rFonts w:ascii="Arial" w:eastAsia="Arial" w:hAnsi="Arial" w:cs="Arial"/>
          <w:b/>
          <w:i/>
        </w:rPr>
        <w:t>Comisión Estatal</w:t>
      </w:r>
    </w:p>
    <w:p w14:paraId="3C2A3D8A" w14:textId="77777777" w:rsidR="00CD5A9E" w:rsidRPr="0054090D" w:rsidRDefault="00CD5A9E">
      <w:pPr>
        <w:spacing w:line="360" w:lineRule="auto"/>
        <w:jc w:val="both"/>
        <w:rPr>
          <w:rFonts w:ascii="Arial" w:eastAsia="Arial" w:hAnsi="Arial" w:cs="Arial"/>
        </w:rPr>
      </w:pPr>
    </w:p>
    <w:p w14:paraId="53F223A7" w14:textId="282CE456" w:rsidR="003457C5" w:rsidRPr="0054090D" w:rsidRDefault="00B76B80">
      <w:pPr>
        <w:spacing w:line="360" w:lineRule="auto"/>
        <w:jc w:val="both"/>
        <w:rPr>
          <w:rFonts w:ascii="Arial" w:eastAsia="Arial" w:hAnsi="Arial" w:cs="Arial"/>
        </w:rPr>
      </w:pPr>
      <w:r w:rsidRPr="0054090D">
        <w:rPr>
          <w:rFonts w:ascii="Arial" w:eastAsia="Arial" w:hAnsi="Arial" w:cs="Arial"/>
        </w:rPr>
        <w:lastRenderedPageBreak/>
        <w:t>Una vez analizadas y valoradas las constancias</w:t>
      </w:r>
      <w:r w:rsidR="00F075CC" w:rsidRPr="0054090D">
        <w:rPr>
          <w:rFonts w:ascii="Arial" w:eastAsia="Arial" w:hAnsi="Arial" w:cs="Arial"/>
        </w:rPr>
        <w:t xml:space="preserve"> que obran en el expediente</w:t>
      </w:r>
      <w:r w:rsidRPr="0054090D">
        <w:rPr>
          <w:rFonts w:ascii="Arial" w:eastAsia="Arial" w:hAnsi="Arial" w:cs="Arial"/>
        </w:rPr>
        <w:t xml:space="preserve">, este Tribunal Electoral considera que la </w:t>
      </w:r>
      <w:r w:rsidRPr="0054090D">
        <w:rPr>
          <w:rFonts w:ascii="Arial" w:eastAsia="Arial" w:hAnsi="Arial" w:cs="Arial"/>
          <w:i/>
        </w:rPr>
        <w:t>Comisión Estatal</w:t>
      </w:r>
      <w:r w:rsidRPr="0054090D">
        <w:rPr>
          <w:rFonts w:ascii="Arial" w:eastAsia="Arial" w:hAnsi="Arial" w:cs="Arial"/>
        </w:rPr>
        <w:t xml:space="preserve"> </w:t>
      </w:r>
      <w:r w:rsidR="003457C5" w:rsidRPr="0054090D">
        <w:rPr>
          <w:rFonts w:ascii="Arial" w:eastAsia="Arial" w:hAnsi="Arial" w:cs="Arial"/>
        </w:rPr>
        <w:t xml:space="preserve">dio cumplimiento a lo ordenado en la </w:t>
      </w:r>
      <w:r w:rsidR="003457C5" w:rsidRPr="0054090D">
        <w:rPr>
          <w:rFonts w:ascii="Arial" w:eastAsia="Arial" w:hAnsi="Arial" w:cs="Arial"/>
          <w:i/>
          <w:iCs/>
        </w:rPr>
        <w:t>Sentencia</w:t>
      </w:r>
      <w:r w:rsidR="003457C5" w:rsidRPr="0054090D">
        <w:rPr>
          <w:rFonts w:ascii="Arial" w:eastAsia="Arial" w:hAnsi="Arial" w:cs="Arial"/>
        </w:rPr>
        <w:t xml:space="preserve"> dictada por este Órgano </w:t>
      </w:r>
      <w:r w:rsidR="00154350" w:rsidRPr="0054090D">
        <w:rPr>
          <w:rFonts w:ascii="Arial" w:eastAsia="Arial" w:hAnsi="Arial" w:cs="Arial"/>
        </w:rPr>
        <w:t>J</w:t>
      </w:r>
      <w:r w:rsidR="003457C5" w:rsidRPr="0054090D">
        <w:rPr>
          <w:rFonts w:ascii="Arial" w:eastAsia="Arial" w:hAnsi="Arial" w:cs="Arial"/>
        </w:rPr>
        <w:t xml:space="preserve">urisdiccional, aun cuando no sustanció formalmente el medio de impugnación ni elaboró el </w:t>
      </w:r>
      <w:proofErr w:type="spellStart"/>
      <w:r w:rsidR="003457C5" w:rsidRPr="0054090D">
        <w:rPr>
          <w:rFonts w:ascii="Arial" w:eastAsia="Arial" w:hAnsi="Arial" w:cs="Arial"/>
        </w:rPr>
        <w:t>pre-dictamen</w:t>
      </w:r>
      <w:proofErr w:type="spellEnd"/>
      <w:r w:rsidR="003457C5" w:rsidRPr="0054090D">
        <w:rPr>
          <w:rFonts w:ascii="Arial" w:eastAsia="Arial" w:hAnsi="Arial" w:cs="Arial"/>
        </w:rPr>
        <w:t xml:space="preserve"> respectivo, para remitirlo junto con el expediente debidamente integrado a la </w:t>
      </w:r>
      <w:r w:rsidR="003457C5" w:rsidRPr="0054090D">
        <w:rPr>
          <w:rFonts w:ascii="Arial" w:eastAsia="Arial" w:hAnsi="Arial" w:cs="Arial"/>
          <w:i/>
          <w:iCs/>
        </w:rPr>
        <w:t>Comisión Nacional.</w:t>
      </w:r>
    </w:p>
    <w:p w14:paraId="61481CB3" w14:textId="77777777" w:rsidR="003457C5" w:rsidRPr="0054090D" w:rsidRDefault="003457C5">
      <w:pPr>
        <w:spacing w:line="360" w:lineRule="auto"/>
        <w:jc w:val="both"/>
        <w:rPr>
          <w:rFonts w:ascii="Arial" w:eastAsia="Arial" w:hAnsi="Arial" w:cs="Arial"/>
        </w:rPr>
      </w:pPr>
    </w:p>
    <w:p w14:paraId="5ECE1B70" w14:textId="333E9661" w:rsidR="00CD5A9E" w:rsidRPr="0054090D" w:rsidRDefault="00BB3650">
      <w:pPr>
        <w:spacing w:line="360" w:lineRule="auto"/>
        <w:jc w:val="both"/>
        <w:rPr>
          <w:rFonts w:ascii="Arial" w:eastAsia="Arial" w:hAnsi="Arial" w:cs="Arial"/>
        </w:rPr>
      </w:pPr>
      <w:r w:rsidRPr="0054090D">
        <w:rPr>
          <w:rFonts w:ascii="Arial" w:eastAsia="Arial" w:hAnsi="Arial" w:cs="Arial"/>
        </w:rPr>
        <w:t xml:space="preserve">Se llega a tal conclusión porque, el ocho de octubre la </w:t>
      </w:r>
      <w:r w:rsidRPr="0054090D">
        <w:rPr>
          <w:rFonts w:ascii="Arial" w:eastAsia="Arial" w:hAnsi="Arial" w:cs="Arial"/>
          <w:i/>
          <w:iCs/>
        </w:rPr>
        <w:t>Comisión Estatal</w:t>
      </w:r>
      <w:r w:rsidRPr="0054090D">
        <w:rPr>
          <w:rFonts w:ascii="Arial" w:eastAsia="Arial" w:hAnsi="Arial" w:cs="Arial"/>
        </w:rPr>
        <w:t xml:space="preserve"> hizo llegar a este Tribunal diverso material documental, entre el que destaca el </w:t>
      </w:r>
      <w:r w:rsidR="00DD401B" w:rsidRPr="0054090D">
        <w:rPr>
          <w:rFonts w:ascii="Arial" w:eastAsia="Arial" w:hAnsi="Arial" w:cs="Arial"/>
        </w:rPr>
        <w:t>a</w:t>
      </w:r>
      <w:r w:rsidRPr="0054090D">
        <w:rPr>
          <w:rFonts w:ascii="Arial" w:eastAsia="Arial" w:hAnsi="Arial" w:cs="Arial"/>
        </w:rPr>
        <w:t xml:space="preserve">cuerdo de </w:t>
      </w:r>
      <w:r w:rsidR="00DD401B" w:rsidRPr="0054090D">
        <w:rPr>
          <w:rFonts w:ascii="Arial" w:eastAsia="Arial" w:hAnsi="Arial" w:cs="Arial"/>
        </w:rPr>
        <w:t>i</w:t>
      </w:r>
      <w:r w:rsidRPr="0054090D">
        <w:rPr>
          <w:rFonts w:ascii="Arial" w:eastAsia="Arial" w:hAnsi="Arial" w:cs="Arial"/>
        </w:rPr>
        <w:t xml:space="preserve">ncompetencia de once de agosto, en el que determinó que los actos presuntamente impugnados correspondían a la Coordinación Nacional de Afiliación y Registro Partidario del Comité Ejecutivo Nacional, </w:t>
      </w:r>
      <w:r w:rsidR="00154350" w:rsidRPr="0054090D">
        <w:rPr>
          <w:rFonts w:ascii="Arial" w:eastAsia="Arial" w:hAnsi="Arial" w:cs="Arial"/>
        </w:rPr>
        <w:t xml:space="preserve">de conformidad con los dispuesto </w:t>
      </w:r>
      <w:r w:rsidRPr="0054090D">
        <w:rPr>
          <w:rFonts w:ascii="Arial" w:eastAsia="Arial" w:hAnsi="Arial" w:cs="Arial"/>
        </w:rPr>
        <w:t>en el artículo 14 fracción IV del Código de Justicia Partidaria.</w:t>
      </w:r>
    </w:p>
    <w:p w14:paraId="7CEE7605" w14:textId="77777777" w:rsidR="00BB3650" w:rsidRPr="0054090D" w:rsidRDefault="00BB3650">
      <w:pPr>
        <w:spacing w:line="360" w:lineRule="auto"/>
        <w:jc w:val="both"/>
        <w:rPr>
          <w:rFonts w:ascii="Arial" w:eastAsia="Arial" w:hAnsi="Arial" w:cs="Arial"/>
        </w:rPr>
      </w:pPr>
    </w:p>
    <w:p w14:paraId="5F29A9E6" w14:textId="09FDC85B" w:rsidR="00CD5A9E" w:rsidRDefault="00A069FC">
      <w:pPr>
        <w:spacing w:line="360" w:lineRule="auto"/>
        <w:jc w:val="both"/>
        <w:rPr>
          <w:rFonts w:ascii="Arial" w:eastAsia="Arial" w:hAnsi="Arial" w:cs="Arial"/>
        </w:rPr>
      </w:pPr>
      <w:r w:rsidRPr="0054090D">
        <w:rPr>
          <w:rFonts w:ascii="Arial" w:eastAsia="Arial" w:hAnsi="Arial" w:cs="Arial"/>
        </w:rPr>
        <w:t xml:space="preserve">En consecuencia, la </w:t>
      </w:r>
      <w:r w:rsidRPr="0054090D">
        <w:rPr>
          <w:rFonts w:ascii="Arial" w:eastAsia="Arial" w:hAnsi="Arial" w:cs="Arial"/>
          <w:i/>
          <w:iCs/>
        </w:rPr>
        <w:t>Comisión Estatal</w:t>
      </w:r>
      <w:r w:rsidRPr="0054090D">
        <w:rPr>
          <w:rFonts w:ascii="Arial" w:eastAsia="Arial" w:hAnsi="Arial" w:cs="Arial"/>
        </w:rPr>
        <w:t xml:space="preserve"> ordenó la remisión inmediata del expediente —relativo al juicio ciudadano TEEM-JDC-205/2025 y acumulado— a la </w:t>
      </w:r>
      <w:r w:rsidRPr="0054090D">
        <w:rPr>
          <w:rFonts w:ascii="Arial" w:eastAsia="Arial" w:hAnsi="Arial" w:cs="Arial"/>
          <w:i/>
          <w:iCs/>
        </w:rPr>
        <w:t>Comisión Nacional</w:t>
      </w:r>
      <w:r w:rsidR="00CC01F0" w:rsidRPr="0054090D">
        <w:rPr>
          <w:rFonts w:ascii="Arial" w:eastAsia="Arial" w:hAnsi="Arial" w:cs="Arial"/>
          <w:color w:val="000000"/>
        </w:rPr>
        <w:t>,</w:t>
      </w:r>
      <w:r w:rsidRPr="0054090D">
        <w:rPr>
          <w:rFonts w:ascii="Arial" w:eastAsia="Calibri" w:hAnsi="Arial" w:cs="Arial"/>
          <w:vertAlign w:val="superscript"/>
        </w:rPr>
        <w:footnoteReference w:id="31"/>
      </w:r>
      <w:r w:rsidRPr="0054090D">
        <w:rPr>
          <w:rFonts w:ascii="Arial" w:eastAsia="Arial" w:hAnsi="Arial" w:cs="Arial"/>
        </w:rPr>
        <w:t xml:space="preserve"> como se puede observar de las imágenes que se muestran enseguida</w:t>
      </w:r>
      <w:r w:rsidR="0010408D">
        <w:rPr>
          <w:rFonts w:ascii="Arial" w:eastAsia="Arial" w:hAnsi="Arial" w:cs="Arial"/>
        </w:rPr>
        <w:t>.</w:t>
      </w:r>
    </w:p>
    <w:p w14:paraId="5C67D7E3" w14:textId="77777777" w:rsidR="00CD5A9E" w:rsidRPr="0054090D" w:rsidRDefault="00CD5A9E">
      <w:pPr>
        <w:spacing w:line="360" w:lineRule="auto"/>
        <w:jc w:val="both"/>
        <w:rPr>
          <w:rFonts w:ascii="Arial" w:eastAsia="Arial" w:hAnsi="Arial" w:cs="Arial"/>
        </w:rPr>
      </w:pPr>
    </w:p>
    <w:p w14:paraId="16D1F88F" w14:textId="77777777" w:rsidR="00CD5A9E" w:rsidRPr="0054090D" w:rsidRDefault="00B76B80">
      <w:pPr>
        <w:spacing w:line="360" w:lineRule="auto"/>
        <w:jc w:val="center"/>
        <w:rPr>
          <w:rFonts w:ascii="Arial" w:eastAsia="Arial" w:hAnsi="Arial" w:cs="Arial"/>
        </w:rPr>
      </w:pPr>
      <w:r w:rsidRPr="0054090D">
        <w:rPr>
          <w:rFonts w:ascii="Arial" w:eastAsia="Arial" w:hAnsi="Arial" w:cs="Arial"/>
          <w:noProof/>
        </w:rPr>
        <w:drawing>
          <wp:inline distT="0" distB="0" distL="0" distR="0" wp14:anchorId="498A4317" wp14:editId="2CD7D834">
            <wp:extent cx="2930872" cy="3716655"/>
            <wp:effectExtent l="0" t="0" r="3175" b="0"/>
            <wp:docPr id="7"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8"/>
                    <a:srcRect/>
                    <a:stretch>
                      <a:fillRect/>
                    </a:stretch>
                  </pic:blipFill>
                  <pic:spPr>
                    <a:xfrm>
                      <a:off x="0" y="0"/>
                      <a:ext cx="2965126" cy="3760093"/>
                    </a:xfrm>
                    <a:prstGeom prst="rect">
                      <a:avLst/>
                    </a:prstGeom>
                    <a:ln/>
                  </pic:spPr>
                </pic:pic>
              </a:graphicData>
            </a:graphic>
          </wp:inline>
        </w:drawing>
      </w:r>
      <w:r w:rsidRPr="0054090D">
        <w:rPr>
          <w:rFonts w:ascii="Arial" w:eastAsia="Arial" w:hAnsi="Arial" w:cs="Arial"/>
          <w:noProof/>
        </w:rPr>
        <w:drawing>
          <wp:inline distT="0" distB="0" distL="0" distR="0" wp14:anchorId="2A83F8DF" wp14:editId="78A7B2EA">
            <wp:extent cx="2375065" cy="3954483"/>
            <wp:effectExtent l="0" t="0" r="6350" b="8255"/>
            <wp:docPr id="6"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9"/>
                    <a:srcRect/>
                    <a:stretch>
                      <a:fillRect/>
                    </a:stretch>
                  </pic:blipFill>
                  <pic:spPr>
                    <a:xfrm>
                      <a:off x="0" y="0"/>
                      <a:ext cx="2408160" cy="4009587"/>
                    </a:xfrm>
                    <a:prstGeom prst="rect">
                      <a:avLst/>
                    </a:prstGeom>
                    <a:ln/>
                  </pic:spPr>
                </pic:pic>
              </a:graphicData>
            </a:graphic>
          </wp:inline>
        </w:drawing>
      </w:r>
    </w:p>
    <w:p w14:paraId="1039384E" w14:textId="77777777" w:rsidR="00CD5A9E" w:rsidRPr="0054090D" w:rsidRDefault="00CD5A9E">
      <w:pPr>
        <w:spacing w:line="360" w:lineRule="auto"/>
        <w:jc w:val="both"/>
        <w:rPr>
          <w:rFonts w:ascii="Arial" w:eastAsia="Arial" w:hAnsi="Arial" w:cs="Arial"/>
        </w:rPr>
      </w:pPr>
    </w:p>
    <w:p w14:paraId="1976A849" w14:textId="79982B78" w:rsidR="00DD401B" w:rsidRPr="0054090D" w:rsidRDefault="002746E3" w:rsidP="00DD401B">
      <w:pPr>
        <w:spacing w:line="360" w:lineRule="auto"/>
        <w:jc w:val="both"/>
        <w:rPr>
          <w:rFonts w:ascii="Arial" w:eastAsia="Arial" w:hAnsi="Arial" w:cs="Arial"/>
          <w:color w:val="000000"/>
        </w:rPr>
      </w:pPr>
      <w:r w:rsidRPr="0054090D">
        <w:rPr>
          <w:rFonts w:ascii="Arial" w:eastAsia="Arial" w:hAnsi="Arial" w:cs="Arial"/>
          <w:color w:val="000000"/>
        </w:rPr>
        <w:t xml:space="preserve">Por lo que, </w:t>
      </w:r>
      <w:r w:rsidR="00DD401B" w:rsidRPr="0054090D">
        <w:rPr>
          <w:rFonts w:ascii="Arial" w:eastAsia="Arial" w:hAnsi="Arial" w:cs="Arial"/>
          <w:color w:val="000000"/>
        </w:rPr>
        <w:t xml:space="preserve">para este Tribunal Electoral, la actuación de la </w:t>
      </w:r>
      <w:r w:rsidR="00DD401B" w:rsidRPr="0054090D">
        <w:rPr>
          <w:rFonts w:ascii="Arial" w:eastAsia="Arial" w:hAnsi="Arial" w:cs="Arial"/>
          <w:i/>
          <w:iCs/>
          <w:color w:val="000000"/>
        </w:rPr>
        <w:t>Comisión Estatal</w:t>
      </w:r>
      <w:r w:rsidR="00DD401B" w:rsidRPr="0054090D">
        <w:rPr>
          <w:rFonts w:ascii="Arial" w:eastAsia="Arial" w:hAnsi="Arial" w:cs="Arial"/>
          <w:color w:val="000000"/>
        </w:rPr>
        <w:t xml:space="preserve"> es suficiente y fue jurídicamente adecuada, dado que se llevó a cabo en ejercicio de </w:t>
      </w:r>
      <w:r w:rsidR="00DD401B" w:rsidRPr="0054090D">
        <w:rPr>
          <w:rFonts w:ascii="Arial" w:eastAsia="Arial" w:hAnsi="Arial" w:cs="Arial"/>
          <w:color w:val="000000"/>
        </w:rPr>
        <w:lastRenderedPageBreak/>
        <w:t>sus atribuciones</w:t>
      </w:r>
      <w:r w:rsidR="00154350" w:rsidRPr="0054090D">
        <w:rPr>
          <w:rFonts w:ascii="Arial" w:eastAsia="Arial" w:hAnsi="Arial" w:cs="Arial"/>
          <w:color w:val="000000"/>
        </w:rPr>
        <w:t xml:space="preserve">, pues el </w:t>
      </w:r>
      <w:r w:rsidR="00DD401B" w:rsidRPr="0054090D">
        <w:rPr>
          <w:rFonts w:ascii="Arial" w:eastAsia="Arial" w:hAnsi="Arial" w:cs="Arial"/>
          <w:color w:val="000000"/>
        </w:rPr>
        <w:t>acuerdo de incompetencia se encuentra fundad</w:t>
      </w:r>
      <w:r w:rsidR="00CD2A44" w:rsidRPr="0054090D">
        <w:rPr>
          <w:rFonts w:ascii="Arial" w:eastAsia="Arial" w:hAnsi="Arial" w:cs="Arial"/>
          <w:color w:val="000000"/>
        </w:rPr>
        <w:t>o</w:t>
      </w:r>
      <w:r w:rsidR="00DD401B" w:rsidRPr="0054090D">
        <w:rPr>
          <w:rFonts w:ascii="Arial" w:eastAsia="Arial" w:hAnsi="Arial" w:cs="Arial"/>
          <w:color w:val="000000"/>
        </w:rPr>
        <w:t xml:space="preserve"> en la normativa interna del partido y constituye una respuesta formal y de fondo al mandato emitido en la </w:t>
      </w:r>
      <w:r w:rsidR="00431700" w:rsidRPr="0054090D">
        <w:rPr>
          <w:rFonts w:ascii="Arial" w:eastAsia="Arial" w:hAnsi="Arial" w:cs="Arial"/>
          <w:i/>
          <w:iCs/>
          <w:color w:val="000000"/>
        </w:rPr>
        <w:t>S</w:t>
      </w:r>
      <w:r w:rsidR="00DD401B" w:rsidRPr="0054090D">
        <w:rPr>
          <w:rFonts w:ascii="Arial" w:eastAsia="Arial" w:hAnsi="Arial" w:cs="Arial"/>
          <w:i/>
          <w:iCs/>
          <w:color w:val="000000"/>
        </w:rPr>
        <w:t>entencia</w:t>
      </w:r>
      <w:r w:rsidR="00DD401B" w:rsidRPr="0054090D">
        <w:rPr>
          <w:rFonts w:ascii="Arial" w:eastAsia="Arial" w:hAnsi="Arial" w:cs="Arial"/>
          <w:color w:val="000000"/>
        </w:rPr>
        <w:t>, en tanto cumplió con la finalidad perseguida</w:t>
      </w:r>
      <w:r w:rsidR="00CD2A44" w:rsidRPr="0054090D">
        <w:rPr>
          <w:rFonts w:ascii="Arial" w:eastAsia="Arial" w:hAnsi="Arial" w:cs="Arial"/>
          <w:color w:val="000000"/>
        </w:rPr>
        <w:t>, la de</w:t>
      </w:r>
      <w:r w:rsidR="00DD401B" w:rsidRPr="0054090D">
        <w:rPr>
          <w:rFonts w:ascii="Arial" w:eastAsia="Arial" w:hAnsi="Arial" w:cs="Arial"/>
          <w:color w:val="000000"/>
        </w:rPr>
        <w:t xml:space="preserve"> remitir el asunto a la instancia nacional competente para </w:t>
      </w:r>
      <w:r w:rsidR="00CD2A44" w:rsidRPr="0054090D">
        <w:rPr>
          <w:rFonts w:ascii="Arial" w:eastAsia="Arial" w:hAnsi="Arial" w:cs="Arial"/>
          <w:color w:val="000000"/>
        </w:rPr>
        <w:t>su resolución</w:t>
      </w:r>
      <w:r w:rsidR="00DD401B" w:rsidRPr="0054090D">
        <w:rPr>
          <w:rFonts w:ascii="Arial" w:eastAsia="Arial" w:hAnsi="Arial" w:cs="Arial"/>
          <w:color w:val="000000"/>
        </w:rPr>
        <w:t>.</w:t>
      </w:r>
    </w:p>
    <w:p w14:paraId="7822BE59" w14:textId="77777777" w:rsidR="00DD401B" w:rsidRPr="0054090D" w:rsidRDefault="00DD401B" w:rsidP="00DD401B">
      <w:pPr>
        <w:spacing w:line="360" w:lineRule="auto"/>
        <w:jc w:val="both"/>
        <w:rPr>
          <w:rFonts w:ascii="Arial" w:eastAsia="Arial" w:hAnsi="Arial" w:cs="Arial"/>
          <w:color w:val="000000"/>
        </w:rPr>
      </w:pPr>
    </w:p>
    <w:p w14:paraId="51425EB2" w14:textId="67ED679F" w:rsidR="00DD401B" w:rsidRPr="0054090D" w:rsidRDefault="00DD401B" w:rsidP="00DD401B">
      <w:pPr>
        <w:spacing w:line="360" w:lineRule="auto"/>
        <w:jc w:val="both"/>
        <w:rPr>
          <w:rFonts w:ascii="Arial" w:eastAsia="Arial" w:hAnsi="Arial" w:cs="Arial"/>
          <w:color w:val="000000"/>
        </w:rPr>
      </w:pPr>
      <w:r w:rsidRPr="0054090D">
        <w:rPr>
          <w:rFonts w:ascii="Arial" w:eastAsia="Arial" w:hAnsi="Arial" w:cs="Arial"/>
          <w:color w:val="000000"/>
        </w:rPr>
        <w:t xml:space="preserve">Por tanto, aun cuando no se sustanció el medio de impugnación ni se elaboró el </w:t>
      </w:r>
      <w:proofErr w:type="spellStart"/>
      <w:r w:rsidRPr="0054090D">
        <w:rPr>
          <w:rFonts w:ascii="Arial" w:eastAsia="Arial" w:hAnsi="Arial" w:cs="Arial"/>
          <w:color w:val="000000"/>
        </w:rPr>
        <w:t>pre-dictamen</w:t>
      </w:r>
      <w:proofErr w:type="spellEnd"/>
      <w:r w:rsidRPr="0054090D">
        <w:rPr>
          <w:rFonts w:ascii="Arial" w:eastAsia="Arial" w:hAnsi="Arial" w:cs="Arial"/>
          <w:color w:val="000000"/>
        </w:rPr>
        <w:t xml:space="preserve"> referido, tales circunstancias no constituyen incumplimiento, ya que la finalidad de garantizar la atención y resolución del medio de impugnación fue alcanzada mediante la intervención de la </w:t>
      </w:r>
      <w:r w:rsidRPr="0054090D">
        <w:rPr>
          <w:rFonts w:ascii="Arial" w:eastAsia="Arial" w:hAnsi="Arial" w:cs="Arial"/>
          <w:i/>
          <w:iCs/>
          <w:color w:val="000000"/>
        </w:rPr>
        <w:t>Comisión Nacional</w:t>
      </w:r>
      <w:r w:rsidRPr="0054090D">
        <w:rPr>
          <w:rFonts w:ascii="Arial" w:eastAsia="Arial" w:hAnsi="Arial" w:cs="Arial"/>
          <w:color w:val="000000"/>
        </w:rPr>
        <w:t>, que ya emitió resolución definitiva sobre el fondo del asunto.</w:t>
      </w:r>
    </w:p>
    <w:p w14:paraId="431B76F8" w14:textId="77777777" w:rsidR="00DD401B" w:rsidRPr="0054090D" w:rsidRDefault="00DD401B">
      <w:pPr>
        <w:spacing w:line="360" w:lineRule="auto"/>
        <w:jc w:val="both"/>
        <w:rPr>
          <w:rFonts w:ascii="Arial" w:eastAsia="Arial" w:hAnsi="Arial" w:cs="Arial"/>
          <w:color w:val="000000"/>
        </w:rPr>
      </w:pPr>
    </w:p>
    <w:p w14:paraId="77841386" w14:textId="53AC8E0D" w:rsidR="00F075CC" w:rsidRPr="0054090D" w:rsidRDefault="00F075CC" w:rsidP="00F075CC">
      <w:pPr>
        <w:spacing w:line="360" w:lineRule="auto"/>
        <w:jc w:val="both"/>
        <w:rPr>
          <w:rFonts w:ascii="Arial" w:eastAsia="Arial" w:hAnsi="Arial" w:cs="Arial"/>
          <w:color w:val="000000"/>
        </w:rPr>
      </w:pPr>
      <w:r w:rsidRPr="0054090D">
        <w:rPr>
          <w:rFonts w:ascii="Arial" w:eastAsia="Arial" w:hAnsi="Arial" w:cs="Arial"/>
          <w:color w:val="000000"/>
        </w:rPr>
        <w:t xml:space="preserve">Ahora bien, en cuanto al aspecto temporal, debe tenerse </w:t>
      </w:r>
      <w:r w:rsidR="0060585D" w:rsidRPr="0054090D">
        <w:rPr>
          <w:rFonts w:ascii="Arial" w:eastAsia="Arial" w:hAnsi="Arial" w:cs="Arial"/>
          <w:color w:val="000000"/>
        </w:rPr>
        <w:t>en consideración</w:t>
      </w:r>
      <w:r w:rsidRPr="0054090D">
        <w:rPr>
          <w:rFonts w:ascii="Arial" w:eastAsia="Arial" w:hAnsi="Arial" w:cs="Arial"/>
          <w:color w:val="000000"/>
        </w:rPr>
        <w:t xml:space="preserve"> que el presente asunto se encuentra vinculado con un proceso electoral local, por lo que, conforme </w:t>
      </w:r>
      <w:r w:rsidR="0060585D" w:rsidRPr="0054090D">
        <w:rPr>
          <w:rFonts w:ascii="Arial" w:eastAsia="Arial" w:hAnsi="Arial" w:cs="Arial"/>
          <w:color w:val="000000"/>
        </w:rPr>
        <w:t>con el</w:t>
      </w:r>
      <w:r w:rsidRPr="0054090D">
        <w:rPr>
          <w:rFonts w:ascii="Arial" w:eastAsia="Arial" w:hAnsi="Arial" w:cs="Arial"/>
          <w:color w:val="000000"/>
        </w:rPr>
        <w:t xml:space="preserve"> artículo 8 de la </w:t>
      </w:r>
      <w:r w:rsidRPr="0054090D">
        <w:rPr>
          <w:rFonts w:ascii="Arial" w:eastAsia="Arial" w:hAnsi="Arial" w:cs="Arial"/>
          <w:i/>
          <w:iCs/>
          <w:color w:val="000000"/>
        </w:rPr>
        <w:t>Ley de Justicia</w:t>
      </w:r>
      <w:r w:rsidRPr="0054090D">
        <w:rPr>
          <w:rFonts w:ascii="Arial" w:eastAsia="Arial" w:hAnsi="Arial" w:cs="Arial"/>
          <w:color w:val="000000"/>
        </w:rPr>
        <w:t>, todos los días y horas son hábiles para la tramitación y resolución de medios de impugnación.</w:t>
      </w:r>
    </w:p>
    <w:p w14:paraId="20EDE3E8" w14:textId="77777777" w:rsidR="00F075CC" w:rsidRPr="0054090D" w:rsidRDefault="00F075CC" w:rsidP="00F075CC">
      <w:pPr>
        <w:spacing w:line="360" w:lineRule="auto"/>
        <w:jc w:val="both"/>
        <w:rPr>
          <w:rFonts w:ascii="Arial" w:eastAsia="Arial" w:hAnsi="Arial" w:cs="Arial"/>
          <w:color w:val="000000"/>
        </w:rPr>
      </w:pPr>
    </w:p>
    <w:p w14:paraId="6941E215" w14:textId="270C233D" w:rsidR="00DD401B" w:rsidRPr="0054090D" w:rsidRDefault="00F075CC" w:rsidP="00F075CC">
      <w:pPr>
        <w:spacing w:line="360" w:lineRule="auto"/>
        <w:jc w:val="both"/>
        <w:rPr>
          <w:rFonts w:ascii="Arial" w:eastAsia="Arial" w:hAnsi="Arial" w:cs="Arial"/>
          <w:color w:val="000000"/>
        </w:rPr>
      </w:pPr>
      <w:r w:rsidRPr="0054090D">
        <w:rPr>
          <w:rFonts w:ascii="Arial" w:eastAsia="Arial" w:hAnsi="Arial" w:cs="Arial"/>
          <w:color w:val="000000"/>
        </w:rPr>
        <w:t xml:space="preserve">Si bien, entre la notificación efectuada el siete de agosto y la recepción del medio de impugnación por parte de la </w:t>
      </w:r>
      <w:r w:rsidRPr="0054090D">
        <w:rPr>
          <w:rFonts w:ascii="Arial" w:eastAsia="Arial" w:hAnsi="Arial" w:cs="Arial"/>
          <w:i/>
          <w:iCs/>
          <w:color w:val="000000"/>
        </w:rPr>
        <w:t>Comisión Nacional</w:t>
      </w:r>
      <w:r w:rsidRPr="0054090D">
        <w:rPr>
          <w:rFonts w:ascii="Arial" w:eastAsia="Arial" w:hAnsi="Arial" w:cs="Arial"/>
          <w:color w:val="000000"/>
        </w:rPr>
        <w:t xml:space="preserve"> el diecinueve del mismo mes, transcurrió un plazo mayor al ordinariamente previsto, dicha dilación no puede considerarse como un incumplimiento contumaz o negligente, toda vez que la </w:t>
      </w:r>
      <w:r w:rsidRPr="0054090D">
        <w:rPr>
          <w:rFonts w:ascii="Arial" w:eastAsia="Arial" w:hAnsi="Arial" w:cs="Arial"/>
          <w:i/>
          <w:iCs/>
          <w:color w:val="000000"/>
        </w:rPr>
        <w:t>Comisión Estatal</w:t>
      </w:r>
      <w:r w:rsidRPr="0054090D">
        <w:rPr>
          <w:rFonts w:ascii="Arial" w:eastAsia="Arial" w:hAnsi="Arial" w:cs="Arial"/>
          <w:color w:val="000000"/>
        </w:rPr>
        <w:t xml:space="preserve"> tiene su sede en Morelia, Michoacán y la </w:t>
      </w:r>
      <w:r w:rsidRPr="0054090D">
        <w:rPr>
          <w:rFonts w:ascii="Arial" w:eastAsia="Arial" w:hAnsi="Arial" w:cs="Arial"/>
          <w:i/>
          <w:iCs/>
          <w:color w:val="000000"/>
        </w:rPr>
        <w:t>Comisión Nacional</w:t>
      </w:r>
      <w:r w:rsidRPr="0054090D">
        <w:rPr>
          <w:rFonts w:ascii="Arial" w:eastAsia="Arial" w:hAnsi="Arial" w:cs="Arial"/>
          <w:color w:val="000000"/>
        </w:rPr>
        <w:t xml:space="preserve"> en la Ciudad de México, lo que razonablemente explica el tiempo empleado en la remisión del expediente y la recepción de la documentación correspondiente.</w:t>
      </w:r>
    </w:p>
    <w:p w14:paraId="37261937" w14:textId="77777777" w:rsidR="00DD401B" w:rsidRPr="0054090D" w:rsidRDefault="00DD401B">
      <w:pPr>
        <w:spacing w:line="360" w:lineRule="auto"/>
        <w:jc w:val="both"/>
        <w:rPr>
          <w:rFonts w:ascii="Arial" w:eastAsia="Arial" w:hAnsi="Arial" w:cs="Arial"/>
          <w:color w:val="000000"/>
        </w:rPr>
      </w:pPr>
    </w:p>
    <w:p w14:paraId="24906924" w14:textId="7CB8071E" w:rsidR="00DD401B" w:rsidRPr="0054090D" w:rsidRDefault="00F075CC">
      <w:pPr>
        <w:spacing w:line="360" w:lineRule="auto"/>
        <w:jc w:val="both"/>
        <w:rPr>
          <w:rFonts w:ascii="Arial" w:eastAsia="Arial" w:hAnsi="Arial" w:cs="Arial"/>
          <w:color w:val="000000"/>
        </w:rPr>
      </w:pPr>
      <w:r w:rsidRPr="0054090D">
        <w:rPr>
          <w:rFonts w:ascii="Arial" w:eastAsia="Arial" w:hAnsi="Arial" w:cs="Arial"/>
          <w:color w:val="000000"/>
        </w:rPr>
        <w:t xml:space="preserve">En consecuencia, este Tribunal Electoral estima que la </w:t>
      </w:r>
      <w:r w:rsidRPr="0054090D">
        <w:rPr>
          <w:rFonts w:ascii="Arial" w:eastAsia="Arial" w:hAnsi="Arial" w:cs="Arial"/>
          <w:i/>
          <w:iCs/>
          <w:color w:val="000000"/>
        </w:rPr>
        <w:t>Comisión Estatal</w:t>
      </w:r>
      <w:r w:rsidRPr="0054090D">
        <w:rPr>
          <w:rFonts w:ascii="Arial" w:eastAsia="Arial" w:hAnsi="Arial" w:cs="Arial"/>
          <w:color w:val="000000"/>
        </w:rPr>
        <w:t xml:space="preserve"> </w:t>
      </w:r>
      <w:bookmarkStart w:id="6" w:name="_Hlk211511682"/>
      <w:r w:rsidRPr="0054090D">
        <w:rPr>
          <w:rFonts w:ascii="Arial" w:eastAsia="Arial" w:hAnsi="Arial" w:cs="Arial"/>
          <w:color w:val="000000"/>
        </w:rPr>
        <w:t xml:space="preserve">cumplió con lo ordenado en la </w:t>
      </w:r>
      <w:r w:rsidR="009A1EAF" w:rsidRPr="0054090D">
        <w:rPr>
          <w:rFonts w:ascii="Arial" w:eastAsia="Arial" w:hAnsi="Arial" w:cs="Arial"/>
          <w:i/>
          <w:iCs/>
          <w:color w:val="000000"/>
        </w:rPr>
        <w:t>S</w:t>
      </w:r>
      <w:r w:rsidRPr="0054090D">
        <w:rPr>
          <w:rFonts w:ascii="Arial" w:eastAsia="Arial" w:hAnsi="Arial" w:cs="Arial"/>
          <w:i/>
          <w:iCs/>
          <w:color w:val="000000"/>
        </w:rPr>
        <w:t>entencia</w:t>
      </w:r>
      <w:r w:rsidR="009A1EAF" w:rsidRPr="0054090D">
        <w:rPr>
          <w:rFonts w:ascii="Arial" w:eastAsia="Arial" w:hAnsi="Arial" w:cs="Arial"/>
          <w:color w:val="000000"/>
        </w:rPr>
        <w:t xml:space="preserve"> al</w:t>
      </w:r>
      <w:r w:rsidRPr="0054090D">
        <w:rPr>
          <w:rFonts w:ascii="Arial" w:eastAsia="Arial" w:hAnsi="Arial" w:cs="Arial"/>
          <w:color w:val="000000"/>
        </w:rPr>
        <w:t xml:space="preserve"> haber actuado dentro del marco de su competencia, conforme </w:t>
      </w:r>
      <w:r w:rsidR="000F647F" w:rsidRPr="0054090D">
        <w:rPr>
          <w:rFonts w:ascii="Arial" w:eastAsia="Arial" w:hAnsi="Arial" w:cs="Arial"/>
          <w:color w:val="000000"/>
        </w:rPr>
        <w:t>con</w:t>
      </w:r>
      <w:r w:rsidRPr="0054090D">
        <w:rPr>
          <w:rFonts w:ascii="Arial" w:eastAsia="Arial" w:hAnsi="Arial" w:cs="Arial"/>
          <w:color w:val="000000"/>
        </w:rPr>
        <w:t xml:space="preserve"> su normativa interna y con la finalidad de garantizar la efectiva resolución del medio de impugnación.</w:t>
      </w:r>
    </w:p>
    <w:bookmarkEnd w:id="6"/>
    <w:p w14:paraId="455EAD1F" w14:textId="77777777" w:rsidR="00CD5A9E" w:rsidRPr="0054090D" w:rsidRDefault="00CD5A9E">
      <w:pPr>
        <w:spacing w:line="360" w:lineRule="auto"/>
        <w:jc w:val="both"/>
        <w:rPr>
          <w:rFonts w:ascii="Arial" w:eastAsia="Arial" w:hAnsi="Arial" w:cs="Arial"/>
        </w:rPr>
      </w:pPr>
    </w:p>
    <w:p w14:paraId="5C24697C" w14:textId="77777777" w:rsidR="00CD5A9E" w:rsidRPr="0054090D" w:rsidRDefault="00B76B80">
      <w:pPr>
        <w:spacing w:line="360" w:lineRule="auto"/>
        <w:jc w:val="both"/>
        <w:rPr>
          <w:rFonts w:ascii="Arial" w:eastAsia="Arial" w:hAnsi="Arial" w:cs="Arial"/>
        </w:rPr>
      </w:pPr>
      <w:r w:rsidRPr="0054090D">
        <w:rPr>
          <w:rFonts w:ascii="Arial" w:eastAsia="Arial" w:hAnsi="Arial" w:cs="Arial"/>
          <w:b/>
          <w:i/>
        </w:rPr>
        <w:t xml:space="preserve">Comisión Nacional </w:t>
      </w:r>
    </w:p>
    <w:p w14:paraId="7BEF911C" w14:textId="77777777" w:rsidR="00CD5A9E" w:rsidRPr="0054090D" w:rsidRDefault="00CD5A9E">
      <w:pPr>
        <w:spacing w:line="360" w:lineRule="auto"/>
        <w:jc w:val="both"/>
        <w:rPr>
          <w:rFonts w:ascii="Arial" w:eastAsia="Arial" w:hAnsi="Arial" w:cs="Arial"/>
        </w:rPr>
      </w:pPr>
    </w:p>
    <w:p w14:paraId="309EE1EC" w14:textId="77777777" w:rsidR="00CD5A9E" w:rsidRPr="0054090D" w:rsidRDefault="00B76B80">
      <w:pPr>
        <w:spacing w:line="360" w:lineRule="auto"/>
        <w:jc w:val="both"/>
        <w:rPr>
          <w:rFonts w:ascii="Arial" w:eastAsia="Arial" w:hAnsi="Arial" w:cs="Arial"/>
        </w:rPr>
      </w:pPr>
      <w:r w:rsidRPr="0054090D">
        <w:rPr>
          <w:rFonts w:ascii="Arial" w:eastAsia="Arial" w:hAnsi="Arial" w:cs="Arial"/>
        </w:rPr>
        <w:t xml:space="preserve">En lo que respecta a la </w:t>
      </w:r>
      <w:r w:rsidRPr="0054090D">
        <w:rPr>
          <w:rFonts w:ascii="Arial" w:eastAsia="Arial" w:hAnsi="Arial" w:cs="Arial"/>
          <w:i/>
        </w:rPr>
        <w:t>Comisión Nacional</w:t>
      </w:r>
      <w:r w:rsidRPr="0054090D">
        <w:rPr>
          <w:rFonts w:ascii="Arial" w:eastAsia="Arial" w:hAnsi="Arial" w:cs="Arial"/>
        </w:rPr>
        <w:t xml:space="preserve">, se le ordenó que, una vez que contara con el expediente debidamente integrado y con el </w:t>
      </w:r>
      <w:proofErr w:type="spellStart"/>
      <w:r w:rsidRPr="0054090D">
        <w:rPr>
          <w:rFonts w:ascii="Arial" w:eastAsia="Arial" w:hAnsi="Arial" w:cs="Arial"/>
        </w:rPr>
        <w:t>pre-dictamen</w:t>
      </w:r>
      <w:proofErr w:type="spellEnd"/>
      <w:r w:rsidRPr="0054090D">
        <w:rPr>
          <w:rFonts w:ascii="Arial" w:eastAsia="Arial" w:hAnsi="Arial" w:cs="Arial"/>
        </w:rPr>
        <w:t xml:space="preserve"> remitido por la </w:t>
      </w:r>
      <w:r w:rsidRPr="0054090D">
        <w:rPr>
          <w:rFonts w:ascii="Arial" w:eastAsia="Arial" w:hAnsi="Arial" w:cs="Arial"/>
          <w:i/>
        </w:rPr>
        <w:t>Comisión Estatal</w:t>
      </w:r>
      <w:r w:rsidRPr="0054090D">
        <w:rPr>
          <w:rFonts w:ascii="Arial" w:eastAsia="Arial" w:hAnsi="Arial" w:cs="Arial"/>
        </w:rPr>
        <w:t xml:space="preserve">, debía emitir la resolución correspondiente, dentro del plazo de diez días naturales, contados a partir de la recepción de dichas constancias. Asimismo, se le instruyó para que informara y acreditara ante este Tribunal Electoral </w:t>
      </w:r>
      <w:r w:rsidRPr="0054090D">
        <w:rPr>
          <w:rFonts w:ascii="Arial" w:eastAsia="Arial" w:hAnsi="Arial" w:cs="Arial"/>
        </w:rPr>
        <w:lastRenderedPageBreak/>
        <w:t>el cumplimiento a lo ordenado, dentro de las setenta y dos horas posteriores a la emisión de su determinación.</w:t>
      </w:r>
    </w:p>
    <w:p w14:paraId="5A4DF339" w14:textId="77777777" w:rsidR="00CD5A9E" w:rsidRPr="0054090D" w:rsidRDefault="00CD5A9E">
      <w:pPr>
        <w:spacing w:line="360" w:lineRule="auto"/>
        <w:jc w:val="both"/>
        <w:rPr>
          <w:rFonts w:ascii="Arial" w:eastAsia="Arial" w:hAnsi="Arial" w:cs="Arial"/>
        </w:rPr>
      </w:pPr>
    </w:p>
    <w:p w14:paraId="7B78BF66" w14:textId="77777777" w:rsidR="00CD5A9E" w:rsidRPr="0054090D" w:rsidRDefault="00B76B80">
      <w:pPr>
        <w:spacing w:line="360" w:lineRule="auto"/>
        <w:jc w:val="both"/>
        <w:rPr>
          <w:rFonts w:ascii="Arial" w:eastAsia="Arial" w:hAnsi="Arial" w:cs="Arial"/>
        </w:rPr>
      </w:pPr>
      <w:r w:rsidRPr="0054090D">
        <w:rPr>
          <w:rFonts w:ascii="Arial" w:eastAsia="Arial" w:hAnsi="Arial" w:cs="Arial"/>
        </w:rPr>
        <w:t xml:space="preserve">Si bien, de las constancias que se alojan en el expediente, se advierte que la </w:t>
      </w:r>
      <w:r w:rsidRPr="0054090D">
        <w:rPr>
          <w:rFonts w:ascii="Arial" w:eastAsia="Arial" w:hAnsi="Arial" w:cs="Arial"/>
          <w:i/>
        </w:rPr>
        <w:t>Comisión Nacional</w:t>
      </w:r>
      <w:r w:rsidRPr="0054090D">
        <w:rPr>
          <w:rFonts w:ascii="Arial" w:eastAsia="Arial" w:hAnsi="Arial" w:cs="Arial"/>
        </w:rPr>
        <w:t xml:space="preserve"> sí </w:t>
      </w:r>
      <w:r w:rsidRPr="0054090D">
        <w:rPr>
          <w:rFonts w:ascii="Arial" w:eastAsia="Arial" w:hAnsi="Arial" w:cs="Arial"/>
          <w:b/>
        </w:rPr>
        <w:t>cumplió</w:t>
      </w:r>
      <w:r w:rsidRPr="0054090D">
        <w:rPr>
          <w:rFonts w:ascii="Arial" w:eastAsia="Arial" w:hAnsi="Arial" w:cs="Arial"/>
        </w:rPr>
        <w:t xml:space="preserve"> en la </w:t>
      </w:r>
      <w:r w:rsidRPr="0054090D">
        <w:rPr>
          <w:rFonts w:ascii="Arial" w:eastAsia="Arial" w:hAnsi="Arial" w:cs="Arial"/>
          <w:b/>
        </w:rPr>
        <w:t>forma</w:t>
      </w:r>
      <w:r w:rsidRPr="0054090D">
        <w:rPr>
          <w:rFonts w:ascii="Arial" w:eastAsia="Arial" w:hAnsi="Arial" w:cs="Arial"/>
        </w:rPr>
        <w:t xml:space="preserve"> y en el </w:t>
      </w:r>
      <w:r w:rsidRPr="0054090D">
        <w:rPr>
          <w:rFonts w:ascii="Arial" w:eastAsia="Arial" w:hAnsi="Arial" w:cs="Arial"/>
          <w:b/>
        </w:rPr>
        <w:t xml:space="preserve">tiempo </w:t>
      </w:r>
      <w:r w:rsidRPr="0054090D">
        <w:rPr>
          <w:rFonts w:ascii="Arial" w:eastAsia="Arial" w:hAnsi="Arial" w:cs="Arial"/>
        </w:rPr>
        <w:t xml:space="preserve">ordenado para tal efecto, ello, porque recibió las constancias que le fueron remitidas por la </w:t>
      </w:r>
      <w:r w:rsidRPr="0054090D">
        <w:rPr>
          <w:rFonts w:ascii="Arial" w:eastAsia="Arial" w:hAnsi="Arial" w:cs="Arial"/>
          <w:i/>
        </w:rPr>
        <w:t>Comisión Estatal</w:t>
      </w:r>
      <w:r w:rsidRPr="0054090D">
        <w:rPr>
          <w:rFonts w:ascii="Arial" w:eastAsia="Arial" w:hAnsi="Arial" w:cs="Arial"/>
        </w:rPr>
        <w:t xml:space="preserve"> el diecinueve de agosto, y el plazo de diez días naturales para resolver transcurría del veinte al veintinueve del mismo mes, para lo cual, emitió resolución el veintinueve de agosto, es decir, dentro del término otorgado en la </w:t>
      </w:r>
      <w:r w:rsidRPr="0054090D">
        <w:rPr>
          <w:rFonts w:ascii="Arial" w:eastAsia="Arial" w:hAnsi="Arial" w:cs="Arial"/>
          <w:i/>
        </w:rPr>
        <w:t>Sentencia.</w:t>
      </w:r>
    </w:p>
    <w:p w14:paraId="6253A942" w14:textId="77777777" w:rsidR="00CD5A9E" w:rsidRPr="0054090D" w:rsidRDefault="00CD5A9E">
      <w:pPr>
        <w:spacing w:line="360" w:lineRule="auto"/>
        <w:jc w:val="both"/>
        <w:rPr>
          <w:rFonts w:ascii="Arial" w:eastAsia="Arial" w:hAnsi="Arial" w:cs="Arial"/>
        </w:rPr>
      </w:pPr>
    </w:p>
    <w:p w14:paraId="3E9136E6" w14:textId="77777777" w:rsidR="00CD5A9E" w:rsidRPr="0054090D" w:rsidRDefault="00B76B80">
      <w:pPr>
        <w:spacing w:line="360" w:lineRule="auto"/>
        <w:jc w:val="both"/>
        <w:rPr>
          <w:rFonts w:ascii="Arial" w:eastAsia="Arial" w:hAnsi="Arial" w:cs="Arial"/>
        </w:rPr>
      </w:pPr>
      <w:r w:rsidRPr="0054090D">
        <w:rPr>
          <w:rFonts w:ascii="Arial" w:eastAsia="Arial" w:hAnsi="Arial" w:cs="Arial"/>
        </w:rPr>
        <w:t xml:space="preserve">Ahora bien, respecto al deber de informar a este órgano jurisdiccional el cumplimiento de la </w:t>
      </w:r>
      <w:r w:rsidRPr="0054090D">
        <w:rPr>
          <w:rFonts w:ascii="Arial" w:eastAsia="Arial" w:hAnsi="Arial" w:cs="Arial"/>
          <w:i/>
        </w:rPr>
        <w:t>Sentencia</w:t>
      </w:r>
      <w:r w:rsidRPr="0054090D">
        <w:rPr>
          <w:rFonts w:ascii="Arial" w:eastAsia="Arial" w:hAnsi="Arial" w:cs="Arial"/>
        </w:rPr>
        <w:t xml:space="preserve">, la </w:t>
      </w:r>
      <w:r w:rsidRPr="0054090D">
        <w:rPr>
          <w:rFonts w:ascii="Arial" w:eastAsia="Arial" w:hAnsi="Arial" w:cs="Arial"/>
          <w:i/>
        </w:rPr>
        <w:t xml:space="preserve">Comisión Nacional </w:t>
      </w:r>
      <w:r w:rsidRPr="0054090D">
        <w:rPr>
          <w:rFonts w:ascii="Arial" w:eastAsia="Arial" w:hAnsi="Arial" w:cs="Arial"/>
        </w:rPr>
        <w:t>sí observó el plazo establecido, pues contaba con setenta y dos horas posteriores a la emisión de su resolución, esto es, del treinta de agosto al uno de septiembre, y presentó su informe el propio veintinueve de agosto, ello, dentro del término legal correspondiente. Cabe destacar, que las constancias respectivas fueron remitidas inicialmente vía correo electrónico y posteriormente, allegadas físicamente mediante servicio de paquetería.</w:t>
      </w:r>
      <w:r w:rsidRPr="0054090D">
        <w:rPr>
          <w:rFonts w:ascii="Arial" w:eastAsia="Arial" w:hAnsi="Arial" w:cs="Arial"/>
          <w:vertAlign w:val="superscript"/>
        </w:rPr>
        <w:footnoteReference w:id="32"/>
      </w:r>
    </w:p>
    <w:p w14:paraId="63F3DAF0" w14:textId="77777777" w:rsidR="00CD5A9E" w:rsidRPr="0054090D" w:rsidRDefault="00CD5A9E">
      <w:pPr>
        <w:spacing w:line="360" w:lineRule="auto"/>
        <w:jc w:val="both"/>
        <w:rPr>
          <w:rFonts w:ascii="Arial" w:eastAsia="Arial" w:hAnsi="Arial" w:cs="Arial"/>
        </w:rPr>
      </w:pPr>
    </w:p>
    <w:p w14:paraId="1D230AAC" w14:textId="77777777" w:rsidR="00CD5A9E" w:rsidRPr="0054090D" w:rsidRDefault="00B76B80">
      <w:pPr>
        <w:spacing w:line="360" w:lineRule="auto"/>
        <w:jc w:val="both"/>
        <w:rPr>
          <w:rFonts w:ascii="Arial" w:eastAsia="Arial" w:hAnsi="Arial" w:cs="Arial"/>
        </w:rPr>
      </w:pPr>
      <w:r w:rsidRPr="0054090D">
        <w:rPr>
          <w:rFonts w:ascii="Arial" w:eastAsia="Arial" w:hAnsi="Arial" w:cs="Arial"/>
        </w:rPr>
        <w:t xml:space="preserve">En ese sentido, este Órgano jurisdiccional estima cumplido lo ordenado, al haberse materializado las acciones requeridas dentro de los plazos conferidos y conforme con las formalidades establecidas, por lo que no existe incumplimiento alguno atribuible a la </w:t>
      </w:r>
      <w:r w:rsidRPr="0054090D">
        <w:rPr>
          <w:rFonts w:ascii="Arial" w:eastAsia="Arial" w:hAnsi="Arial" w:cs="Arial"/>
          <w:i/>
        </w:rPr>
        <w:t>Comisión Nacional.</w:t>
      </w:r>
    </w:p>
    <w:p w14:paraId="75D45EA4" w14:textId="77777777" w:rsidR="00CD5A9E" w:rsidRPr="0054090D" w:rsidRDefault="00CD5A9E">
      <w:pPr>
        <w:spacing w:line="360" w:lineRule="auto"/>
        <w:jc w:val="both"/>
        <w:rPr>
          <w:rFonts w:ascii="Arial" w:eastAsia="Arial" w:hAnsi="Arial" w:cs="Arial"/>
        </w:rPr>
      </w:pPr>
    </w:p>
    <w:p w14:paraId="6F3FB6A2" w14:textId="77777777" w:rsidR="00CD5A9E" w:rsidRPr="0054090D" w:rsidRDefault="00B76B80">
      <w:pPr>
        <w:spacing w:line="360" w:lineRule="auto"/>
        <w:jc w:val="both"/>
        <w:rPr>
          <w:rFonts w:ascii="Arial" w:eastAsia="Arial" w:hAnsi="Arial" w:cs="Arial"/>
        </w:rPr>
      </w:pPr>
      <w:bookmarkStart w:id="7" w:name="_jll85fza10qw" w:colFirst="0" w:colLast="0"/>
      <w:bookmarkEnd w:id="7"/>
      <w:r w:rsidRPr="0054090D">
        <w:rPr>
          <w:rFonts w:ascii="Arial" w:eastAsia="Arial" w:hAnsi="Arial" w:cs="Arial"/>
        </w:rPr>
        <w:t>Así, con base en lo expuesto y fundado, se:</w:t>
      </w:r>
    </w:p>
    <w:p w14:paraId="7A4E44D5" w14:textId="77777777" w:rsidR="00CD5A9E" w:rsidRPr="0054090D" w:rsidRDefault="00CD5A9E">
      <w:pPr>
        <w:spacing w:line="360" w:lineRule="auto"/>
        <w:jc w:val="both"/>
        <w:rPr>
          <w:rFonts w:ascii="Arial" w:eastAsia="Arial" w:hAnsi="Arial" w:cs="Arial"/>
        </w:rPr>
      </w:pPr>
    </w:p>
    <w:p w14:paraId="27B39372" w14:textId="77777777" w:rsidR="00CD5A9E" w:rsidRPr="0054090D" w:rsidRDefault="00B76B80">
      <w:pPr>
        <w:spacing w:line="360" w:lineRule="auto"/>
        <w:jc w:val="center"/>
        <w:rPr>
          <w:rFonts w:ascii="Arial" w:eastAsia="Arial" w:hAnsi="Arial" w:cs="Arial"/>
        </w:rPr>
      </w:pPr>
      <w:r w:rsidRPr="0054090D">
        <w:rPr>
          <w:rFonts w:ascii="Arial" w:eastAsia="Arial" w:hAnsi="Arial" w:cs="Arial"/>
          <w:b/>
          <w:color w:val="000000"/>
        </w:rPr>
        <w:t>V. ACUERDA</w:t>
      </w:r>
    </w:p>
    <w:p w14:paraId="2F2C3DD4" w14:textId="77777777" w:rsidR="00CD5A9E" w:rsidRPr="0054090D" w:rsidRDefault="00CD5A9E">
      <w:pPr>
        <w:spacing w:line="360" w:lineRule="auto"/>
        <w:jc w:val="both"/>
        <w:rPr>
          <w:rFonts w:ascii="Arial" w:eastAsia="Arial" w:hAnsi="Arial" w:cs="Arial"/>
        </w:rPr>
      </w:pPr>
    </w:p>
    <w:p w14:paraId="4F4CB772" w14:textId="394C9005" w:rsidR="00CD5A9E" w:rsidRPr="0054090D" w:rsidRDefault="002B0BA9">
      <w:pPr>
        <w:spacing w:line="360" w:lineRule="auto"/>
        <w:jc w:val="both"/>
        <w:rPr>
          <w:rFonts w:ascii="Arial" w:eastAsia="Arial" w:hAnsi="Arial" w:cs="Arial"/>
        </w:rPr>
      </w:pPr>
      <w:r w:rsidRPr="0054090D">
        <w:rPr>
          <w:rFonts w:ascii="Arial" w:eastAsia="Arial" w:hAnsi="Arial" w:cs="Arial"/>
          <w:b/>
        </w:rPr>
        <w:t xml:space="preserve">ÚNICO. </w:t>
      </w:r>
      <w:r w:rsidRPr="0054090D">
        <w:rPr>
          <w:rFonts w:ascii="Arial" w:eastAsia="Arial" w:hAnsi="Arial" w:cs="Arial"/>
        </w:rPr>
        <w:t xml:space="preserve">Se </w:t>
      </w:r>
      <w:r w:rsidRPr="0054090D">
        <w:rPr>
          <w:rFonts w:ascii="Arial" w:eastAsia="Arial" w:hAnsi="Arial" w:cs="Arial"/>
          <w:b/>
        </w:rPr>
        <w:t xml:space="preserve">declara cumplida </w:t>
      </w:r>
      <w:r w:rsidRPr="0054090D">
        <w:rPr>
          <w:rFonts w:ascii="Arial" w:eastAsia="Arial" w:hAnsi="Arial" w:cs="Arial"/>
        </w:rPr>
        <w:t xml:space="preserve">la sentencia de seis de agosto de dos mil veinticinco, dictada en el Juicios para la Protección de los Derechos Político-Electorales del Ciudadano TEEM-JDC-205/2025 y TEEM-JDC-206/2025 acumulados. </w:t>
      </w:r>
    </w:p>
    <w:p w14:paraId="2C94923E" w14:textId="77777777" w:rsidR="00CD5A9E" w:rsidRPr="0054090D" w:rsidRDefault="00CD5A9E">
      <w:pPr>
        <w:spacing w:line="360" w:lineRule="auto"/>
        <w:jc w:val="both"/>
        <w:rPr>
          <w:rFonts w:ascii="Arial" w:eastAsia="Arial" w:hAnsi="Arial" w:cs="Arial"/>
        </w:rPr>
      </w:pPr>
    </w:p>
    <w:p w14:paraId="5ABB1ACE" w14:textId="42BDFE62" w:rsidR="00CD5A9E" w:rsidRPr="0054090D" w:rsidRDefault="00B76B80">
      <w:pPr>
        <w:spacing w:line="360" w:lineRule="auto"/>
        <w:jc w:val="both"/>
        <w:rPr>
          <w:rFonts w:ascii="Arial" w:eastAsia="Arial" w:hAnsi="Arial" w:cs="Arial"/>
        </w:rPr>
      </w:pPr>
      <w:r w:rsidRPr="0054090D">
        <w:rPr>
          <w:rFonts w:ascii="Arial" w:eastAsia="Arial" w:hAnsi="Arial" w:cs="Arial"/>
          <w:b/>
        </w:rPr>
        <w:t xml:space="preserve">NOTIFÍQUESE. </w:t>
      </w:r>
      <w:r w:rsidRPr="0054090D">
        <w:rPr>
          <w:rFonts w:ascii="Arial" w:eastAsia="Arial" w:hAnsi="Arial" w:cs="Arial"/>
          <w:b/>
          <w:color w:val="000000"/>
        </w:rPr>
        <w:t xml:space="preserve">Personalmente </w:t>
      </w:r>
      <w:r w:rsidRPr="0054090D">
        <w:rPr>
          <w:rFonts w:ascii="Arial" w:eastAsia="Arial" w:hAnsi="Arial" w:cs="Arial"/>
          <w:color w:val="000000"/>
        </w:rPr>
        <w:t xml:space="preserve">a la parte actora; </w:t>
      </w:r>
      <w:r w:rsidRPr="0054090D">
        <w:rPr>
          <w:rFonts w:ascii="Arial" w:eastAsia="Arial" w:hAnsi="Arial" w:cs="Arial"/>
          <w:b/>
          <w:color w:val="000000"/>
        </w:rPr>
        <w:t>por oficio</w:t>
      </w:r>
      <w:r w:rsidRPr="0054090D">
        <w:rPr>
          <w:rFonts w:ascii="Arial" w:eastAsia="Arial" w:hAnsi="Arial" w:cs="Arial"/>
          <w:color w:val="000000"/>
        </w:rPr>
        <w:t xml:space="preserve"> a las autoridades responsables, a la Comisión Estatal de Justicia Partidaria del Partido Revolucionario Institucional en Michoacán y a la Comisión Nacional de Justicia Partidaria del </w:t>
      </w:r>
      <w:r w:rsidRPr="0054090D">
        <w:rPr>
          <w:rFonts w:ascii="Arial" w:eastAsia="Arial" w:hAnsi="Arial" w:cs="Arial"/>
          <w:color w:val="000000"/>
        </w:rPr>
        <w:lastRenderedPageBreak/>
        <w:t xml:space="preserve">Partido Revolucionario Institucional </w:t>
      </w:r>
      <w:r w:rsidRPr="0054090D">
        <w:rPr>
          <w:rFonts w:ascii="Arial" w:eastAsia="Arial" w:hAnsi="Arial" w:cs="Arial"/>
        </w:rPr>
        <w:t>y</w:t>
      </w:r>
      <w:r w:rsidRPr="0054090D">
        <w:rPr>
          <w:rFonts w:ascii="Arial" w:eastAsia="Arial" w:hAnsi="Arial" w:cs="Arial"/>
          <w:b/>
          <w:color w:val="000000"/>
        </w:rPr>
        <w:t xml:space="preserve"> por estrados </w:t>
      </w:r>
      <w:r w:rsidRPr="0054090D">
        <w:rPr>
          <w:rFonts w:ascii="Arial" w:eastAsia="Arial" w:hAnsi="Arial" w:cs="Arial"/>
          <w:color w:val="000000"/>
        </w:rPr>
        <w:t>a los demás interesados, de conformidad con los artículos 37 fracciones I, II y III, 38 y 39 de la Ley de Justicia en Materia Electoral y de Participación Ciudadana del Estado de Michoacán de Ocampo; así como 137 párrafo primero, 139</w:t>
      </w:r>
      <w:r w:rsidRPr="0054090D">
        <w:rPr>
          <w:rFonts w:ascii="Arial" w:eastAsia="Arial" w:hAnsi="Arial" w:cs="Arial"/>
          <w:color w:val="000000"/>
        </w:rPr>
        <w:t>, 140 y 142 del Reglamento Interior del Tribunal Electoral del Estado.</w:t>
      </w:r>
    </w:p>
    <w:p w14:paraId="57003936" w14:textId="77777777" w:rsidR="00CD5A9E" w:rsidRPr="0054090D" w:rsidRDefault="00CD5A9E">
      <w:pPr>
        <w:spacing w:line="360" w:lineRule="auto"/>
        <w:jc w:val="both"/>
        <w:rPr>
          <w:rFonts w:ascii="Arial" w:eastAsia="Arial" w:hAnsi="Arial" w:cs="Arial"/>
        </w:rPr>
      </w:pPr>
      <w:bookmarkStart w:id="8" w:name="_yraafe3fggwv" w:colFirst="0" w:colLast="0"/>
      <w:bookmarkEnd w:id="8"/>
    </w:p>
    <w:p w14:paraId="3E9FA76E" w14:textId="0DD4D118" w:rsidR="00CD5A9E" w:rsidRPr="0054090D" w:rsidRDefault="00B76B80">
      <w:pPr>
        <w:spacing w:line="360" w:lineRule="auto"/>
        <w:jc w:val="both"/>
        <w:rPr>
          <w:rFonts w:ascii="Arial" w:eastAsia="Arial" w:hAnsi="Arial" w:cs="Arial"/>
        </w:rPr>
      </w:pPr>
      <w:r w:rsidRPr="0054090D">
        <w:rPr>
          <w:rFonts w:ascii="Arial" w:eastAsia="Arial" w:hAnsi="Arial" w:cs="Arial"/>
        </w:rPr>
        <w:t>Realizadas las notificaciones, en su oportunidad, archívense los expedientes como asuntos total y definitivamente concluidos.</w:t>
      </w:r>
    </w:p>
    <w:p w14:paraId="0DE7067F" w14:textId="77777777" w:rsidR="00CD5A9E" w:rsidRPr="0054090D" w:rsidRDefault="00CD5A9E">
      <w:pPr>
        <w:spacing w:line="360" w:lineRule="auto"/>
        <w:jc w:val="both"/>
        <w:rPr>
          <w:rFonts w:ascii="Arial" w:eastAsia="Arial" w:hAnsi="Arial" w:cs="Arial"/>
        </w:rPr>
      </w:pPr>
    </w:p>
    <w:p w14:paraId="72F10050" w14:textId="64CB6203" w:rsidR="00CD5A9E" w:rsidRDefault="00B76B80">
      <w:pPr>
        <w:tabs>
          <w:tab w:val="left" w:pos="1650"/>
        </w:tabs>
        <w:spacing w:line="360" w:lineRule="auto"/>
        <w:jc w:val="both"/>
        <w:rPr>
          <w:rFonts w:ascii="Arial" w:eastAsia="Arial" w:hAnsi="Arial" w:cs="Arial"/>
          <w:b/>
          <w:color w:val="000000"/>
        </w:rPr>
      </w:pPr>
      <w:r w:rsidRPr="0054090D">
        <w:rPr>
          <w:rFonts w:ascii="Arial" w:eastAsia="Arial" w:hAnsi="Arial" w:cs="Arial"/>
        </w:rPr>
        <w:t xml:space="preserve">Así, en Reunión Interna Jurisdiccional celebrada el </w:t>
      </w:r>
      <w:r w:rsidR="0054090D">
        <w:rPr>
          <w:rFonts w:ascii="Arial" w:eastAsia="Arial" w:hAnsi="Arial" w:cs="Arial"/>
        </w:rPr>
        <w:t>dieciséis</w:t>
      </w:r>
      <w:r w:rsidRPr="0054090D">
        <w:rPr>
          <w:rFonts w:ascii="Arial" w:eastAsia="Arial" w:hAnsi="Arial" w:cs="Arial"/>
        </w:rPr>
        <w:t xml:space="preserve"> de octubre de dos mil veinticinco, por </w:t>
      </w:r>
      <w:r w:rsidR="0054090D">
        <w:rPr>
          <w:rFonts w:ascii="Arial" w:eastAsia="Arial" w:hAnsi="Arial" w:cs="Arial"/>
        </w:rPr>
        <w:t>unanimidad</w:t>
      </w:r>
      <w:r w:rsidRPr="0054090D">
        <w:rPr>
          <w:rFonts w:ascii="Arial" w:eastAsia="Arial" w:hAnsi="Arial" w:cs="Arial"/>
        </w:rPr>
        <w:t xml:space="preserve"> de votos, lo acordaron y firman los integrantes del Pleno del Tribunal Electoral del Estado, la Magistrada Presidenta Amelí </w:t>
      </w:r>
      <w:proofErr w:type="spellStart"/>
      <w:r w:rsidRPr="0054090D">
        <w:rPr>
          <w:rFonts w:ascii="Arial" w:eastAsia="Arial" w:hAnsi="Arial" w:cs="Arial"/>
        </w:rPr>
        <w:t>Gissel</w:t>
      </w:r>
      <w:proofErr w:type="spellEnd"/>
      <w:r w:rsidRPr="0054090D">
        <w:rPr>
          <w:rFonts w:ascii="Arial" w:eastAsia="Arial" w:hAnsi="Arial" w:cs="Arial"/>
        </w:rPr>
        <w:t xml:space="preserve"> Navarro Lepe, las Magistradas </w:t>
      </w:r>
      <w:proofErr w:type="spellStart"/>
      <w:r w:rsidRPr="0054090D">
        <w:rPr>
          <w:rFonts w:ascii="Arial" w:eastAsia="Arial" w:hAnsi="Arial" w:cs="Arial"/>
        </w:rPr>
        <w:t>Yurisha</w:t>
      </w:r>
      <w:proofErr w:type="spellEnd"/>
      <w:r w:rsidRPr="0054090D">
        <w:rPr>
          <w:rFonts w:ascii="Arial" w:eastAsia="Arial" w:hAnsi="Arial" w:cs="Arial"/>
        </w:rPr>
        <w:t xml:space="preserve"> Andrade Morales -</w:t>
      </w:r>
      <w:r w:rsidRPr="0054090D">
        <w:rPr>
          <w:rFonts w:ascii="Arial" w:eastAsia="Arial" w:hAnsi="Arial" w:cs="Arial"/>
          <w:i/>
        </w:rPr>
        <w:t>quien fue ponente-</w:t>
      </w:r>
      <w:r w:rsidRPr="0054090D">
        <w:rPr>
          <w:rFonts w:ascii="Arial" w:eastAsia="Arial" w:hAnsi="Arial" w:cs="Arial"/>
        </w:rPr>
        <w:t xml:space="preserve"> y Alma Rosa Bahena Villalobos, así como los Magistrados Adrián Hernández Pinedo y el Magistrado Eric López Villaseñor, ante el Secretario General de Acuerdos, Jesús Renato García Rivera, quien autoriza y da fe</w:t>
      </w:r>
      <w:r w:rsidRPr="0054090D">
        <w:rPr>
          <w:rFonts w:ascii="Arial" w:eastAsia="Arial" w:hAnsi="Arial" w:cs="Arial"/>
          <w:color w:val="000000"/>
        </w:rPr>
        <w:t xml:space="preserve">. </w:t>
      </w:r>
      <w:r w:rsidRPr="0054090D">
        <w:rPr>
          <w:rFonts w:ascii="Arial" w:eastAsia="Arial" w:hAnsi="Arial" w:cs="Arial"/>
          <w:b/>
          <w:color w:val="000000"/>
        </w:rPr>
        <w:t>Doy fe.</w:t>
      </w:r>
    </w:p>
    <w:p w14:paraId="4A7086C1" w14:textId="77777777" w:rsidR="0010408D" w:rsidRPr="0054090D" w:rsidRDefault="0010408D">
      <w:pPr>
        <w:tabs>
          <w:tab w:val="left" w:pos="1650"/>
        </w:tabs>
        <w:spacing w:line="360" w:lineRule="auto"/>
        <w:jc w:val="both"/>
        <w:rPr>
          <w:rFonts w:ascii="Arial" w:eastAsia="Arial" w:hAnsi="Arial" w:cs="Arial"/>
        </w:rPr>
      </w:pPr>
    </w:p>
    <w:tbl>
      <w:tblPr>
        <w:tblStyle w:val="a1"/>
        <w:tblW w:w="8500" w:type="dxa"/>
        <w:tblInd w:w="0" w:type="dxa"/>
        <w:tblLayout w:type="fixed"/>
        <w:tblLook w:val="0400" w:firstRow="0" w:lastRow="0" w:firstColumn="0" w:lastColumn="0" w:noHBand="0" w:noVBand="1"/>
      </w:tblPr>
      <w:tblGrid>
        <w:gridCol w:w="3964"/>
        <w:gridCol w:w="4536"/>
      </w:tblGrid>
      <w:tr w:rsidR="00CD5A9E" w:rsidRPr="0054090D" w14:paraId="1D8E61E4" w14:textId="77777777">
        <w:trPr>
          <w:trHeight w:val="1567"/>
        </w:trPr>
        <w:tc>
          <w:tcPr>
            <w:tcW w:w="8500" w:type="dxa"/>
            <w:gridSpan w:val="2"/>
          </w:tcPr>
          <w:p w14:paraId="53EF3717" w14:textId="77777777" w:rsidR="00CD5A9E" w:rsidRPr="0054090D" w:rsidRDefault="00B76B80" w:rsidP="0010408D">
            <w:pPr>
              <w:jc w:val="center"/>
              <w:rPr>
                <w:rFonts w:ascii="Arial" w:eastAsia="Arial" w:hAnsi="Arial" w:cs="Arial"/>
                <w:b/>
              </w:rPr>
            </w:pPr>
            <w:r w:rsidRPr="0054090D">
              <w:rPr>
                <w:rFonts w:ascii="Arial" w:eastAsia="Arial" w:hAnsi="Arial" w:cs="Arial"/>
                <w:b/>
              </w:rPr>
              <w:t>MAGISTRADA PRESIDENTA</w:t>
            </w:r>
          </w:p>
          <w:p w14:paraId="1B2140FA" w14:textId="77777777" w:rsidR="00CD5A9E" w:rsidRPr="0054090D" w:rsidRDefault="00CD5A9E" w:rsidP="0010408D">
            <w:pPr>
              <w:jc w:val="center"/>
              <w:rPr>
                <w:rFonts w:ascii="Arial" w:eastAsia="Arial" w:hAnsi="Arial" w:cs="Arial"/>
                <w:b/>
              </w:rPr>
            </w:pPr>
          </w:p>
          <w:p w14:paraId="65C68591" w14:textId="77777777" w:rsidR="00CD5A9E" w:rsidRDefault="00CD5A9E" w:rsidP="0010408D">
            <w:pPr>
              <w:jc w:val="center"/>
              <w:rPr>
                <w:rFonts w:ascii="Arial" w:eastAsia="Arial" w:hAnsi="Arial" w:cs="Arial"/>
                <w:b/>
              </w:rPr>
            </w:pPr>
          </w:p>
          <w:p w14:paraId="5DFE406E" w14:textId="77777777" w:rsidR="0010408D" w:rsidRPr="0054090D" w:rsidRDefault="0010408D" w:rsidP="0010408D">
            <w:pPr>
              <w:jc w:val="center"/>
              <w:rPr>
                <w:rFonts w:ascii="Arial" w:eastAsia="Arial" w:hAnsi="Arial" w:cs="Arial"/>
                <w:b/>
              </w:rPr>
            </w:pPr>
          </w:p>
          <w:p w14:paraId="0BFF0836" w14:textId="77777777" w:rsidR="00CD5A9E" w:rsidRPr="0054090D" w:rsidRDefault="00CD5A9E" w:rsidP="0010408D">
            <w:pPr>
              <w:jc w:val="center"/>
              <w:rPr>
                <w:rFonts w:ascii="Arial" w:eastAsia="Arial" w:hAnsi="Arial" w:cs="Arial"/>
                <w:b/>
              </w:rPr>
            </w:pPr>
          </w:p>
          <w:p w14:paraId="51EAAEBF" w14:textId="77777777" w:rsidR="00CD5A9E" w:rsidRPr="0054090D" w:rsidRDefault="00CD5A9E" w:rsidP="0010408D">
            <w:pPr>
              <w:jc w:val="center"/>
              <w:rPr>
                <w:rFonts w:ascii="Arial" w:eastAsia="Arial" w:hAnsi="Arial" w:cs="Arial"/>
                <w:b/>
              </w:rPr>
            </w:pPr>
          </w:p>
          <w:p w14:paraId="492B4F4F" w14:textId="6F8E1B4E" w:rsidR="00CD5A9E" w:rsidRPr="0054090D" w:rsidRDefault="00B76B80" w:rsidP="0010408D">
            <w:pPr>
              <w:jc w:val="center"/>
              <w:rPr>
                <w:rFonts w:ascii="Arial" w:eastAsia="Arial" w:hAnsi="Arial" w:cs="Arial"/>
                <w:b/>
              </w:rPr>
            </w:pPr>
            <w:r w:rsidRPr="0054090D">
              <w:rPr>
                <w:rFonts w:ascii="Arial" w:eastAsia="Arial" w:hAnsi="Arial" w:cs="Arial"/>
                <w:b/>
              </w:rPr>
              <w:t>AMELÍ GISSEL NAVARRO LEPE</w:t>
            </w:r>
          </w:p>
        </w:tc>
      </w:tr>
      <w:tr w:rsidR="00CD5A9E" w:rsidRPr="0054090D" w14:paraId="73F9054D" w14:textId="77777777">
        <w:trPr>
          <w:trHeight w:val="1830"/>
        </w:trPr>
        <w:tc>
          <w:tcPr>
            <w:tcW w:w="3964" w:type="dxa"/>
          </w:tcPr>
          <w:p w14:paraId="3EEA4EDA" w14:textId="77777777" w:rsidR="0010408D" w:rsidRDefault="0010408D" w:rsidP="0010408D">
            <w:pPr>
              <w:jc w:val="center"/>
              <w:rPr>
                <w:rFonts w:ascii="Arial" w:eastAsia="Arial" w:hAnsi="Arial" w:cs="Arial"/>
                <w:b/>
              </w:rPr>
            </w:pPr>
          </w:p>
          <w:p w14:paraId="4E1F6E3F" w14:textId="77777777" w:rsidR="0010408D" w:rsidRDefault="0010408D" w:rsidP="0010408D">
            <w:pPr>
              <w:jc w:val="center"/>
              <w:rPr>
                <w:rFonts w:ascii="Arial" w:eastAsia="Arial" w:hAnsi="Arial" w:cs="Arial"/>
                <w:b/>
              </w:rPr>
            </w:pPr>
          </w:p>
          <w:p w14:paraId="7A4E39A6" w14:textId="3DDFCF45" w:rsidR="00CD5A9E" w:rsidRPr="0054090D" w:rsidRDefault="00B76B80" w:rsidP="0010408D">
            <w:pPr>
              <w:jc w:val="center"/>
              <w:rPr>
                <w:rFonts w:ascii="Arial" w:eastAsia="Arial" w:hAnsi="Arial" w:cs="Arial"/>
                <w:b/>
              </w:rPr>
            </w:pPr>
            <w:r w:rsidRPr="0054090D">
              <w:rPr>
                <w:rFonts w:ascii="Arial" w:eastAsia="Arial" w:hAnsi="Arial" w:cs="Arial"/>
                <w:b/>
              </w:rPr>
              <w:t>MAGISTRADA</w:t>
            </w:r>
          </w:p>
          <w:p w14:paraId="26067CA2" w14:textId="77777777" w:rsidR="00CD5A9E" w:rsidRPr="0054090D" w:rsidRDefault="00CD5A9E" w:rsidP="0010408D">
            <w:pPr>
              <w:jc w:val="center"/>
              <w:rPr>
                <w:rFonts w:ascii="Arial" w:eastAsia="Arial" w:hAnsi="Arial" w:cs="Arial"/>
                <w:b/>
              </w:rPr>
            </w:pPr>
          </w:p>
          <w:p w14:paraId="61E818E8" w14:textId="77777777" w:rsidR="00CD5A9E" w:rsidRPr="0054090D" w:rsidRDefault="00CD5A9E" w:rsidP="0010408D">
            <w:pPr>
              <w:jc w:val="center"/>
              <w:rPr>
                <w:rFonts w:ascii="Arial" w:eastAsia="Arial" w:hAnsi="Arial" w:cs="Arial"/>
                <w:b/>
              </w:rPr>
            </w:pPr>
          </w:p>
          <w:p w14:paraId="2010761E" w14:textId="77777777" w:rsidR="00CD5A9E" w:rsidRDefault="00CD5A9E" w:rsidP="0010408D">
            <w:pPr>
              <w:jc w:val="center"/>
              <w:rPr>
                <w:rFonts w:ascii="Arial" w:eastAsia="Arial" w:hAnsi="Arial" w:cs="Arial"/>
                <w:b/>
              </w:rPr>
            </w:pPr>
          </w:p>
          <w:p w14:paraId="2BA3EC29" w14:textId="77777777" w:rsidR="0010408D" w:rsidRPr="0054090D" w:rsidRDefault="0010408D" w:rsidP="0010408D">
            <w:pPr>
              <w:jc w:val="center"/>
              <w:rPr>
                <w:rFonts w:ascii="Arial" w:eastAsia="Arial" w:hAnsi="Arial" w:cs="Arial"/>
                <w:b/>
              </w:rPr>
            </w:pPr>
          </w:p>
          <w:p w14:paraId="32901DB6" w14:textId="77777777" w:rsidR="00CD5A9E" w:rsidRPr="0054090D" w:rsidRDefault="00CD5A9E" w:rsidP="0010408D">
            <w:pPr>
              <w:jc w:val="center"/>
              <w:rPr>
                <w:rFonts w:ascii="Arial" w:eastAsia="Arial" w:hAnsi="Arial" w:cs="Arial"/>
                <w:b/>
              </w:rPr>
            </w:pPr>
          </w:p>
          <w:p w14:paraId="5DD0AD86" w14:textId="77777777" w:rsidR="00CD5A9E" w:rsidRPr="0054090D" w:rsidRDefault="00CD5A9E" w:rsidP="0010408D">
            <w:pPr>
              <w:jc w:val="center"/>
              <w:rPr>
                <w:rFonts w:ascii="Arial" w:eastAsia="Arial" w:hAnsi="Arial" w:cs="Arial"/>
                <w:b/>
              </w:rPr>
            </w:pPr>
          </w:p>
          <w:p w14:paraId="299DE8CA" w14:textId="77777777" w:rsidR="00CD5A9E" w:rsidRPr="0054090D" w:rsidRDefault="00B76B80" w:rsidP="0010408D">
            <w:pPr>
              <w:jc w:val="center"/>
              <w:rPr>
                <w:rFonts w:ascii="Arial" w:eastAsia="Arial" w:hAnsi="Arial" w:cs="Arial"/>
                <w:b/>
              </w:rPr>
            </w:pPr>
            <w:r w:rsidRPr="0054090D">
              <w:rPr>
                <w:rFonts w:ascii="Arial" w:eastAsia="Arial" w:hAnsi="Arial" w:cs="Arial"/>
                <w:b/>
              </w:rPr>
              <w:t>YURISHA ANDRADE MORALES</w:t>
            </w:r>
          </w:p>
        </w:tc>
        <w:tc>
          <w:tcPr>
            <w:tcW w:w="4536" w:type="dxa"/>
          </w:tcPr>
          <w:p w14:paraId="5D495AF1" w14:textId="77777777" w:rsidR="0010408D" w:rsidRDefault="0010408D" w:rsidP="0010408D">
            <w:pPr>
              <w:jc w:val="center"/>
              <w:rPr>
                <w:rFonts w:ascii="Arial" w:eastAsia="Arial" w:hAnsi="Arial" w:cs="Arial"/>
                <w:b/>
              </w:rPr>
            </w:pPr>
          </w:p>
          <w:p w14:paraId="4CDB5006" w14:textId="77777777" w:rsidR="0010408D" w:rsidRDefault="0010408D" w:rsidP="0010408D">
            <w:pPr>
              <w:jc w:val="center"/>
              <w:rPr>
                <w:rFonts w:ascii="Arial" w:eastAsia="Arial" w:hAnsi="Arial" w:cs="Arial"/>
                <w:b/>
              </w:rPr>
            </w:pPr>
          </w:p>
          <w:p w14:paraId="29F85192" w14:textId="6232AB1D" w:rsidR="00CD5A9E" w:rsidRPr="0054090D" w:rsidRDefault="00B76B80" w:rsidP="0010408D">
            <w:pPr>
              <w:jc w:val="center"/>
              <w:rPr>
                <w:rFonts w:ascii="Arial" w:eastAsia="Arial" w:hAnsi="Arial" w:cs="Arial"/>
                <w:b/>
              </w:rPr>
            </w:pPr>
            <w:r w:rsidRPr="0054090D">
              <w:rPr>
                <w:rFonts w:ascii="Arial" w:eastAsia="Arial" w:hAnsi="Arial" w:cs="Arial"/>
                <w:b/>
              </w:rPr>
              <w:t>MAGISTRADA</w:t>
            </w:r>
          </w:p>
          <w:p w14:paraId="365E0CC1" w14:textId="77777777" w:rsidR="00CD5A9E" w:rsidRPr="0054090D" w:rsidRDefault="00CD5A9E" w:rsidP="0010408D">
            <w:pPr>
              <w:jc w:val="center"/>
              <w:rPr>
                <w:rFonts w:ascii="Arial" w:eastAsia="Arial" w:hAnsi="Arial" w:cs="Arial"/>
                <w:b/>
              </w:rPr>
            </w:pPr>
          </w:p>
          <w:p w14:paraId="511C233A" w14:textId="77777777" w:rsidR="00CD5A9E" w:rsidRPr="0054090D" w:rsidRDefault="00CD5A9E" w:rsidP="0010408D">
            <w:pPr>
              <w:jc w:val="center"/>
              <w:rPr>
                <w:rFonts w:ascii="Arial" w:eastAsia="Arial" w:hAnsi="Arial" w:cs="Arial"/>
                <w:b/>
              </w:rPr>
            </w:pPr>
          </w:p>
          <w:p w14:paraId="3F803D1D" w14:textId="77777777" w:rsidR="00CD5A9E" w:rsidRPr="0054090D" w:rsidRDefault="00CD5A9E" w:rsidP="0010408D">
            <w:pPr>
              <w:jc w:val="center"/>
              <w:rPr>
                <w:rFonts w:ascii="Arial" w:eastAsia="Arial" w:hAnsi="Arial" w:cs="Arial"/>
                <w:b/>
              </w:rPr>
            </w:pPr>
          </w:p>
          <w:p w14:paraId="35B56198" w14:textId="77777777" w:rsidR="00CD5A9E" w:rsidRDefault="00CD5A9E" w:rsidP="0010408D">
            <w:pPr>
              <w:jc w:val="center"/>
              <w:rPr>
                <w:rFonts w:ascii="Arial" w:eastAsia="Arial" w:hAnsi="Arial" w:cs="Arial"/>
                <w:b/>
              </w:rPr>
            </w:pPr>
          </w:p>
          <w:p w14:paraId="1BF93AE8" w14:textId="77777777" w:rsidR="0010408D" w:rsidRPr="0054090D" w:rsidRDefault="0010408D" w:rsidP="0010408D">
            <w:pPr>
              <w:jc w:val="center"/>
              <w:rPr>
                <w:rFonts w:ascii="Arial" w:eastAsia="Arial" w:hAnsi="Arial" w:cs="Arial"/>
                <w:b/>
              </w:rPr>
            </w:pPr>
          </w:p>
          <w:p w14:paraId="0A6DD8D1" w14:textId="77777777" w:rsidR="00CD5A9E" w:rsidRPr="0054090D" w:rsidRDefault="00CD5A9E" w:rsidP="0010408D">
            <w:pPr>
              <w:jc w:val="center"/>
              <w:rPr>
                <w:rFonts w:ascii="Arial" w:eastAsia="Arial" w:hAnsi="Arial" w:cs="Arial"/>
                <w:b/>
              </w:rPr>
            </w:pPr>
          </w:p>
          <w:p w14:paraId="3323802D" w14:textId="77777777" w:rsidR="00CD5A9E" w:rsidRPr="0054090D" w:rsidRDefault="00B76B80" w:rsidP="0010408D">
            <w:pPr>
              <w:jc w:val="center"/>
              <w:rPr>
                <w:rFonts w:ascii="Arial" w:eastAsia="Arial" w:hAnsi="Arial" w:cs="Arial"/>
                <w:b/>
              </w:rPr>
            </w:pPr>
            <w:r w:rsidRPr="0054090D">
              <w:rPr>
                <w:rFonts w:ascii="Arial" w:eastAsia="Arial" w:hAnsi="Arial" w:cs="Arial"/>
                <w:b/>
              </w:rPr>
              <w:t>ALMA ROSA BAHENA VILLALOBOS</w:t>
            </w:r>
          </w:p>
        </w:tc>
      </w:tr>
      <w:tr w:rsidR="00CD5A9E" w:rsidRPr="0054090D" w14:paraId="0940E0B8" w14:textId="77777777">
        <w:trPr>
          <w:trHeight w:val="1830"/>
        </w:trPr>
        <w:tc>
          <w:tcPr>
            <w:tcW w:w="3964" w:type="dxa"/>
          </w:tcPr>
          <w:p w14:paraId="334D5BB3" w14:textId="77777777" w:rsidR="00CD5A9E" w:rsidRPr="0054090D" w:rsidRDefault="00CD5A9E" w:rsidP="0010408D">
            <w:pPr>
              <w:jc w:val="center"/>
              <w:rPr>
                <w:rFonts w:ascii="Arial" w:eastAsia="Arial" w:hAnsi="Arial" w:cs="Arial"/>
                <w:b/>
              </w:rPr>
            </w:pPr>
          </w:p>
          <w:p w14:paraId="39C3BE44" w14:textId="77777777" w:rsidR="00CD5A9E" w:rsidRPr="0054090D" w:rsidRDefault="00CD5A9E" w:rsidP="0010408D">
            <w:pPr>
              <w:jc w:val="center"/>
              <w:rPr>
                <w:rFonts w:ascii="Arial" w:eastAsia="Arial" w:hAnsi="Arial" w:cs="Arial"/>
                <w:b/>
              </w:rPr>
            </w:pPr>
          </w:p>
          <w:p w14:paraId="2567012F" w14:textId="77777777" w:rsidR="00CD5A9E" w:rsidRPr="0054090D" w:rsidRDefault="00B76B80" w:rsidP="0010408D">
            <w:pPr>
              <w:jc w:val="center"/>
              <w:rPr>
                <w:rFonts w:ascii="Arial" w:eastAsia="Arial" w:hAnsi="Arial" w:cs="Arial"/>
                <w:b/>
              </w:rPr>
            </w:pPr>
            <w:r w:rsidRPr="0054090D">
              <w:rPr>
                <w:rFonts w:ascii="Arial" w:eastAsia="Arial" w:hAnsi="Arial" w:cs="Arial"/>
                <w:b/>
              </w:rPr>
              <w:t>MAGISTRADO</w:t>
            </w:r>
          </w:p>
          <w:p w14:paraId="7BA530AD" w14:textId="77777777" w:rsidR="00CD5A9E" w:rsidRPr="0054090D" w:rsidRDefault="00CD5A9E" w:rsidP="0010408D">
            <w:pPr>
              <w:jc w:val="center"/>
              <w:rPr>
                <w:rFonts w:ascii="Arial" w:eastAsia="Arial" w:hAnsi="Arial" w:cs="Arial"/>
                <w:b/>
              </w:rPr>
            </w:pPr>
          </w:p>
          <w:p w14:paraId="0B495D6E" w14:textId="77777777" w:rsidR="00CD5A9E" w:rsidRPr="0054090D" w:rsidRDefault="00CD5A9E" w:rsidP="0010408D">
            <w:pPr>
              <w:jc w:val="center"/>
              <w:rPr>
                <w:rFonts w:ascii="Arial" w:eastAsia="Arial" w:hAnsi="Arial" w:cs="Arial"/>
                <w:b/>
              </w:rPr>
            </w:pPr>
          </w:p>
          <w:p w14:paraId="1891ECC0" w14:textId="77777777" w:rsidR="00CD5A9E" w:rsidRDefault="00CD5A9E" w:rsidP="0010408D">
            <w:pPr>
              <w:jc w:val="center"/>
              <w:rPr>
                <w:rFonts w:ascii="Arial" w:eastAsia="Arial" w:hAnsi="Arial" w:cs="Arial"/>
                <w:b/>
              </w:rPr>
            </w:pPr>
          </w:p>
          <w:p w14:paraId="6AEF201C" w14:textId="77777777" w:rsidR="0010408D" w:rsidRPr="0054090D" w:rsidRDefault="0010408D" w:rsidP="0010408D">
            <w:pPr>
              <w:jc w:val="center"/>
              <w:rPr>
                <w:rFonts w:ascii="Arial" w:eastAsia="Arial" w:hAnsi="Arial" w:cs="Arial"/>
                <w:b/>
              </w:rPr>
            </w:pPr>
          </w:p>
          <w:p w14:paraId="31344689" w14:textId="77777777" w:rsidR="00CD5A9E" w:rsidRPr="0054090D" w:rsidRDefault="00CD5A9E" w:rsidP="0010408D">
            <w:pPr>
              <w:jc w:val="center"/>
              <w:rPr>
                <w:rFonts w:ascii="Arial" w:eastAsia="Arial" w:hAnsi="Arial" w:cs="Arial"/>
                <w:b/>
              </w:rPr>
            </w:pPr>
          </w:p>
          <w:p w14:paraId="3D82C5DE" w14:textId="77777777" w:rsidR="00CD5A9E" w:rsidRPr="0054090D" w:rsidRDefault="00CD5A9E" w:rsidP="0010408D">
            <w:pPr>
              <w:jc w:val="center"/>
              <w:rPr>
                <w:rFonts w:ascii="Arial" w:eastAsia="Arial" w:hAnsi="Arial" w:cs="Arial"/>
                <w:b/>
              </w:rPr>
            </w:pPr>
          </w:p>
          <w:p w14:paraId="5CEDB628" w14:textId="77777777" w:rsidR="00CD5A9E" w:rsidRPr="0054090D" w:rsidRDefault="00B76B80" w:rsidP="0010408D">
            <w:pPr>
              <w:jc w:val="center"/>
              <w:rPr>
                <w:rFonts w:ascii="Arial" w:eastAsia="Arial" w:hAnsi="Arial" w:cs="Arial"/>
                <w:b/>
              </w:rPr>
            </w:pPr>
            <w:r w:rsidRPr="0054090D">
              <w:rPr>
                <w:rFonts w:ascii="Arial" w:eastAsia="Arial" w:hAnsi="Arial" w:cs="Arial"/>
                <w:b/>
              </w:rPr>
              <w:t>ADRIÁN HERNÁNDEZ PINEDO</w:t>
            </w:r>
          </w:p>
        </w:tc>
        <w:tc>
          <w:tcPr>
            <w:tcW w:w="4536" w:type="dxa"/>
          </w:tcPr>
          <w:p w14:paraId="2671F493" w14:textId="77777777" w:rsidR="00CD5A9E" w:rsidRPr="0054090D" w:rsidRDefault="00CD5A9E" w:rsidP="0010408D">
            <w:pPr>
              <w:jc w:val="center"/>
              <w:rPr>
                <w:rFonts w:ascii="Arial" w:eastAsia="Arial" w:hAnsi="Arial" w:cs="Arial"/>
                <w:b/>
              </w:rPr>
            </w:pPr>
          </w:p>
          <w:p w14:paraId="7CC06F49" w14:textId="77777777" w:rsidR="00CD5A9E" w:rsidRPr="0054090D" w:rsidRDefault="00CD5A9E" w:rsidP="0010408D">
            <w:pPr>
              <w:jc w:val="center"/>
              <w:rPr>
                <w:rFonts w:ascii="Arial" w:eastAsia="Arial" w:hAnsi="Arial" w:cs="Arial"/>
                <w:b/>
              </w:rPr>
            </w:pPr>
          </w:p>
          <w:p w14:paraId="7D7A3316" w14:textId="77777777" w:rsidR="00CD5A9E" w:rsidRPr="0054090D" w:rsidRDefault="00B76B80" w:rsidP="0010408D">
            <w:pPr>
              <w:jc w:val="center"/>
              <w:rPr>
                <w:rFonts w:ascii="Arial" w:eastAsia="Arial" w:hAnsi="Arial" w:cs="Arial"/>
                <w:b/>
              </w:rPr>
            </w:pPr>
            <w:r w:rsidRPr="0054090D">
              <w:rPr>
                <w:rFonts w:ascii="Arial" w:eastAsia="Arial" w:hAnsi="Arial" w:cs="Arial"/>
                <w:b/>
              </w:rPr>
              <w:t>MAGISTRADO</w:t>
            </w:r>
          </w:p>
          <w:p w14:paraId="5406BEAA" w14:textId="77777777" w:rsidR="00CD5A9E" w:rsidRDefault="00CD5A9E" w:rsidP="0010408D">
            <w:pPr>
              <w:jc w:val="center"/>
              <w:rPr>
                <w:rFonts w:ascii="Arial" w:eastAsia="Arial" w:hAnsi="Arial" w:cs="Arial"/>
                <w:b/>
              </w:rPr>
            </w:pPr>
          </w:p>
          <w:p w14:paraId="4752BDF4" w14:textId="77777777" w:rsidR="0010408D" w:rsidRPr="0054090D" w:rsidRDefault="0010408D" w:rsidP="0010408D">
            <w:pPr>
              <w:jc w:val="center"/>
              <w:rPr>
                <w:rFonts w:ascii="Arial" w:eastAsia="Arial" w:hAnsi="Arial" w:cs="Arial"/>
                <w:b/>
              </w:rPr>
            </w:pPr>
          </w:p>
          <w:p w14:paraId="21CD5A59" w14:textId="77777777" w:rsidR="00CD5A9E" w:rsidRPr="0054090D" w:rsidRDefault="00CD5A9E" w:rsidP="0010408D">
            <w:pPr>
              <w:jc w:val="center"/>
              <w:rPr>
                <w:rFonts w:ascii="Arial" w:eastAsia="Arial" w:hAnsi="Arial" w:cs="Arial"/>
                <w:b/>
              </w:rPr>
            </w:pPr>
          </w:p>
          <w:p w14:paraId="5E0FD2F6" w14:textId="77777777" w:rsidR="00CD5A9E" w:rsidRPr="0054090D" w:rsidRDefault="00CD5A9E" w:rsidP="0010408D">
            <w:pPr>
              <w:jc w:val="center"/>
              <w:rPr>
                <w:rFonts w:ascii="Arial" w:eastAsia="Arial" w:hAnsi="Arial" w:cs="Arial"/>
                <w:b/>
              </w:rPr>
            </w:pPr>
          </w:p>
          <w:p w14:paraId="201CFDE9" w14:textId="77777777" w:rsidR="00CD5A9E" w:rsidRPr="0054090D" w:rsidRDefault="00CD5A9E" w:rsidP="0010408D">
            <w:pPr>
              <w:jc w:val="center"/>
              <w:rPr>
                <w:rFonts w:ascii="Arial" w:eastAsia="Arial" w:hAnsi="Arial" w:cs="Arial"/>
                <w:b/>
              </w:rPr>
            </w:pPr>
          </w:p>
          <w:p w14:paraId="1345A59E" w14:textId="77777777" w:rsidR="00CD5A9E" w:rsidRPr="0054090D" w:rsidRDefault="00CD5A9E" w:rsidP="0010408D">
            <w:pPr>
              <w:jc w:val="center"/>
              <w:rPr>
                <w:rFonts w:ascii="Arial" w:eastAsia="Arial" w:hAnsi="Arial" w:cs="Arial"/>
                <w:b/>
              </w:rPr>
            </w:pPr>
          </w:p>
          <w:p w14:paraId="71EF6D4C" w14:textId="77777777" w:rsidR="00CD5A9E" w:rsidRPr="0054090D" w:rsidRDefault="00B76B80" w:rsidP="0010408D">
            <w:pPr>
              <w:jc w:val="center"/>
              <w:rPr>
                <w:rFonts w:ascii="Arial" w:eastAsia="Arial" w:hAnsi="Arial" w:cs="Arial"/>
                <w:b/>
              </w:rPr>
            </w:pPr>
            <w:r w:rsidRPr="0054090D">
              <w:rPr>
                <w:rFonts w:ascii="Arial" w:eastAsia="Arial" w:hAnsi="Arial" w:cs="Arial"/>
                <w:b/>
              </w:rPr>
              <w:t>ERIC LÓPEZ VILLASEÑOR</w:t>
            </w:r>
          </w:p>
        </w:tc>
      </w:tr>
      <w:tr w:rsidR="00CD5A9E" w:rsidRPr="0054090D" w14:paraId="378D0AEC" w14:textId="77777777">
        <w:trPr>
          <w:trHeight w:val="1100"/>
        </w:trPr>
        <w:tc>
          <w:tcPr>
            <w:tcW w:w="8500" w:type="dxa"/>
            <w:gridSpan w:val="2"/>
          </w:tcPr>
          <w:p w14:paraId="149B2FA1" w14:textId="77777777" w:rsidR="00CD5A9E" w:rsidRPr="0054090D" w:rsidRDefault="00B76B80" w:rsidP="0010408D">
            <w:pPr>
              <w:jc w:val="center"/>
              <w:rPr>
                <w:rFonts w:ascii="Arial" w:eastAsia="Arial" w:hAnsi="Arial" w:cs="Arial"/>
                <w:b/>
              </w:rPr>
            </w:pPr>
            <w:r w:rsidRPr="0054090D">
              <w:rPr>
                <w:rFonts w:ascii="Arial" w:eastAsia="Arial" w:hAnsi="Arial" w:cs="Arial"/>
                <w:b/>
              </w:rPr>
              <w:lastRenderedPageBreak/>
              <w:t>SECRETARIO GENERAL DE ACUERDOS</w:t>
            </w:r>
          </w:p>
          <w:p w14:paraId="207EE924" w14:textId="77777777" w:rsidR="00CD5A9E" w:rsidRPr="0054090D" w:rsidRDefault="00CD5A9E" w:rsidP="0010408D">
            <w:pPr>
              <w:jc w:val="center"/>
              <w:rPr>
                <w:rFonts w:ascii="Arial" w:eastAsia="Arial" w:hAnsi="Arial" w:cs="Arial"/>
                <w:b/>
              </w:rPr>
            </w:pPr>
          </w:p>
          <w:p w14:paraId="3FC2BFA7" w14:textId="77777777" w:rsidR="00CD5A9E" w:rsidRPr="0054090D" w:rsidRDefault="00CD5A9E" w:rsidP="0010408D">
            <w:pPr>
              <w:jc w:val="center"/>
              <w:rPr>
                <w:rFonts w:ascii="Arial" w:eastAsia="Arial" w:hAnsi="Arial" w:cs="Arial"/>
                <w:b/>
              </w:rPr>
            </w:pPr>
          </w:p>
          <w:p w14:paraId="2D3F3EA3" w14:textId="77777777" w:rsidR="00CD5A9E" w:rsidRPr="0054090D" w:rsidRDefault="00CD5A9E" w:rsidP="0010408D">
            <w:pPr>
              <w:jc w:val="center"/>
              <w:rPr>
                <w:rFonts w:ascii="Arial" w:eastAsia="Arial" w:hAnsi="Arial" w:cs="Arial"/>
                <w:b/>
              </w:rPr>
            </w:pPr>
          </w:p>
          <w:p w14:paraId="6E52CC4D" w14:textId="77777777" w:rsidR="00CD5A9E" w:rsidRDefault="00CD5A9E" w:rsidP="0010408D">
            <w:pPr>
              <w:jc w:val="center"/>
              <w:rPr>
                <w:rFonts w:ascii="Arial" w:eastAsia="Arial" w:hAnsi="Arial" w:cs="Arial"/>
                <w:b/>
              </w:rPr>
            </w:pPr>
          </w:p>
          <w:p w14:paraId="15343E67" w14:textId="77777777" w:rsidR="0010408D" w:rsidRPr="0054090D" w:rsidRDefault="0010408D" w:rsidP="0010408D">
            <w:pPr>
              <w:jc w:val="center"/>
              <w:rPr>
                <w:rFonts w:ascii="Arial" w:eastAsia="Arial" w:hAnsi="Arial" w:cs="Arial"/>
                <w:b/>
              </w:rPr>
            </w:pPr>
          </w:p>
          <w:p w14:paraId="7974A50C" w14:textId="77777777" w:rsidR="00CD5A9E" w:rsidRPr="0054090D" w:rsidRDefault="00CD5A9E" w:rsidP="0010408D">
            <w:pPr>
              <w:jc w:val="center"/>
              <w:rPr>
                <w:rFonts w:ascii="Arial" w:eastAsia="Arial" w:hAnsi="Arial" w:cs="Arial"/>
                <w:b/>
              </w:rPr>
            </w:pPr>
          </w:p>
          <w:p w14:paraId="0AECBFF7" w14:textId="77777777" w:rsidR="00CD5A9E" w:rsidRPr="0054090D" w:rsidRDefault="00B76B80" w:rsidP="0010408D">
            <w:pPr>
              <w:jc w:val="center"/>
              <w:rPr>
                <w:rFonts w:ascii="Arial" w:eastAsia="Arial" w:hAnsi="Arial" w:cs="Arial"/>
                <w:b/>
              </w:rPr>
            </w:pPr>
            <w:r w:rsidRPr="0054090D">
              <w:rPr>
                <w:rFonts w:ascii="Arial" w:eastAsia="Arial" w:hAnsi="Arial" w:cs="Arial"/>
                <w:b/>
              </w:rPr>
              <w:t>JESÚS RENATO GARCÍA RIVERA</w:t>
            </w:r>
          </w:p>
        </w:tc>
      </w:tr>
    </w:tbl>
    <w:p w14:paraId="6EC7DF37" w14:textId="77777777" w:rsidR="0010408D" w:rsidRDefault="0010408D">
      <w:pPr>
        <w:spacing w:line="276" w:lineRule="auto"/>
        <w:jc w:val="both"/>
        <w:rPr>
          <w:rFonts w:ascii="Arial" w:eastAsia="Arial" w:hAnsi="Arial" w:cs="Arial"/>
          <w:sz w:val="20"/>
          <w:szCs w:val="20"/>
        </w:rPr>
      </w:pPr>
    </w:p>
    <w:p w14:paraId="5665DFCA" w14:textId="1499E3E1" w:rsidR="00CD5A9E" w:rsidRPr="0054090D" w:rsidRDefault="00B76B80">
      <w:pPr>
        <w:spacing w:line="276" w:lineRule="auto"/>
        <w:jc w:val="both"/>
        <w:rPr>
          <w:rFonts w:ascii="Arial" w:eastAsia="Arial" w:hAnsi="Arial" w:cs="Arial"/>
          <w:b/>
          <w:sz w:val="20"/>
          <w:szCs w:val="20"/>
        </w:rPr>
      </w:pPr>
      <w:r w:rsidRPr="0054090D">
        <w:rPr>
          <w:rFonts w:ascii="Arial" w:eastAsia="Arial" w:hAnsi="Arial" w:cs="Arial"/>
          <w:sz w:val="20"/>
          <w:szCs w:val="20"/>
        </w:rPr>
        <w:t>El suscrito Jesús Renato García Rivera, Secretario General de Acuerdos del Tribunal Electoral del Estado, en ejercicio de las facultades que me confieren los artículos 69 del Código Electoral</w:t>
      </w:r>
      <w:r w:rsidRPr="0054090D">
        <w:rPr>
          <w:rFonts w:ascii="Arial" w:eastAsia="Arial" w:hAnsi="Arial" w:cs="Arial"/>
          <w:i/>
          <w:sz w:val="20"/>
          <w:szCs w:val="20"/>
        </w:rPr>
        <w:t xml:space="preserve"> </w:t>
      </w:r>
      <w:r w:rsidRPr="0054090D">
        <w:rPr>
          <w:rFonts w:ascii="Arial" w:eastAsia="Arial" w:hAnsi="Arial" w:cs="Arial"/>
          <w:sz w:val="20"/>
          <w:szCs w:val="20"/>
        </w:rPr>
        <w:t xml:space="preserve">y 14 del Reglamento Interno del Tribunal Electoral del Estado de Michoacán, hago constar que las firmas que obran en la presente página corresponden al Acuerdo Plenario de Cumplimiento de Sentencia emitido por el Pleno del Tribunal Electoral del Estado, en Reunión Interna Jurisdiccional celebrada el </w:t>
      </w:r>
      <w:r w:rsidR="0054090D">
        <w:rPr>
          <w:rFonts w:ascii="Arial" w:eastAsia="Arial" w:hAnsi="Arial" w:cs="Arial"/>
          <w:sz w:val="20"/>
          <w:szCs w:val="20"/>
        </w:rPr>
        <w:t xml:space="preserve">dieciséis </w:t>
      </w:r>
      <w:r w:rsidRPr="0054090D">
        <w:rPr>
          <w:rFonts w:ascii="Arial" w:eastAsia="Arial" w:hAnsi="Arial" w:cs="Arial"/>
          <w:sz w:val="20"/>
          <w:szCs w:val="20"/>
        </w:rPr>
        <w:t xml:space="preserve">de octubre de dos mil veinticinco, dentro de los Juicios para la Protección de los Derechos Político-Electorales del Ciudadano identificados con las claves </w:t>
      </w:r>
      <w:r w:rsidRPr="0054090D">
        <w:rPr>
          <w:rFonts w:ascii="Arial" w:eastAsia="Arial" w:hAnsi="Arial" w:cs="Arial"/>
          <w:b/>
          <w:sz w:val="20"/>
          <w:szCs w:val="20"/>
        </w:rPr>
        <w:t xml:space="preserve">TEEM-JDC-205/2025 y TEEM-JDC-206/2025 </w:t>
      </w:r>
      <w:r w:rsidR="0054090D">
        <w:rPr>
          <w:rFonts w:ascii="Arial" w:eastAsia="Arial" w:hAnsi="Arial" w:cs="Arial"/>
          <w:b/>
          <w:sz w:val="20"/>
          <w:szCs w:val="20"/>
        </w:rPr>
        <w:t>a</w:t>
      </w:r>
      <w:r w:rsidRPr="0054090D">
        <w:rPr>
          <w:rFonts w:ascii="Arial" w:eastAsia="Arial" w:hAnsi="Arial" w:cs="Arial"/>
          <w:b/>
          <w:sz w:val="20"/>
          <w:szCs w:val="20"/>
        </w:rPr>
        <w:t>cumul</w:t>
      </w:r>
      <w:r w:rsidRPr="0054090D">
        <w:rPr>
          <w:rFonts w:ascii="Arial" w:eastAsia="Arial" w:hAnsi="Arial" w:cs="Arial"/>
          <w:b/>
          <w:sz w:val="20"/>
          <w:szCs w:val="20"/>
        </w:rPr>
        <w:t>ados</w:t>
      </w:r>
      <w:r w:rsidRPr="0054090D">
        <w:rPr>
          <w:rFonts w:ascii="Arial" w:eastAsia="Arial" w:hAnsi="Arial" w:cs="Arial"/>
          <w:sz w:val="20"/>
          <w:szCs w:val="20"/>
        </w:rPr>
        <w:t>; la cual consta de</w:t>
      </w:r>
      <w:r w:rsidR="0054090D">
        <w:rPr>
          <w:rFonts w:ascii="Arial" w:eastAsia="Arial" w:hAnsi="Arial" w:cs="Arial"/>
          <w:sz w:val="20"/>
          <w:szCs w:val="20"/>
        </w:rPr>
        <w:t xml:space="preserve"> trece</w:t>
      </w:r>
      <w:r w:rsidRPr="0054090D">
        <w:rPr>
          <w:rFonts w:ascii="Arial" w:eastAsia="Arial" w:hAnsi="Arial" w:cs="Arial"/>
          <w:sz w:val="20"/>
          <w:szCs w:val="20"/>
        </w:rPr>
        <w:t xml:space="preserve"> páginas, incluida la presente. </w:t>
      </w:r>
      <w:r w:rsidRPr="0054090D">
        <w:rPr>
          <w:rFonts w:ascii="Arial" w:eastAsia="Arial" w:hAnsi="Arial" w:cs="Arial"/>
          <w:b/>
          <w:sz w:val="20"/>
          <w:szCs w:val="20"/>
        </w:rPr>
        <w:t>Doy fe.</w:t>
      </w:r>
    </w:p>
    <w:p w14:paraId="1D473D46" w14:textId="77777777" w:rsidR="00CD5A9E" w:rsidRPr="0054090D" w:rsidRDefault="00CD5A9E">
      <w:pPr>
        <w:spacing w:line="276" w:lineRule="auto"/>
        <w:jc w:val="both"/>
        <w:rPr>
          <w:rFonts w:ascii="Arial" w:eastAsia="Arial" w:hAnsi="Arial" w:cs="Arial"/>
          <w:b/>
          <w:sz w:val="20"/>
          <w:szCs w:val="20"/>
        </w:rPr>
      </w:pPr>
    </w:p>
    <w:p w14:paraId="510667B1" w14:textId="77777777" w:rsidR="00CD5A9E" w:rsidRDefault="00B76B80">
      <w:pPr>
        <w:pBdr>
          <w:top w:val="nil"/>
          <w:left w:val="nil"/>
          <w:bottom w:val="nil"/>
          <w:right w:val="nil"/>
          <w:between w:val="nil"/>
        </w:pBdr>
        <w:tabs>
          <w:tab w:val="left" w:pos="426"/>
        </w:tabs>
        <w:spacing w:after="240"/>
        <w:jc w:val="both"/>
        <w:rPr>
          <w:rFonts w:ascii="Arial" w:eastAsia="Arial" w:hAnsi="Arial" w:cs="Arial"/>
          <w:color w:val="000000"/>
          <w:sz w:val="20"/>
          <w:szCs w:val="20"/>
        </w:rPr>
      </w:pPr>
      <w:r w:rsidRPr="0054090D">
        <w:rPr>
          <w:rFonts w:ascii="Arial" w:eastAsia="Arial" w:hAnsi="Arial" w:cs="Arial"/>
          <w:b/>
          <w:sz w:val="20"/>
          <w:szCs w:val="20"/>
        </w:rPr>
        <w:t>Este documento es una representación gráfica autorizada mediante firmas electrónicas certificadas, el cual tiene plena validez jurídica de conformidad con el numeral tercero y cuarto del ACUERDO DEL PLENO POR EL QUE SE IMPLEMENTA EL USO DE LA FIRMA ELECTRÓNICA EN LOS ACUERDOS, RESOLUCIONES Y SENTENCIAS QUE SE DICTEN CON MOTIVO DEL TRÁMITE, TURNO, SUSTANCIACIÓN Y RESOLUCIÓN DE LOS ASUNTOS JURISDICCIONALES, ASÍ COMO EN LOS ACUERDOS, LAS GESTIONES Y DETERMINACIONES DERIVADAS DEL ÁMBITO ADMINISTRATIVO DEL TRIBU</w:t>
      </w:r>
      <w:r w:rsidRPr="0054090D">
        <w:rPr>
          <w:rFonts w:ascii="Arial" w:eastAsia="Arial" w:hAnsi="Arial" w:cs="Arial"/>
          <w:b/>
          <w:sz w:val="20"/>
          <w:szCs w:val="20"/>
        </w:rPr>
        <w:t>NAL.</w:t>
      </w:r>
    </w:p>
    <w:sectPr w:rsidR="00CD5A9E">
      <w:headerReference w:type="even" r:id="rId10"/>
      <w:headerReference w:type="default" r:id="rId11"/>
      <w:footerReference w:type="even" r:id="rId12"/>
      <w:footerReference w:type="default" r:id="rId13"/>
      <w:headerReference w:type="first" r:id="rId14"/>
      <w:footerReference w:type="first" r:id="rId15"/>
      <w:pgSz w:w="12240" w:h="18720"/>
      <w:pgMar w:top="1418" w:right="1134" w:bottom="1418" w:left="2268" w:header="425" w:footer="851"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5C129C" w14:textId="77777777" w:rsidR="001707D9" w:rsidRDefault="001707D9">
      <w:r>
        <w:separator/>
      </w:r>
    </w:p>
  </w:endnote>
  <w:endnote w:type="continuationSeparator" w:id="0">
    <w:p w14:paraId="6B06D7F1" w14:textId="77777777" w:rsidR="001707D9" w:rsidRDefault="001707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272CD9" w14:textId="77777777" w:rsidR="00CD5A9E" w:rsidRDefault="00B76B80">
    <w:pPr>
      <w:pBdr>
        <w:top w:val="nil"/>
        <w:left w:val="nil"/>
        <w:bottom w:val="nil"/>
        <w:right w:val="nil"/>
        <w:between w:val="nil"/>
      </w:pBdr>
      <w:jc w:val="center"/>
      <w:rPr>
        <w:color w:val="000000"/>
      </w:rPr>
    </w:pPr>
    <w:r>
      <w:rPr>
        <w:color w:val="000000"/>
      </w:rPr>
      <w:fldChar w:fldCharType="begin"/>
    </w:r>
    <w:r>
      <w:rPr>
        <w:color w:val="000000"/>
      </w:rPr>
      <w:instrText>PAGE</w:instrText>
    </w:r>
    <w:r>
      <w:rPr>
        <w:color w:val="000000"/>
      </w:rPr>
      <w:fldChar w:fldCharType="separate"/>
    </w:r>
    <w:r>
      <w:rPr>
        <w:color w:val="000000"/>
      </w:rPr>
      <w:fldChar w:fldCharType="end"/>
    </w:r>
  </w:p>
  <w:p w14:paraId="07F073C7" w14:textId="77777777" w:rsidR="00CD5A9E" w:rsidRDefault="00CD5A9E">
    <w:pPr>
      <w:pBdr>
        <w:top w:val="nil"/>
        <w:left w:val="nil"/>
        <w:bottom w:val="nil"/>
        <w:right w:val="nil"/>
        <w:between w:val="nil"/>
      </w:pBdr>
      <w:ind w:right="360" w:firstLine="360"/>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F54B4B" w14:textId="77777777" w:rsidR="00CD5A9E" w:rsidRDefault="00B76B80">
    <w:pPr>
      <w:pBdr>
        <w:top w:val="nil"/>
        <w:left w:val="nil"/>
        <w:bottom w:val="nil"/>
        <w:right w:val="nil"/>
        <w:between w:val="nil"/>
      </w:pBdr>
      <w:jc w:val="right"/>
      <w:rPr>
        <w:rFonts w:ascii="Arial" w:eastAsia="Arial" w:hAnsi="Arial" w:cs="Arial"/>
        <w:color w:val="000000"/>
      </w:rPr>
    </w:pPr>
    <w:r>
      <w:rPr>
        <w:rFonts w:ascii="Arial" w:eastAsia="Arial" w:hAnsi="Arial" w:cs="Arial"/>
        <w:color w:val="000000"/>
      </w:rPr>
      <w:fldChar w:fldCharType="begin"/>
    </w:r>
    <w:r>
      <w:rPr>
        <w:rFonts w:ascii="Arial" w:eastAsia="Arial" w:hAnsi="Arial" w:cs="Arial"/>
        <w:color w:val="000000"/>
      </w:rPr>
      <w:instrText>PAGE</w:instrText>
    </w:r>
    <w:r>
      <w:rPr>
        <w:rFonts w:ascii="Arial" w:eastAsia="Arial" w:hAnsi="Arial" w:cs="Arial"/>
        <w:color w:val="000000"/>
      </w:rPr>
      <w:fldChar w:fldCharType="separate"/>
    </w:r>
    <w:r w:rsidR="00020B2A">
      <w:rPr>
        <w:rFonts w:ascii="Arial" w:eastAsia="Arial" w:hAnsi="Arial" w:cs="Arial"/>
        <w:noProof/>
        <w:color w:val="000000"/>
      </w:rPr>
      <w:t>2</w:t>
    </w:r>
    <w:r>
      <w:rPr>
        <w:rFonts w:ascii="Arial" w:eastAsia="Arial" w:hAnsi="Arial" w:cs="Arial"/>
        <w:color w:val="000000"/>
      </w:rPr>
      <w:fldChar w:fldCharType="end"/>
    </w:r>
  </w:p>
  <w:p w14:paraId="615654E2" w14:textId="77777777" w:rsidR="00CD5A9E" w:rsidRDefault="00CD5A9E">
    <w:pPr>
      <w:pBdr>
        <w:top w:val="nil"/>
        <w:left w:val="nil"/>
        <w:bottom w:val="nil"/>
        <w:right w:val="nil"/>
        <w:between w:val="nil"/>
      </w:pBdr>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E1A27B" w14:textId="77777777" w:rsidR="00CD5A9E" w:rsidRDefault="00B76B80">
    <w:pPr>
      <w:pBdr>
        <w:top w:val="nil"/>
        <w:left w:val="nil"/>
        <w:bottom w:val="nil"/>
        <w:right w:val="nil"/>
        <w:between w:val="nil"/>
      </w:pBdr>
      <w:jc w:val="right"/>
      <w:rPr>
        <w:rFonts w:ascii="Arial" w:eastAsia="Arial" w:hAnsi="Arial" w:cs="Arial"/>
        <w:color w:val="000000"/>
      </w:rPr>
    </w:pPr>
    <w:r>
      <w:rPr>
        <w:rFonts w:ascii="Arial" w:eastAsia="Arial" w:hAnsi="Arial" w:cs="Arial"/>
        <w:smallCaps/>
        <w:color w:val="000000"/>
      </w:rPr>
      <w:fldChar w:fldCharType="begin"/>
    </w:r>
    <w:r>
      <w:rPr>
        <w:rFonts w:ascii="Arial" w:eastAsia="Arial" w:hAnsi="Arial" w:cs="Arial"/>
        <w:smallCaps/>
        <w:color w:val="000000"/>
      </w:rPr>
      <w:instrText>PAGE</w:instrText>
    </w:r>
    <w:r>
      <w:rPr>
        <w:rFonts w:ascii="Arial" w:eastAsia="Arial" w:hAnsi="Arial" w:cs="Arial"/>
        <w:smallCaps/>
        <w:color w:val="000000"/>
      </w:rPr>
      <w:fldChar w:fldCharType="separate"/>
    </w:r>
    <w:r w:rsidR="00020B2A">
      <w:rPr>
        <w:rFonts w:ascii="Arial" w:eastAsia="Arial" w:hAnsi="Arial" w:cs="Arial"/>
        <w:smallCaps/>
        <w:noProof/>
        <w:color w:val="000000"/>
      </w:rPr>
      <w:t>1</w:t>
    </w:r>
    <w:r>
      <w:rPr>
        <w:rFonts w:ascii="Arial" w:eastAsia="Arial" w:hAnsi="Arial" w:cs="Arial"/>
        <w:smallCaps/>
        <w:color w:val="000000"/>
      </w:rPr>
      <w:fldChar w:fldCharType="end"/>
    </w:r>
  </w:p>
  <w:p w14:paraId="13232B71" w14:textId="77777777" w:rsidR="00CD5A9E" w:rsidRDefault="00CD5A9E">
    <w:pPr>
      <w:pBdr>
        <w:top w:val="nil"/>
        <w:left w:val="nil"/>
        <w:bottom w:val="nil"/>
        <w:right w:val="nil"/>
        <w:between w:val="nil"/>
      </w:pBdr>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9B59AB" w14:textId="77777777" w:rsidR="001707D9" w:rsidRDefault="001707D9">
      <w:r>
        <w:separator/>
      </w:r>
    </w:p>
  </w:footnote>
  <w:footnote w:type="continuationSeparator" w:id="0">
    <w:p w14:paraId="6E61F2EE" w14:textId="77777777" w:rsidR="001707D9" w:rsidRDefault="001707D9">
      <w:r>
        <w:continuationSeparator/>
      </w:r>
    </w:p>
  </w:footnote>
  <w:footnote w:id="1">
    <w:p w14:paraId="52557857" w14:textId="77777777" w:rsidR="00CD5A9E" w:rsidRPr="0054090D" w:rsidRDefault="00B76B80">
      <w:pPr>
        <w:pBdr>
          <w:top w:val="nil"/>
          <w:left w:val="nil"/>
          <w:bottom w:val="nil"/>
          <w:right w:val="nil"/>
          <w:between w:val="nil"/>
        </w:pBdr>
        <w:jc w:val="both"/>
        <w:rPr>
          <w:rFonts w:ascii="Arial" w:eastAsia="Arial" w:hAnsi="Arial" w:cs="Arial"/>
          <w:color w:val="000000"/>
          <w:sz w:val="20"/>
          <w:szCs w:val="20"/>
        </w:rPr>
      </w:pPr>
      <w:r w:rsidRPr="0054090D">
        <w:rPr>
          <w:rFonts w:ascii="Arial" w:hAnsi="Arial" w:cs="Arial"/>
          <w:sz w:val="20"/>
          <w:szCs w:val="20"/>
          <w:vertAlign w:val="superscript"/>
        </w:rPr>
        <w:footnoteRef/>
      </w:r>
      <w:r w:rsidRPr="0054090D">
        <w:rPr>
          <w:rFonts w:ascii="Arial" w:eastAsia="Arial" w:hAnsi="Arial" w:cs="Arial"/>
          <w:color w:val="000000"/>
          <w:sz w:val="20"/>
          <w:szCs w:val="20"/>
        </w:rPr>
        <w:t xml:space="preserve"> Las fechas que se señalen con posterioridad corresponden al año dos mil veinticinco, salvo señalamiento expreso.</w:t>
      </w:r>
    </w:p>
  </w:footnote>
  <w:footnote w:id="2">
    <w:p w14:paraId="33F68449" w14:textId="77777777" w:rsidR="00CD5A9E" w:rsidRPr="0054090D" w:rsidRDefault="00B76B80">
      <w:pPr>
        <w:pBdr>
          <w:top w:val="nil"/>
          <w:left w:val="nil"/>
          <w:bottom w:val="nil"/>
          <w:right w:val="nil"/>
          <w:between w:val="nil"/>
        </w:pBdr>
        <w:jc w:val="both"/>
        <w:rPr>
          <w:rFonts w:ascii="Arial" w:eastAsia="Arial" w:hAnsi="Arial" w:cs="Arial"/>
          <w:color w:val="000000"/>
          <w:sz w:val="20"/>
          <w:szCs w:val="20"/>
        </w:rPr>
      </w:pPr>
      <w:r w:rsidRPr="0054090D">
        <w:rPr>
          <w:rFonts w:ascii="Arial" w:hAnsi="Arial" w:cs="Arial"/>
          <w:sz w:val="20"/>
          <w:szCs w:val="20"/>
          <w:vertAlign w:val="superscript"/>
        </w:rPr>
        <w:footnoteRef/>
      </w:r>
      <w:r w:rsidRPr="0054090D">
        <w:rPr>
          <w:rFonts w:ascii="Arial" w:eastAsia="Arial" w:hAnsi="Arial" w:cs="Arial"/>
          <w:color w:val="000000"/>
          <w:sz w:val="20"/>
          <w:szCs w:val="20"/>
        </w:rPr>
        <w:t xml:space="preserve"> En adelante, </w:t>
      </w:r>
      <w:r w:rsidRPr="0054090D">
        <w:rPr>
          <w:rFonts w:ascii="Arial" w:eastAsia="Arial" w:hAnsi="Arial" w:cs="Arial"/>
          <w:i/>
          <w:color w:val="000000"/>
          <w:sz w:val="20"/>
          <w:szCs w:val="20"/>
        </w:rPr>
        <w:t>Sentencia.</w:t>
      </w:r>
    </w:p>
  </w:footnote>
  <w:footnote w:id="3">
    <w:p w14:paraId="133DC6D4" w14:textId="77777777" w:rsidR="00CD5A9E" w:rsidRPr="0054090D" w:rsidRDefault="00B76B80">
      <w:pPr>
        <w:pBdr>
          <w:top w:val="nil"/>
          <w:left w:val="nil"/>
          <w:bottom w:val="nil"/>
          <w:right w:val="nil"/>
          <w:between w:val="nil"/>
        </w:pBdr>
        <w:jc w:val="both"/>
        <w:rPr>
          <w:rFonts w:ascii="Arial" w:eastAsia="Arial" w:hAnsi="Arial" w:cs="Arial"/>
          <w:color w:val="000000"/>
          <w:sz w:val="20"/>
          <w:szCs w:val="20"/>
        </w:rPr>
      </w:pPr>
      <w:r w:rsidRPr="0054090D">
        <w:rPr>
          <w:rFonts w:ascii="Arial" w:hAnsi="Arial" w:cs="Arial"/>
          <w:sz w:val="20"/>
          <w:szCs w:val="20"/>
          <w:vertAlign w:val="superscript"/>
        </w:rPr>
        <w:footnoteRef/>
      </w:r>
      <w:r w:rsidRPr="0054090D">
        <w:rPr>
          <w:rFonts w:ascii="Arial" w:eastAsia="Arial" w:hAnsi="Arial" w:cs="Arial"/>
          <w:color w:val="000000"/>
          <w:sz w:val="20"/>
          <w:szCs w:val="20"/>
        </w:rPr>
        <w:t xml:space="preserve"> En adelante, </w:t>
      </w:r>
      <w:r w:rsidRPr="0054090D">
        <w:rPr>
          <w:rFonts w:ascii="Arial" w:eastAsia="Arial" w:hAnsi="Arial" w:cs="Arial"/>
          <w:i/>
          <w:color w:val="000000"/>
          <w:sz w:val="20"/>
          <w:szCs w:val="20"/>
        </w:rPr>
        <w:t>Juicios Ciudadanos.</w:t>
      </w:r>
    </w:p>
  </w:footnote>
  <w:footnote w:id="4">
    <w:p w14:paraId="4401727B" w14:textId="77777777" w:rsidR="00CD5A9E" w:rsidRPr="0054090D" w:rsidRDefault="00B76B80">
      <w:pPr>
        <w:pBdr>
          <w:top w:val="nil"/>
          <w:left w:val="nil"/>
          <w:bottom w:val="nil"/>
          <w:right w:val="nil"/>
          <w:between w:val="nil"/>
        </w:pBdr>
        <w:jc w:val="both"/>
        <w:rPr>
          <w:rFonts w:ascii="Arial" w:eastAsia="Arial" w:hAnsi="Arial" w:cs="Arial"/>
          <w:color w:val="000000"/>
          <w:sz w:val="20"/>
          <w:szCs w:val="20"/>
        </w:rPr>
      </w:pPr>
      <w:r w:rsidRPr="0054090D">
        <w:rPr>
          <w:rFonts w:ascii="Arial" w:hAnsi="Arial" w:cs="Arial"/>
          <w:sz w:val="20"/>
          <w:szCs w:val="20"/>
          <w:vertAlign w:val="superscript"/>
        </w:rPr>
        <w:footnoteRef/>
      </w:r>
      <w:r w:rsidRPr="0054090D">
        <w:rPr>
          <w:rFonts w:ascii="Arial" w:eastAsia="Arial" w:hAnsi="Arial" w:cs="Arial"/>
          <w:color w:val="000000"/>
          <w:sz w:val="20"/>
          <w:szCs w:val="20"/>
        </w:rPr>
        <w:t xml:space="preserve"> Fojas 266 a 274.</w:t>
      </w:r>
    </w:p>
  </w:footnote>
  <w:footnote w:id="5">
    <w:p w14:paraId="0691ACC2" w14:textId="77777777" w:rsidR="00CD5A9E" w:rsidRPr="0054090D" w:rsidRDefault="00B76B80">
      <w:pPr>
        <w:pBdr>
          <w:top w:val="nil"/>
          <w:left w:val="nil"/>
          <w:bottom w:val="nil"/>
          <w:right w:val="nil"/>
          <w:between w:val="nil"/>
        </w:pBdr>
        <w:ind w:hanging="2"/>
        <w:jc w:val="both"/>
        <w:rPr>
          <w:rFonts w:ascii="Arial" w:eastAsia="Arial" w:hAnsi="Arial" w:cs="Arial"/>
          <w:color w:val="000000"/>
          <w:sz w:val="20"/>
          <w:szCs w:val="20"/>
        </w:rPr>
      </w:pPr>
      <w:r w:rsidRPr="0054090D">
        <w:rPr>
          <w:rFonts w:ascii="Arial" w:hAnsi="Arial" w:cs="Arial"/>
          <w:sz w:val="20"/>
          <w:szCs w:val="20"/>
          <w:vertAlign w:val="superscript"/>
        </w:rPr>
        <w:footnoteRef/>
      </w:r>
      <w:r w:rsidRPr="0054090D">
        <w:rPr>
          <w:rFonts w:ascii="Arial" w:eastAsia="Arial" w:hAnsi="Arial" w:cs="Arial"/>
          <w:color w:val="000000"/>
          <w:sz w:val="20"/>
          <w:szCs w:val="20"/>
        </w:rPr>
        <w:t xml:space="preserve"> En adelante, </w:t>
      </w:r>
      <w:r w:rsidRPr="0054090D">
        <w:rPr>
          <w:rFonts w:ascii="Arial" w:eastAsia="Arial" w:hAnsi="Arial" w:cs="Arial"/>
          <w:i/>
          <w:color w:val="000000"/>
          <w:sz w:val="20"/>
          <w:szCs w:val="20"/>
        </w:rPr>
        <w:t>PRI.</w:t>
      </w:r>
    </w:p>
  </w:footnote>
  <w:footnote w:id="6">
    <w:p w14:paraId="1D9D3A50" w14:textId="77777777" w:rsidR="00CD5A9E" w:rsidRPr="0054090D" w:rsidRDefault="00B76B80">
      <w:pPr>
        <w:pBdr>
          <w:top w:val="nil"/>
          <w:left w:val="nil"/>
          <w:bottom w:val="nil"/>
          <w:right w:val="nil"/>
          <w:between w:val="nil"/>
        </w:pBdr>
        <w:jc w:val="both"/>
        <w:rPr>
          <w:rFonts w:ascii="Arial" w:eastAsia="Arial" w:hAnsi="Arial" w:cs="Arial"/>
          <w:color w:val="000000"/>
          <w:sz w:val="20"/>
          <w:szCs w:val="20"/>
        </w:rPr>
      </w:pPr>
      <w:r w:rsidRPr="0054090D">
        <w:rPr>
          <w:rFonts w:ascii="Arial" w:hAnsi="Arial" w:cs="Arial"/>
          <w:sz w:val="20"/>
          <w:szCs w:val="20"/>
          <w:vertAlign w:val="superscript"/>
        </w:rPr>
        <w:footnoteRef/>
      </w:r>
      <w:r w:rsidRPr="0054090D">
        <w:rPr>
          <w:rFonts w:ascii="Arial" w:eastAsia="Arial" w:hAnsi="Arial" w:cs="Arial"/>
          <w:color w:val="000000"/>
          <w:sz w:val="20"/>
          <w:szCs w:val="20"/>
        </w:rPr>
        <w:t xml:space="preserve"> En adelante, </w:t>
      </w:r>
      <w:r w:rsidRPr="0054090D">
        <w:rPr>
          <w:rFonts w:ascii="Arial" w:eastAsia="Arial" w:hAnsi="Arial" w:cs="Arial"/>
          <w:i/>
          <w:color w:val="000000"/>
          <w:sz w:val="20"/>
          <w:szCs w:val="20"/>
        </w:rPr>
        <w:t>Comisión Estatal.</w:t>
      </w:r>
    </w:p>
  </w:footnote>
  <w:footnote w:id="7">
    <w:p w14:paraId="33D2CC81" w14:textId="77777777" w:rsidR="00CD5A9E" w:rsidRPr="0054090D" w:rsidRDefault="00B76B80">
      <w:pPr>
        <w:pBdr>
          <w:top w:val="nil"/>
          <w:left w:val="nil"/>
          <w:bottom w:val="nil"/>
          <w:right w:val="nil"/>
          <w:between w:val="nil"/>
        </w:pBdr>
        <w:jc w:val="both"/>
        <w:rPr>
          <w:rFonts w:ascii="Arial" w:eastAsia="Arial" w:hAnsi="Arial" w:cs="Arial"/>
          <w:color w:val="000000"/>
          <w:sz w:val="20"/>
          <w:szCs w:val="20"/>
        </w:rPr>
      </w:pPr>
      <w:r w:rsidRPr="0054090D">
        <w:rPr>
          <w:rFonts w:ascii="Arial" w:hAnsi="Arial" w:cs="Arial"/>
          <w:sz w:val="20"/>
          <w:szCs w:val="20"/>
          <w:vertAlign w:val="superscript"/>
        </w:rPr>
        <w:footnoteRef/>
      </w:r>
      <w:r w:rsidRPr="0054090D">
        <w:rPr>
          <w:rFonts w:ascii="Arial" w:eastAsia="Arial" w:hAnsi="Arial" w:cs="Arial"/>
          <w:color w:val="000000"/>
          <w:sz w:val="20"/>
          <w:szCs w:val="20"/>
        </w:rPr>
        <w:t xml:space="preserve"> En adelante, </w:t>
      </w:r>
      <w:r w:rsidRPr="0054090D">
        <w:rPr>
          <w:rFonts w:ascii="Arial" w:eastAsia="Arial" w:hAnsi="Arial" w:cs="Arial"/>
          <w:i/>
          <w:color w:val="000000"/>
          <w:sz w:val="20"/>
          <w:szCs w:val="20"/>
        </w:rPr>
        <w:t>Comisión Nacional.</w:t>
      </w:r>
    </w:p>
  </w:footnote>
  <w:footnote w:id="8">
    <w:p w14:paraId="38FC489B" w14:textId="77777777" w:rsidR="00CD5A9E" w:rsidRPr="0054090D" w:rsidRDefault="00B76B80">
      <w:pPr>
        <w:pBdr>
          <w:top w:val="nil"/>
          <w:left w:val="nil"/>
          <w:bottom w:val="nil"/>
          <w:right w:val="nil"/>
          <w:between w:val="nil"/>
        </w:pBdr>
        <w:jc w:val="both"/>
        <w:rPr>
          <w:rFonts w:ascii="Arial" w:eastAsia="Arial" w:hAnsi="Arial" w:cs="Arial"/>
          <w:color w:val="000000"/>
          <w:sz w:val="20"/>
          <w:szCs w:val="20"/>
        </w:rPr>
      </w:pPr>
      <w:r w:rsidRPr="0054090D">
        <w:rPr>
          <w:rFonts w:ascii="Arial" w:hAnsi="Arial" w:cs="Arial"/>
          <w:sz w:val="20"/>
          <w:szCs w:val="20"/>
          <w:vertAlign w:val="superscript"/>
        </w:rPr>
        <w:footnoteRef/>
      </w:r>
      <w:r w:rsidRPr="0054090D">
        <w:rPr>
          <w:rFonts w:ascii="Arial" w:eastAsia="Arial" w:hAnsi="Arial" w:cs="Arial"/>
          <w:color w:val="000000"/>
          <w:sz w:val="20"/>
          <w:szCs w:val="20"/>
        </w:rPr>
        <w:t xml:space="preserve"> Fojas 302 a la 316.</w:t>
      </w:r>
    </w:p>
  </w:footnote>
  <w:footnote w:id="9">
    <w:p w14:paraId="417A30AF" w14:textId="77777777" w:rsidR="00CD5A9E" w:rsidRPr="0054090D" w:rsidRDefault="00B76B80">
      <w:pPr>
        <w:pBdr>
          <w:top w:val="nil"/>
          <w:left w:val="nil"/>
          <w:bottom w:val="nil"/>
          <w:right w:val="nil"/>
          <w:between w:val="nil"/>
        </w:pBdr>
        <w:jc w:val="both"/>
        <w:rPr>
          <w:rFonts w:ascii="Arial" w:eastAsia="Arial" w:hAnsi="Arial" w:cs="Arial"/>
          <w:color w:val="000000"/>
          <w:sz w:val="20"/>
          <w:szCs w:val="20"/>
        </w:rPr>
      </w:pPr>
      <w:r w:rsidRPr="0054090D">
        <w:rPr>
          <w:rFonts w:ascii="Arial" w:hAnsi="Arial" w:cs="Arial"/>
          <w:sz w:val="20"/>
          <w:szCs w:val="20"/>
          <w:vertAlign w:val="superscript"/>
        </w:rPr>
        <w:footnoteRef/>
      </w:r>
      <w:r w:rsidRPr="0054090D">
        <w:rPr>
          <w:rFonts w:ascii="Arial" w:eastAsia="Arial" w:hAnsi="Arial" w:cs="Arial"/>
          <w:color w:val="000000"/>
          <w:sz w:val="20"/>
          <w:szCs w:val="20"/>
        </w:rPr>
        <w:t xml:space="preserve"> Foja 325. </w:t>
      </w:r>
    </w:p>
  </w:footnote>
  <w:footnote w:id="10">
    <w:p w14:paraId="07AA8344" w14:textId="77777777" w:rsidR="00CD5A9E" w:rsidRPr="0054090D" w:rsidRDefault="00B76B80">
      <w:pPr>
        <w:pBdr>
          <w:top w:val="nil"/>
          <w:left w:val="nil"/>
          <w:bottom w:val="nil"/>
          <w:right w:val="nil"/>
          <w:between w:val="nil"/>
        </w:pBdr>
        <w:jc w:val="both"/>
        <w:rPr>
          <w:rFonts w:ascii="Arial" w:eastAsia="Arial" w:hAnsi="Arial" w:cs="Arial"/>
          <w:color w:val="000000"/>
          <w:sz w:val="20"/>
          <w:szCs w:val="20"/>
        </w:rPr>
      </w:pPr>
      <w:r w:rsidRPr="0054090D">
        <w:rPr>
          <w:rFonts w:ascii="Arial" w:hAnsi="Arial" w:cs="Arial"/>
          <w:sz w:val="20"/>
          <w:szCs w:val="20"/>
          <w:vertAlign w:val="superscript"/>
        </w:rPr>
        <w:footnoteRef/>
      </w:r>
      <w:r w:rsidRPr="0054090D">
        <w:rPr>
          <w:rFonts w:ascii="Arial" w:eastAsia="Arial" w:hAnsi="Arial" w:cs="Arial"/>
          <w:color w:val="000000"/>
          <w:sz w:val="20"/>
          <w:szCs w:val="20"/>
        </w:rPr>
        <w:t xml:space="preserve"> Foja 335. </w:t>
      </w:r>
    </w:p>
  </w:footnote>
  <w:footnote w:id="11">
    <w:p w14:paraId="337A8B70" w14:textId="77777777" w:rsidR="00CD5A9E" w:rsidRPr="0054090D" w:rsidRDefault="00B76B80">
      <w:pPr>
        <w:pBdr>
          <w:top w:val="nil"/>
          <w:left w:val="nil"/>
          <w:bottom w:val="nil"/>
          <w:right w:val="nil"/>
          <w:between w:val="nil"/>
        </w:pBdr>
        <w:jc w:val="both"/>
        <w:rPr>
          <w:rFonts w:ascii="Arial" w:eastAsia="Arial" w:hAnsi="Arial" w:cs="Arial"/>
          <w:color w:val="000000"/>
          <w:sz w:val="20"/>
          <w:szCs w:val="20"/>
        </w:rPr>
      </w:pPr>
      <w:r w:rsidRPr="0054090D">
        <w:rPr>
          <w:rFonts w:ascii="Arial" w:hAnsi="Arial" w:cs="Arial"/>
          <w:sz w:val="20"/>
          <w:szCs w:val="20"/>
          <w:vertAlign w:val="superscript"/>
        </w:rPr>
        <w:footnoteRef/>
      </w:r>
      <w:r w:rsidRPr="0054090D">
        <w:rPr>
          <w:rFonts w:ascii="Arial" w:eastAsia="Arial" w:hAnsi="Arial" w:cs="Arial"/>
          <w:color w:val="000000"/>
          <w:sz w:val="20"/>
          <w:szCs w:val="20"/>
        </w:rPr>
        <w:t xml:space="preserve"> Fojas 339 a la 351.</w:t>
      </w:r>
    </w:p>
  </w:footnote>
  <w:footnote w:id="12">
    <w:p w14:paraId="7F442951" w14:textId="77777777" w:rsidR="00CD5A9E" w:rsidRPr="0054090D" w:rsidRDefault="00B76B80">
      <w:pPr>
        <w:pBdr>
          <w:top w:val="nil"/>
          <w:left w:val="nil"/>
          <w:bottom w:val="nil"/>
          <w:right w:val="nil"/>
          <w:between w:val="nil"/>
        </w:pBdr>
        <w:jc w:val="both"/>
        <w:rPr>
          <w:rFonts w:ascii="Arial" w:eastAsia="Arial" w:hAnsi="Arial" w:cs="Arial"/>
          <w:color w:val="000000"/>
          <w:sz w:val="20"/>
          <w:szCs w:val="20"/>
        </w:rPr>
      </w:pPr>
      <w:r w:rsidRPr="0054090D">
        <w:rPr>
          <w:rFonts w:ascii="Arial" w:hAnsi="Arial" w:cs="Arial"/>
          <w:sz w:val="20"/>
          <w:szCs w:val="20"/>
          <w:vertAlign w:val="superscript"/>
        </w:rPr>
        <w:footnoteRef/>
      </w:r>
      <w:r w:rsidRPr="0054090D">
        <w:rPr>
          <w:rFonts w:ascii="Arial" w:eastAsia="Arial" w:hAnsi="Arial" w:cs="Arial"/>
          <w:color w:val="000000"/>
          <w:sz w:val="20"/>
          <w:szCs w:val="20"/>
        </w:rPr>
        <w:t xml:space="preserve"> Foja 352.</w:t>
      </w:r>
    </w:p>
  </w:footnote>
  <w:footnote w:id="13">
    <w:p w14:paraId="74F1FC43" w14:textId="77777777" w:rsidR="00CD5A9E" w:rsidRPr="0054090D" w:rsidRDefault="00B76B80">
      <w:pPr>
        <w:pBdr>
          <w:top w:val="nil"/>
          <w:left w:val="nil"/>
          <w:bottom w:val="nil"/>
          <w:right w:val="nil"/>
          <w:between w:val="nil"/>
        </w:pBdr>
        <w:jc w:val="both"/>
        <w:rPr>
          <w:rFonts w:ascii="Arial" w:eastAsia="Arial" w:hAnsi="Arial" w:cs="Arial"/>
          <w:color w:val="000000"/>
          <w:sz w:val="20"/>
          <w:szCs w:val="20"/>
        </w:rPr>
      </w:pPr>
      <w:r w:rsidRPr="0054090D">
        <w:rPr>
          <w:rFonts w:ascii="Arial" w:hAnsi="Arial" w:cs="Arial"/>
          <w:sz w:val="20"/>
          <w:szCs w:val="20"/>
          <w:vertAlign w:val="superscript"/>
        </w:rPr>
        <w:footnoteRef/>
      </w:r>
      <w:r w:rsidRPr="0054090D">
        <w:rPr>
          <w:rFonts w:ascii="Arial" w:eastAsia="Arial" w:hAnsi="Arial" w:cs="Arial"/>
          <w:color w:val="000000"/>
          <w:sz w:val="20"/>
          <w:szCs w:val="20"/>
        </w:rPr>
        <w:t xml:space="preserve"> Foja 363.</w:t>
      </w:r>
    </w:p>
  </w:footnote>
  <w:footnote w:id="14">
    <w:p w14:paraId="02678FA7" w14:textId="77777777" w:rsidR="00CD5A9E" w:rsidRPr="0054090D" w:rsidRDefault="00B76B80">
      <w:pPr>
        <w:pBdr>
          <w:top w:val="nil"/>
          <w:left w:val="nil"/>
          <w:bottom w:val="nil"/>
          <w:right w:val="nil"/>
          <w:between w:val="nil"/>
        </w:pBdr>
        <w:jc w:val="both"/>
        <w:rPr>
          <w:rFonts w:ascii="Arial" w:eastAsia="Arial" w:hAnsi="Arial" w:cs="Arial"/>
          <w:color w:val="000000"/>
          <w:sz w:val="20"/>
          <w:szCs w:val="20"/>
        </w:rPr>
      </w:pPr>
      <w:r w:rsidRPr="0054090D">
        <w:rPr>
          <w:rFonts w:ascii="Arial" w:hAnsi="Arial" w:cs="Arial"/>
          <w:sz w:val="20"/>
          <w:szCs w:val="20"/>
          <w:vertAlign w:val="superscript"/>
        </w:rPr>
        <w:footnoteRef/>
      </w:r>
      <w:r w:rsidRPr="0054090D">
        <w:rPr>
          <w:rFonts w:ascii="Arial" w:eastAsia="Arial" w:hAnsi="Arial" w:cs="Arial"/>
          <w:color w:val="000000"/>
          <w:sz w:val="20"/>
          <w:szCs w:val="20"/>
        </w:rPr>
        <w:t xml:space="preserve"> Fojas 365 a la 370.</w:t>
      </w:r>
    </w:p>
  </w:footnote>
  <w:footnote w:id="15">
    <w:p w14:paraId="59FEB024" w14:textId="77777777" w:rsidR="00CD5A9E" w:rsidRPr="0054090D" w:rsidRDefault="00B76B80">
      <w:pPr>
        <w:pBdr>
          <w:top w:val="nil"/>
          <w:left w:val="nil"/>
          <w:bottom w:val="nil"/>
          <w:right w:val="nil"/>
          <w:between w:val="nil"/>
        </w:pBdr>
        <w:jc w:val="both"/>
        <w:rPr>
          <w:rFonts w:ascii="Arial" w:eastAsia="Arial" w:hAnsi="Arial" w:cs="Arial"/>
          <w:color w:val="000000"/>
          <w:sz w:val="20"/>
          <w:szCs w:val="20"/>
        </w:rPr>
      </w:pPr>
      <w:r w:rsidRPr="0054090D">
        <w:rPr>
          <w:rFonts w:ascii="Arial" w:hAnsi="Arial" w:cs="Arial"/>
          <w:sz w:val="20"/>
          <w:szCs w:val="20"/>
          <w:vertAlign w:val="superscript"/>
        </w:rPr>
        <w:footnoteRef/>
      </w:r>
      <w:r w:rsidRPr="0054090D">
        <w:rPr>
          <w:rFonts w:ascii="Arial" w:eastAsia="Arial" w:hAnsi="Arial" w:cs="Arial"/>
          <w:color w:val="000000"/>
          <w:sz w:val="20"/>
          <w:szCs w:val="20"/>
        </w:rPr>
        <w:t xml:space="preserve"> En adelante, </w:t>
      </w:r>
      <w:r w:rsidRPr="0054090D">
        <w:rPr>
          <w:rFonts w:ascii="Arial" w:eastAsia="Arial" w:hAnsi="Arial" w:cs="Arial"/>
          <w:i/>
          <w:color w:val="000000"/>
          <w:sz w:val="20"/>
          <w:szCs w:val="20"/>
        </w:rPr>
        <w:t>Ley de Justicia.</w:t>
      </w:r>
    </w:p>
  </w:footnote>
  <w:footnote w:id="16">
    <w:p w14:paraId="1AB830F2" w14:textId="77777777" w:rsidR="00CD5A9E" w:rsidRPr="0054090D" w:rsidRDefault="00B76B80">
      <w:pPr>
        <w:pBdr>
          <w:top w:val="nil"/>
          <w:left w:val="nil"/>
          <w:bottom w:val="nil"/>
          <w:right w:val="nil"/>
          <w:between w:val="nil"/>
        </w:pBdr>
        <w:jc w:val="both"/>
        <w:rPr>
          <w:rFonts w:ascii="Arial" w:eastAsia="Arial" w:hAnsi="Arial" w:cs="Arial"/>
          <w:color w:val="000000"/>
          <w:sz w:val="20"/>
          <w:szCs w:val="20"/>
        </w:rPr>
      </w:pPr>
      <w:r w:rsidRPr="0054090D">
        <w:rPr>
          <w:rFonts w:ascii="Arial" w:hAnsi="Arial" w:cs="Arial"/>
          <w:sz w:val="20"/>
          <w:szCs w:val="20"/>
          <w:vertAlign w:val="superscript"/>
        </w:rPr>
        <w:footnoteRef/>
      </w:r>
      <w:r w:rsidRPr="0054090D">
        <w:rPr>
          <w:rFonts w:ascii="Arial" w:eastAsia="Arial" w:hAnsi="Arial" w:cs="Arial"/>
          <w:color w:val="000000"/>
          <w:sz w:val="20"/>
          <w:szCs w:val="20"/>
        </w:rPr>
        <w:t xml:space="preserve"> Así como en la Jurisprudencia </w:t>
      </w:r>
      <w:r w:rsidRPr="0054090D">
        <w:rPr>
          <w:rFonts w:ascii="Arial" w:eastAsia="Arial" w:hAnsi="Arial" w:cs="Arial"/>
          <w:b/>
          <w:color w:val="000000"/>
          <w:sz w:val="20"/>
          <w:szCs w:val="20"/>
        </w:rPr>
        <w:t>24/2001</w:t>
      </w:r>
      <w:r w:rsidRPr="0054090D">
        <w:rPr>
          <w:rFonts w:ascii="Arial" w:eastAsia="Arial" w:hAnsi="Arial" w:cs="Arial"/>
          <w:color w:val="000000"/>
          <w:sz w:val="20"/>
          <w:szCs w:val="20"/>
        </w:rPr>
        <w:t xml:space="preserve"> de la Sala Superior del Tribunal Electoral del Poder Judicial de la Federación, de rubro: </w:t>
      </w:r>
      <w:r w:rsidRPr="0054090D">
        <w:rPr>
          <w:rFonts w:ascii="Arial" w:eastAsia="Arial" w:hAnsi="Arial" w:cs="Arial"/>
          <w:b/>
          <w:color w:val="000000"/>
          <w:sz w:val="20"/>
          <w:szCs w:val="20"/>
        </w:rPr>
        <w:t>“TRIBUNAL ELECTORAL DEL PODER JUDICIAL DE LA FEDERACIÓN. ESTÁ FACULTADO CONSTITUCIONALMENTE PARA EXIGIR EL CUMPLIMIENTO DE TODAS SUS RESOLUCIONES.”</w:t>
      </w:r>
    </w:p>
  </w:footnote>
  <w:footnote w:id="17">
    <w:p w14:paraId="273A728E" w14:textId="77777777" w:rsidR="00CD5A9E" w:rsidRPr="0054090D" w:rsidRDefault="00B76B80">
      <w:pPr>
        <w:pBdr>
          <w:top w:val="nil"/>
          <w:left w:val="nil"/>
          <w:bottom w:val="nil"/>
          <w:right w:val="nil"/>
          <w:between w:val="nil"/>
        </w:pBdr>
        <w:ind w:hanging="2"/>
        <w:jc w:val="both"/>
        <w:rPr>
          <w:rFonts w:ascii="Arial" w:eastAsia="Arial" w:hAnsi="Arial" w:cs="Arial"/>
          <w:color w:val="000000"/>
          <w:sz w:val="20"/>
          <w:szCs w:val="20"/>
        </w:rPr>
      </w:pPr>
      <w:r w:rsidRPr="0054090D">
        <w:rPr>
          <w:rFonts w:ascii="Arial" w:hAnsi="Arial" w:cs="Arial"/>
          <w:sz w:val="20"/>
          <w:szCs w:val="20"/>
          <w:vertAlign w:val="superscript"/>
        </w:rPr>
        <w:footnoteRef/>
      </w:r>
      <w:r w:rsidRPr="0054090D">
        <w:rPr>
          <w:rFonts w:ascii="Arial" w:eastAsia="Arial" w:hAnsi="Arial" w:cs="Arial"/>
          <w:color w:val="000000"/>
          <w:sz w:val="20"/>
          <w:szCs w:val="20"/>
        </w:rPr>
        <w:t xml:space="preserve"> Con sustento en la jurisprudencia 09/2012 de la Sala Superior del Tribunal Electoral del Poder Judicial de la Federación de rubro: </w:t>
      </w:r>
      <w:r w:rsidRPr="0054090D">
        <w:rPr>
          <w:rFonts w:ascii="Arial" w:eastAsia="Arial" w:hAnsi="Arial" w:cs="Arial"/>
          <w:b/>
          <w:color w:val="000000"/>
          <w:sz w:val="20"/>
          <w:szCs w:val="20"/>
        </w:rPr>
        <w:t>“REENCAUZAMIENTO. EL ANÁLISIS DE LA PROCEDENCIA DEL MEDIO DE IMPUGNACIÓN CORRESPONDE A LA AUTORIDAD U ÓRGANO COMPETENTE”.</w:t>
      </w:r>
    </w:p>
  </w:footnote>
  <w:footnote w:id="18">
    <w:p w14:paraId="084985BC" w14:textId="77777777" w:rsidR="00CD5A9E" w:rsidRPr="0054090D" w:rsidRDefault="00B76B80">
      <w:pPr>
        <w:pBdr>
          <w:top w:val="nil"/>
          <w:left w:val="nil"/>
          <w:bottom w:val="nil"/>
          <w:right w:val="nil"/>
          <w:between w:val="nil"/>
        </w:pBdr>
        <w:ind w:hanging="2"/>
        <w:jc w:val="both"/>
        <w:rPr>
          <w:rFonts w:ascii="Arial" w:eastAsia="Arial" w:hAnsi="Arial" w:cs="Arial"/>
          <w:i/>
          <w:color w:val="000000"/>
          <w:sz w:val="20"/>
          <w:szCs w:val="20"/>
        </w:rPr>
      </w:pPr>
      <w:r w:rsidRPr="0054090D">
        <w:rPr>
          <w:rFonts w:ascii="Arial" w:hAnsi="Arial" w:cs="Arial"/>
          <w:sz w:val="20"/>
          <w:szCs w:val="20"/>
          <w:vertAlign w:val="superscript"/>
        </w:rPr>
        <w:footnoteRef/>
      </w:r>
      <w:r w:rsidRPr="0054090D">
        <w:rPr>
          <w:rFonts w:ascii="Arial" w:eastAsia="Arial" w:hAnsi="Arial" w:cs="Arial"/>
          <w:color w:val="000000"/>
          <w:sz w:val="20"/>
          <w:szCs w:val="20"/>
        </w:rPr>
        <w:t xml:space="preserve"> En adelante, </w:t>
      </w:r>
      <w:r w:rsidRPr="0054090D">
        <w:rPr>
          <w:rFonts w:ascii="Arial" w:eastAsia="Arial" w:hAnsi="Arial" w:cs="Arial"/>
          <w:i/>
          <w:color w:val="000000"/>
          <w:sz w:val="20"/>
          <w:szCs w:val="20"/>
        </w:rPr>
        <w:t>Comisión Estatal.</w:t>
      </w:r>
    </w:p>
  </w:footnote>
  <w:footnote w:id="19">
    <w:p w14:paraId="079C301A" w14:textId="77777777" w:rsidR="00CD5A9E" w:rsidRPr="0054090D" w:rsidRDefault="00B76B80">
      <w:pPr>
        <w:pBdr>
          <w:top w:val="nil"/>
          <w:left w:val="nil"/>
          <w:bottom w:val="nil"/>
          <w:right w:val="nil"/>
          <w:between w:val="nil"/>
        </w:pBdr>
        <w:jc w:val="both"/>
        <w:rPr>
          <w:rFonts w:ascii="Arial" w:eastAsia="Arial" w:hAnsi="Arial" w:cs="Arial"/>
          <w:color w:val="000000"/>
          <w:sz w:val="20"/>
          <w:szCs w:val="20"/>
        </w:rPr>
      </w:pPr>
      <w:r w:rsidRPr="0054090D">
        <w:rPr>
          <w:rFonts w:ascii="Arial" w:hAnsi="Arial" w:cs="Arial"/>
          <w:sz w:val="20"/>
          <w:szCs w:val="20"/>
          <w:vertAlign w:val="superscript"/>
        </w:rPr>
        <w:footnoteRef/>
      </w:r>
      <w:r w:rsidRPr="0054090D">
        <w:rPr>
          <w:rFonts w:ascii="Arial" w:eastAsia="Arial" w:hAnsi="Arial" w:cs="Arial"/>
          <w:color w:val="000000"/>
          <w:sz w:val="20"/>
          <w:szCs w:val="20"/>
        </w:rPr>
        <w:t xml:space="preserve"> En adelante, </w:t>
      </w:r>
      <w:r w:rsidRPr="0054090D">
        <w:rPr>
          <w:rFonts w:ascii="Arial" w:eastAsia="Arial" w:hAnsi="Arial" w:cs="Arial"/>
          <w:i/>
          <w:color w:val="000000"/>
          <w:sz w:val="20"/>
          <w:szCs w:val="20"/>
        </w:rPr>
        <w:t>Sala Superior.</w:t>
      </w:r>
    </w:p>
  </w:footnote>
  <w:footnote w:id="20">
    <w:p w14:paraId="0DEE0EC5" w14:textId="77777777" w:rsidR="00CD5A9E" w:rsidRPr="0054090D" w:rsidRDefault="00B76B80">
      <w:pPr>
        <w:pBdr>
          <w:top w:val="nil"/>
          <w:left w:val="nil"/>
          <w:bottom w:val="nil"/>
          <w:right w:val="nil"/>
          <w:between w:val="nil"/>
        </w:pBdr>
        <w:jc w:val="both"/>
        <w:rPr>
          <w:rFonts w:ascii="Arial" w:eastAsia="Arial" w:hAnsi="Arial" w:cs="Arial"/>
          <w:color w:val="000000"/>
          <w:sz w:val="20"/>
          <w:szCs w:val="20"/>
        </w:rPr>
      </w:pPr>
      <w:r w:rsidRPr="0054090D">
        <w:rPr>
          <w:rFonts w:ascii="Arial" w:hAnsi="Arial" w:cs="Arial"/>
          <w:sz w:val="20"/>
          <w:szCs w:val="20"/>
          <w:vertAlign w:val="superscript"/>
        </w:rPr>
        <w:footnoteRef/>
      </w:r>
      <w:r w:rsidRPr="0054090D">
        <w:rPr>
          <w:rFonts w:ascii="Arial" w:eastAsia="Arial" w:hAnsi="Arial" w:cs="Arial"/>
          <w:color w:val="000000"/>
          <w:sz w:val="20"/>
          <w:szCs w:val="20"/>
        </w:rPr>
        <w:t xml:space="preserve"> Foja 288.</w:t>
      </w:r>
    </w:p>
  </w:footnote>
  <w:footnote w:id="21">
    <w:p w14:paraId="00B94D53" w14:textId="77777777" w:rsidR="00CD5A9E" w:rsidRPr="0054090D" w:rsidRDefault="00B76B80">
      <w:pPr>
        <w:pBdr>
          <w:top w:val="nil"/>
          <w:left w:val="nil"/>
          <w:bottom w:val="nil"/>
          <w:right w:val="nil"/>
          <w:between w:val="nil"/>
        </w:pBdr>
        <w:jc w:val="both"/>
        <w:rPr>
          <w:rFonts w:ascii="Arial" w:eastAsia="Arial" w:hAnsi="Arial" w:cs="Arial"/>
          <w:color w:val="000000"/>
          <w:sz w:val="20"/>
          <w:szCs w:val="20"/>
        </w:rPr>
      </w:pPr>
      <w:r w:rsidRPr="0054090D">
        <w:rPr>
          <w:rFonts w:ascii="Arial" w:hAnsi="Arial" w:cs="Arial"/>
          <w:sz w:val="20"/>
          <w:szCs w:val="20"/>
          <w:vertAlign w:val="superscript"/>
        </w:rPr>
        <w:footnoteRef/>
      </w:r>
      <w:r w:rsidRPr="0054090D">
        <w:rPr>
          <w:rFonts w:ascii="Arial" w:eastAsia="Arial" w:hAnsi="Arial" w:cs="Arial"/>
          <w:color w:val="000000"/>
          <w:sz w:val="20"/>
          <w:szCs w:val="20"/>
        </w:rPr>
        <w:t xml:space="preserve"> Constancias que fueron enviadas en primer momento vía correo electrónico y posteriormente allegadas por servicio de paquetería, visible en fojas 292 a la 315.</w:t>
      </w:r>
    </w:p>
  </w:footnote>
  <w:footnote w:id="22">
    <w:p w14:paraId="5FD80DA4" w14:textId="77777777" w:rsidR="00CD5A9E" w:rsidRPr="0054090D" w:rsidRDefault="00B76B80">
      <w:pPr>
        <w:pBdr>
          <w:top w:val="nil"/>
          <w:left w:val="nil"/>
          <w:bottom w:val="nil"/>
          <w:right w:val="nil"/>
          <w:between w:val="nil"/>
        </w:pBdr>
        <w:jc w:val="both"/>
        <w:rPr>
          <w:rFonts w:ascii="Arial" w:eastAsia="Arial" w:hAnsi="Arial" w:cs="Arial"/>
          <w:color w:val="000000"/>
          <w:sz w:val="20"/>
          <w:szCs w:val="20"/>
        </w:rPr>
      </w:pPr>
      <w:r w:rsidRPr="0054090D">
        <w:rPr>
          <w:rFonts w:ascii="Arial" w:hAnsi="Arial" w:cs="Arial"/>
          <w:sz w:val="20"/>
          <w:szCs w:val="20"/>
          <w:vertAlign w:val="superscript"/>
        </w:rPr>
        <w:footnoteRef/>
      </w:r>
      <w:r w:rsidRPr="0054090D">
        <w:rPr>
          <w:rFonts w:ascii="Arial" w:eastAsia="Arial" w:hAnsi="Arial" w:cs="Arial"/>
          <w:color w:val="000000"/>
          <w:sz w:val="20"/>
          <w:szCs w:val="20"/>
        </w:rPr>
        <w:t xml:space="preserve"> Foja 366.</w:t>
      </w:r>
    </w:p>
  </w:footnote>
  <w:footnote w:id="23">
    <w:p w14:paraId="7E903806" w14:textId="77777777" w:rsidR="00CD5A9E" w:rsidRPr="0054090D" w:rsidRDefault="00B76B80">
      <w:pPr>
        <w:pBdr>
          <w:top w:val="nil"/>
          <w:left w:val="nil"/>
          <w:bottom w:val="nil"/>
          <w:right w:val="nil"/>
          <w:between w:val="nil"/>
        </w:pBdr>
        <w:jc w:val="both"/>
        <w:rPr>
          <w:rFonts w:ascii="Arial" w:eastAsia="Arial" w:hAnsi="Arial" w:cs="Arial"/>
          <w:color w:val="000000"/>
          <w:sz w:val="20"/>
          <w:szCs w:val="20"/>
        </w:rPr>
      </w:pPr>
      <w:r w:rsidRPr="0054090D">
        <w:rPr>
          <w:rFonts w:ascii="Arial" w:hAnsi="Arial" w:cs="Arial"/>
          <w:sz w:val="20"/>
          <w:szCs w:val="20"/>
          <w:vertAlign w:val="superscript"/>
        </w:rPr>
        <w:footnoteRef/>
      </w:r>
      <w:r w:rsidRPr="0054090D">
        <w:rPr>
          <w:rFonts w:ascii="Arial" w:eastAsia="Arial" w:hAnsi="Arial" w:cs="Arial"/>
          <w:color w:val="000000"/>
          <w:sz w:val="20"/>
          <w:szCs w:val="20"/>
        </w:rPr>
        <w:t xml:space="preserve"> Foja 367.</w:t>
      </w:r>
    </w:p>
  </w:footnote>
  <w:footnote w:id="24">
    <w:p w14:paraId="7DC2359D" w14:textId="77777777" w:rsidR="00CD5A9E" w:rsidRPr="0054090D" w:rsidRDefault="00B76B80">
      <w:pPr>
        <w:pBdr>
          <w:top w:val="nil"/>
          <w:left w:val="nil"/>
          <w:bottom w:val="nil"/>
          <w:right w:val="nil"/>
          <w:between w:val="nil"/>
        </w:pBdr>
        <w:jc w:val="both"/>
        <w:rPr>
          <w:rFonts w:ascii="Arial" w:eastAsia="Arial" w:hAnsi="Arial" w:cs="Arial"/>
          <w:color w:val="000000"/>
          <w:sz w:val="20"/>
          <w:szCs w:val="20"/>
        </w:rPr>
      </w:pPr>
      <w:r w:rsidRPr="0054090D">
        <w:rPr>
          <w:rFonts w:ascii="Arial" w:hAnsi="Arial" w:cs="Arial"/>
          <w:sz w:val="20"/>
          <w:szCs w:val="20"/>
          <w:vertAlign w:val="superscript"/>
        </w:rPr>
        <w:footnoteRef/>
      </w:r>
      <w:r w:rsidRPr="0054090D">
        <w:rPr>
          <w:rFonts w:ascii="Arial" w:eastAsia="Arial" w:hAnsi="Arial" w:cs="Arial"/>
          <w:color w:val="000000"/>
          <w:sz w:val="20"/>
          <w:szCs w:val="20"/>
        </w:rPr>
        <w:t xml:space="preserve"> Fojas 368 a la 369.</w:t>
      </w:r>
    </w:p>
  </w:footnote>
  <w:footnote w:id="25">
    <w:p w14:paraId="1E8FB68F" w14:textId="77777777" w:rsidR="00CD5A9E" w:rsidRPr="0054090D" w:rsidRDefault="00B76B80">
      <w:pPr>
        <w:pBdr>
          <w:top w:val="nil"/>
          <w:left w:val="nil"/>
          <w:bottom w:val="nil"/>
          <w:right w:val="nil"/>
          <w:between w:val="nil"/>
        </w:pBdr>
        <w:jc w:val="both"/>
        <w:rPr>
          <w:rFonts w:ascii="Arial" w:eastAsia="Arial" w:hAnsi="Arial" w:cs="Arial"/>
          <w:color w:val="000000"/>
          <w:sz w:val="20"/>
          <w:szCs w:val="20"/>
        </w:rPr>
      </w:pPr>
      <w:r w:rsidRPr="0054090D">
        <w:rPr>
          <w:rFonts w:ascii="Arial" w:hAnsi="Arial" w:cs="Arial"/>
          <w:sz w:val="20"/>
          <w:szCs w:val="20"/>
          <w:vertAlign w:val="superscript"/>
        </w:rPr>
        <w:footnoteRef/>
      </w:r>
      <w:r w:rsidRPr="0054090D">
        <w:rPr>
          <w:rFonts w:ascii="Arial" w:eastAsia="Arial" w:hAnsi="Arial" w:cs="Arial"/>
          <w:color w:val="000000"/>
          <w:sz w:val="20"/>
          <w:szCs w:val="20"/>
        </w:rPr>
        <w:t xml:space="preserve"> Foja 339.</w:t>
      </w:r>
    </w:p>
  </w:footnote>
  <w:footnote w:id="26">
    <w:p w14:paraId="0A5B3C6E" w14:textId="77777777" w:rsidR="00CD5A9E" w:rsidRPr="0054090D" w:rsidRDefault="00B76B80">
      <w:pPr>
        <w:pBdr>
          <w:top w:val="nil"/>
          <w:left w:val="nil"/>
          <w:bottom w:val="nil"/>
          <w:right w:val="nil"/>
          <w:between w:val="nil"/>
        </w:pBdr>
        <w:jc w:val="both"/>
        <w:rPr>
          <w:rFonts w:ascii="Arial" w:eastAsia="Arial" w:hAnsi="Arial" w:cs="Arial"/>
          <w:color w:val="000000"/>
          <w:sz w:val="20"/>
          <w:szCs w:val="20"/>
        </w:rPr>
      </w:pPr>
      <w:r w:rsidRPr="0054090D">
        <w:rPr>
          <w:rFonts w:ascii="Arial" w:hAnsi="Arial" w:cs="Arial"/>
          <w:sz w:val="20"/>
          <w:szCs w:val="20"/>
          <w:vertAlign w:val="superscript"/>
        </w:rPr>
        <w:footnoteRef/>
      </w:r>
      <w:r w:rsidRPr="0054090D">
        <w:rPr>
          <w:rFonts w:ascii="Arial" w:eastAsia="Arial" w:hAnsi="Arial" w:cs="Arial"/>
          <w:color w:val="000000"/>
          <w:sz w:val="20"/>
          <w:szCs w:val="20"/>
        </w:rPr>
        <w:t xml:space="preserve"> Foja 340.</w:t>
      </w:r>
    </w:p>
  </w:footnote>
  <w:footnote w:id="27">
    <w:p w14:paraId="692A0F71" w14:textId="77777777" w:rsidR="00CD5A9E" w:rsidRPr="0054090D" w:rsidRDefault="00B76B80">
      <w:pPr>
        <w:pBdr>
          <w:top w:val="nil"/>
          <w:left w:val="nil"/>
          <w:bottom w:val="nil"/>
          <w:right w:val="nil"/>
          <w:between w:val="nil"/>
        </w:pBdr>
        <w:jc w:val="both"/>
        <w:rPr>
          <w:rFonts w:ascii="Arial" w:eastAsia="Arial" w:hAnsi="Arial" w:cs="Arial"/>
          <w:color w:val="000000"/>
          <w:sz w:val="20"/>
          <w:szCs w:val="20"/>
        </w:rPr>
      </w:pPr>
      <w:r w:rsidRPr="0054090D">
        <w:rPr>
          <w:rFonts w:ascii="Arial" w:hAnsi="Arial" w:cs="Arial"/>
          <w:sz w:val="20"/>
          <w:szCs w:val="20"/>
          <w:vertAlign w:val="superscript"/>
        </w:rPr>
        <w:footnoteRef/>
      </w:r>
      <w:r w:rsidRPr="0054090D">
        <w:rPr>
          <w:rFonts w:ascii="Arial" w:eastAsia="Arial" w:hAnsi="Arial" w:cs="Arial"/>
          <w:color w:val="000000"/>
          <w:sz w:val="20"/>
          <w:szCs w:val="20"/>
        </w:rPr>
        <w:t xml:space="preserve"> Foja 341.</w:t>
      </w:r>
    </w:p>
  </w:footnote>
  <w:footnote w:id="28">
    <w:p w14:paraId="0D9F46D5" w14:textId="77777777" w:rsidR="00CD5A9E" w:rsidRPr="0054090D" w:rsidRDefault="00B76B80">
      <w:pPr>
        <w:pBdr>
          <w:top w:val="nil"/>
          <w:left w:val="nil"/>
          <w:bottom w:val="nil"/>
          <w:right w:val="nil"/>
          <w:between w:val="nil"/>
        </w:pBdr>
        <w:jc w:val="both"/>
        <w:rPr>
          <w:rFonts w:ascii="Arial" w:eastAsia="Arial" w:hAnsi="Arial" w:cs="Arial"/>
          <w:color w:val="000000"/>
          <w:sz w:val="20"/>
          <w:szCs w:val="20"/>
        </w:rPr>
      </w:pPr>
      <w:r w:rsidRPr="0054090D">
        <w:rPr>
          <w:rFonts w:ascii="Arial" w:hAnsi="Arial" w:cs="Arial"/>
          <w:sz w:val="20"/>
          <w:szCs w:val="20"/>
          <w:vertAlign w:val="superscript"/>
        </w:rPr>
        <w:footnoteRef/>
      </w:r>
      <w:r w:rsidRPr="0054090D">
        <w:rPr>
          <w:rFonts w:ascii="Arial" w:eastAsia="Arial" w:hAnsi="Arial" w:cs="Arial"/>
          <w:color w:val="000000"/>
          <w:sz w:val="20"/>
          <w:szCs w:val="20"/>
        </w:rPr>
        <w:t xml:space="preserve"> Fojas 342 a la 350.</w:t>
      </w:r>
    </w:p>
  </w:footnote>
  <w:footnote w:id="29">
    <w:p w14:paraId="3C7715DC" w14:textId="37246544" w:rsidR="00F72C0C" w:rsidRPr="0054090D" w:rsidRDefault="00F72C0C" w:rsidP="00F72C0C">
      <w:pPr>
        <w:pStyle w:val="Textonotapie"/>
        <w:jc w:val="both"/>
        <w:rPr>
          <w:rFonts w:ascii="Arial" w:hAnsi="Arial" w:cs="Arial"/>
        </w:rPr>
      </w:pPr>
      <w:r w:rsidRPr="0054090D">
        <w:rPr>
          <w:rStyle w:val="Refdenotaalpie"/>
          <w:rFonts w:ascii="Arial" w:hAnsi="Arial" w:cs="Arial"/>
        </w:rPr>
        <w:footnoteRef/>
      </w:r>
      <w:r w:rsidRPr="0054090D">
        <w:rPr>
          <w:rFonts w:ascii="Arial" w:hAnsi="Arial" w:cs="Arial"/>
        </w:rPr>
        <w:t xml:space="preserve"> </w:t>
      </w:r>
      <w:bookmarkStart w:id="5" w:name="_Hlk211510159"/>
      <w:r w:rsidRPr="0054090D">
        <w:rPr>
          <w:rFonts w:ascii="Arial" w:hAnsi="Arial" w:cs="Arial"/>
        </w:rPr>
        <w:t xml:space="preserve">Al tratarse de un asunto vinculado con un Proceso Electoral, conforme al artículo 8 de la </w:t>
      </w:r>
      <w:r w:rsidRPr="0054090D">
        <w:rPr>
          <w:rFonts w:ascii="Arial" w:hAnsi="Arial" w:cs="Arial"/>
          <w:i/>
          <w:iCs/>
        </w:rPr>
        <w:t>Ley de Justicia</w:t>
      </w:r>
      <w:r w:rsidRPr="0054090D">
        <w:rPr>
          <w:rFonts w:ascii="Arial" w:hAnsi="Arial" w:cs="Arial"/>
        </w:rPr>
        <w:t xml:space="preserve">, todos los días y horas se consideran hábiles. Si bien entre la notificación del </w:t>
      </w:r>
      <w:r w:rsidR="003933B0" w:rsidRPr="0054090D">
        <w:rPr>
          <w:rFonts w:ascii="Arial" w:hAnsi="Arial" w:cs="Arial"/>
        </w:rPr>
        <w:t>07</w:t>
      </w:r>
      <w:r w:rsidRPr="0054090D">
        <w:rPr>
          <w:rFonts w:ascii="Arial" w:hAnsi="Arial" w:cs="Arial"/>
        </w:rPr>
        <w:t xml:space="preserve"> de </w:t>
      </w:r>
      <w:r w:rsidR="003933B0" w:rsidRPr="0054090D">
        <w:rPr>
          <w:rFonts w:ascii="Arial" w:hAnsi="Arial" w:cs="Arial"/>
        </w:rPr>
        <w:t>agosto</w:t>
      </w:r>
      <w:r w:rsidRPr="0054090D">
        <w:rPr>
          <w:rFonts w:ascii="Arial" w:hAnsi="Arial" w:cs="Arial"/>
        </w:rPr>
        <w:t xml:space="preserve"> y la recepción del medio de impugnación por la </w:t>
      </w:r>
      <w:r w:rsidRPr="0054090D">
        <w:rPr>
          <w:rFonts w:ascii="Arial" w:hAnsi="Arial" w:cs="Arial"/>
          <w:i/>
          <w:iCs/>
        </w:rPr>
        <w:t>Comisión Nacional</w:t>
      </w:r>
      <w:r w:rsidRPr="0054090D">
        <w:rPr>
          <w:rFonts w:ascii="Arial" w:hAnsi="Arial" w:cs="Arial"/>
        </w:rPr>
        <w:t xml:space="preserve"> el </w:t>
      </w:r>
      <w:r w:rsidR="003933B0" w:rsidRPr="0054090D">
        <w:rPr>
          <w:rFonts w:ascii="Arial" w:hAnsi="Arial" w:cs="Arial"/>
        </w:rPr>
        <w:t>19</w:t>
      </w:r>
      <w:r w:rsidRPr="0054090D">
        <w:rPr>
          <w:rFonts w:ascii="Arial" w:hAnsi="Arial" w:cs="Arial"/>
        </w:rPr>
        <w:t xml:space="preserve"> del mismo mes transcurrió un lapso mayor al previsto, dicha circunstancia no actualiza un incumplimiento contumaz ni contrario a lo ordenado, atendiendo a que la </w:t>
      </w:r>
      <w:r w:rsidRPr="0054090D">
        <w:rPr>
          <w:rFonts w:ascii="Arial" w:hAnsi="Arial" w:cs="Arial"/>
          <w:i/>
          <w:iCs/>
        </w:rPr>
        <w:t xml:space="preserve">Comisión Estatal </w:t>
      </w:r>
      <w:r w:rsidRPr="0054090D">
        <w:rPr>
          <w:rFonts w:ascii="Arial" w:hAnsi="Arial" w:cs="Arial"/>
        </w:rPr>
        <w:t xml:space="preserve">tiene su sede en Morelia y la </w:t>
      </w:r>
      <w:r w:rsidRPr="0054090D">
        <w:rPr>
          <w:rFonts w:ascii="Arial" w:hAnsi="Arial" w:cs="Arial"/>
          <w:i/>
          <w:iCs/>
        </w:rPr>
        <w:t>Comisión Nacional</w:t>
      </w:r>
      <w:r w:rsidRPr="0054090D">
        <w:rPr>
          <w:rFonts w:ascii="Arial" w:hAnsi="Arial" w:cs="Arial"/>
        </w:rPr>
        <w:t xml:space="preserve"> en la Ciudad de México, lo que razonablemente explica la dilación</w:t>
      </w:r>
      <w:bookmarkEnd w:id="5"/>
      <w:r w:rsidR="007B268F" w:rsidRPr="0054090D">
        <w:rPr>
          <w:rFonts w:ascii="Arial" w:hAnsi="Arial" w:cs="Arial"/>
        </w:rPr>
        <w:t>, en forma similar se resolvió en el Acuerdo de Cumplimiento TEEM-JDC-209/2025.</w:t>
      </w:r>
    </w:p>
  </w:footnote>
  <w:footnote w:id="30">
    <w:p w14:paraId="326D189F" w14:textId="77777777" w:rsidR="00CD5A9E" w:rsidRPr="0054090D" w:rsidRDefault="00B76B80">
      <w:pPr>
        <w:pBdr>
          <w:top w:val="nil"/>
          <w:left w:val="nil"/>
          <w:bottom w:val="nil"/>
          <w:right w:val="nil"/>
          <w:between w:val="nil"/>
        </w:pBdr>
        <w:ind w:hanging="2"/>
        <w:jc w:val="both"/>
        <w:rPr>
          <w:rFonts w:ascii="Arial" w:eastAsia="Arial" w:hAnsi="Arial" w:cs="Arial"/>
          <w:color w:val="000000"/>
          <w:sz w:val="20"/>
          <w:szCs w:val="20"/>
        </w:rPr>
      </w:pPr>
      <w:r w:rsidRPr="0054090D">
        <w:rPr>
          <w:rFonts w:ascii="Arial" w:hAnsi="Arial" w:cs="Arial"/>
          <w:sz w:val="20"/>
          <w:szCs w:val="20"/>
          <w:vertAlign w:val="superscript"/>
        </w:rPr>
        <w:footnoteRef/>
      </w:r>
      <w:r w:rsidRPr="0054090D">
        <w:rPr>
          <w:rFonts w:ascii="Arial" w:eastAsia="Arial" w:hAnsi="Arial" w:cs="Arial"/>
          <w:color w:val="000000"/>
          <w:sz w:val="20"/>
          <w:szCs w:val="20"/>
        </w:rPr>
        <w:t xml:space="preserve"> Foja 288.</w:t>
      </w:r>
    </w:p>
  </w:footnote>
  <w:footnote w:id="31">
    <w:p w14:paraId="4D0BFF7F" w14:textId="77777777" w:rsidR="00CD5A9E" w:rsidRPr="0054090D" w:rsidRDefault="00B76B80">
      <w:pPr>
        <w:pBdr>
          <w:top w:val="nil"/>
          <w:left w:val="nil"/>
          <w:bottom w:val="nil"/>
          <w:right w:val="nil"/>
          <w:between w:val="nil"/>
        </w:pBdr>
        <w:jc w:val="both"/>
        <w:rPr>
          <w:rFonts w:ascii="Arial" w:eastAsia="Arial" w:hAnsi="Arial" w:cs="Arial"/>
          <w:color w:val="000000"/>
          <w:sz w:val="20"/>
          <w:szCs w:val="20"/>
        </w:rPr>
      </w:pPr>
      <w:r w:rsidRPr="0054090D">
        <w:rPr>
          <w:rFonts w:ascii="Arial" w:hAnsi="Arial" w:cs="Arial"/>
          <w:sz w:val="20"/>
          <w:szCs w:val="20"/>
          <w:vertAlign w:val="superscript"/>
        </w:rPr>
        <w:footnoteRef/>
      </w:r>
      <w:r w:rsidRPr="0054090D">
        <w:rPr>
          <w:rFonts w:ascii="Arial" w:eastAsia="Arial" w:hAnsi="Arial" w:cs="Arial"/>
          <w:color w:val="000000"/>
          <w:sz w:val="20"/>
          <w:szCs w:val="20"/>
        </w:rPr>
        <w:t xml:space="preserve"> Fojas 368 y 369.</w:t>
      </w:r>
    </w:p>
  </w:footnote>
  <w:footnote w:id="32">
    <w:p w14:paraId="605597EE" w14:textId="77777777" w:rsidR="00CD5A9E" w:rsidRPr="0054090D" w:rsidRDefault="00B76B80">
      <w:pPr>
        <w:pBdr>
          <w:top w:val="nil"/>
          <w:left w:val="nil"/>
          <w:bottom w:val="nil"/>
          <w:right w:val="nil"/>
          <w:between w:val="nil"/>
        </w:pBdr>
        <w:jc w:val="both"/>
        <w:rPr>
          <w:rFonts w:ascii="Arial" w:eastAsia="Arial" w:hAnsi="Arial" w:cs="Arial"/>
          <w:color w:val="000000"/>
          <w:sz w:val="20"/>
          <w:szCs w:val="20"/>
        </w:rPr>
      </w:pPr>
      <w:r w:rsidRPr="0054090D">
        <w:rPr>
          <w:rFonts w:ascii="Arial" w:hAnsi="Arial" w:cs="Arial"/>
          <w:sz w:val="20"/>
          <w:szCs w:val="20"/>
          <w:vertAlign w:val="superscript"/>
        </w:rPr>
        <w:footnoteRef/>
      </w:r>
      <w:r w:rsidRPr="0054090D">
        <w:rPr>
          <w:rFonts w:ascii="Arial" w:eastAsia="Arial" w:hAnsi="Arial" w:cs="Arial"/>
          <w:color w:val="000000"/>
          <w:sz w:val="20"/>
          <w:szCs w:val="20"/>
        </w:rPr>
        <w:t xml:space="preserve"> visible en fojas 292 a la 315.</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6B0232" w14:textId="77777777" w:rsidR="00CD5A9E" w:rsidRDefault="00CD5A9E">
    <w:pPr>
      <w:pBdr>
        <w:top w:val="nil"/>
        <w:left w:val="nil"/>
        <w:bottom w:val="nil"/>
        <w:right w:val="nil"/>
        <w:between w:val="nil"/>
      </w:pBdr>
      <w:ind w:hanging="2"/>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452CF9" w14:textId="77777777" w:rsidR="00CD5A9E" w:rsidRDefault="00B76B80">
    <w:pPr>
      <w:pBdr>
        <w:top w:val="nil"/>
        <w:left w:val="nil"/>
        <w:bottom w:val="nil"/>
        <w:right w:val="nil"/>
        <w:between w:val="nil"/>
      </w:pBdr>
      <w:jc w:val="right"/>
      <w:rPr>
        <w:rFonts w:ascii="Arial Narrow" w:eastAsia="Arial Narrow" w:hAnsi="Arial Narrow" w:cs="Arial Narrow"/>
        <w:color w:val="BFBFBF"/>
        <w:sz w:val="22"/>
        <w:szCs w:val="22"/>
      </w:rPr>
    </w:pPr>
    <w:r>
      <w:rPr>
        <w:noProof/>
      </w:rPr>
      <w:drawing>
        <wp:anchor distT="0" distB="0" distL="0" distR="0" simplePos="0" relativeHeight="251658240" behindDoc="1" locked="0" layoutInCell="1" hidden="0" allowOverlap="1" wp14:anchorId="6DC0E058" wp14:editId="1B6B8516">
          <wp:simplePos x="0" y="0"/>
          <wp:positionH relativeFrom="column">
            <wp:posOffset>26034</wp:posOffset>
          </wp:positionH>
          <wp:positionV relativeFrom="paragraph">
            <wp:posOffset>49530</wp:posOffset>
          </wp:positionV>
          <wp:extent cx="2165350" cy="819150"/>
          <wp:effectExtent l="0" t="0" r="0" b="0"/>
          <wp:wrapNone/>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2165350" cy="819150"/>
                  </a:xfrm>
                  <a:prstGeom prst="rect">
                    <a:avLst/>
                  </a:prstGeom>
                  <a:ln/>
                </pic:spPr>
              </pic:pic>
            </a:graphicData>
          </a:graphic>
        </wp:anchor>
      </w:drawing>
    </w:r>
  </w:p>
  <w:p w14:paraId="7EDB191B" w14:textId="77777777" w:rsidR="00CD5A9E" w:rsidRDefault="00CD5A9E">
    <w:pPr>
      <w:pBdr>
        <w:top w:val="nil"/>
        <w:left w:val="nil"/>
        <w:bottom w:val="nil"/>
        <w:right w:val="nil"/>
        <w:between w:val="nil"/>
      </w:pBdr>
      <w:jc w:val="right"/>
      <w:rPr>
        <w:rFonts w:ascii="Arial Narrow" w:eastAsia="Arial Narrow" w:hAnsi="Arial Narrow" w:cs="Arial Narrow"/>
        <w:color w:val="BFBFBF"/>
        <w:sz w:val="22"/>
        <w:szCs w:val="22"/>
      </w:rPr>
    </w:pPr>
  </w:p>
  <w:p w14:paraId="365F1A0B" w14:textId="3C822AA8" w:rsidR="00CD5A9E" w:rsidRPr="009927B7" w:rsidRDefault="009927B7">
    <w:pPr>
      <w:pBdr>
        <w:top w:val="nil"/>
        <w:left w:val="nil"/>
        <w:bottom w:val="nil"/>
        <w:right w:val="nil"/>
        <w:between w:val="nil"/>
      </w:pBdr>
      <w:jc w:val="right"/>
      <w:rPr>
        <w:rFonts w:ascii="Arial" w:eastAsia="Arial" w:hAnsi="Arial" w:cs="Arial"/>
        <w:sz w:val="18"/>
        <w:szCs w:val="18"/>
      </w:rPr>
    </w:pPr>
    <w:r w:rsidRPr="009927B7">
      <w:rPr>
        <w:rFonts w:ascii="Arial" w:eastAsia="Arial" w:hAnsi="Arial" w:cs="Arial"/>
        <w:b/>
        <w:sz w:val="18"/>
        <w:szCs w:val="18"/>
      </w:rPr>
      <w:t>Acuerdo Plenario de Cumplimiento</w:t>
    </w:r>
  </w:p>
  <w:p w14:paraId="7976EDF0" w14:textId="77777777" w:rsidR="00CD5A9E" w:rsidRDefault="00B76B80">
    <w:pPr>
      <w:pBdr>
        <w:top w:val="nil"/>
        <w:left w:val="nil"/>
        <w:bottom w:val="nil"/>
        <w:right w:val="nil"/>
        <w:between w:val="nil"/>
      </w:pBdr>
      <w:jc w:val="right"/>
      <w:rPr>
        <w:rFonts w:ascii="Arial" w:eastAsia="Arial" w:hAnsi="Arial" w:cs="Arial"/>
        <w:b/>
        <w:color w:val="000000"/>
        <w:sz w:val="14"/>
        <w:szCs w:val="14"/>
      </w:rPr>
    </w:pPr>
    <w:r>
      <w:rPr>
        <w:rFonts w:ascii="Arial" w:eastAsia="Arial" w:hAnsi="Arial" w:cs="Arial"/>
        <w:b/>
        <w:color w:val="000000"/>
        <w:sz w:val="14"/>
        <w:szCs w:val="14"/>
      </w:rPr>
      <w:t>TEEM-JDC-205/2025 y</w:t>
    </w:r>
  </w:p>
  <w:p w14:paraId="6292F723" w14:textId="77777777" w:rsidR="00CD5A9E" w:rsidRDefault="00B76B80">
    <w:pPr>
      <w:pBdr>
        <w:top w:val="nil"/>
        <w:left w:val="nil"/>
        <w:bottom w:val="nil"/>
        <w:right w:val="nil"/>
        <w:between w:val="nil"/>
      </w:pBdr>
      <w:jc w:val="right"/>
      <w:rPr>
        <w:rFonts w:ascii="Arial" w:eastAsia="Arial" w:hAnsi="Arial" w:cs="Arial"/>
        <w:b/>
        <w:color w:val="000000"/>
        <w:sz w:val="14"/>
        <w:szCs w:val="14"/>
      </w:rPr>
    </w:pPr>
    <w:r>
      <w:rPr>
        <w:rFonts w:ascii="Arial" w:eastAsia="Arial" w:hAnsi="Arial" w:cs="Arial"/>
        <w:b/>
        <w:color w:val="000000"/>
        <w:sz w:val="14"/>
        <w:szCs w:val="14"/>
      </w:rPr>
      <w:t>TEEM-JDC-206/2025</w:t>
    </w:r>
  </w:p>
  <w:p w14:paraId="3B1FE9BC" w14:textId="77777777" w:rsidR="00CD5A9E" w:rsidRDefault="00B76B80">
    <w:pPr>
      <w:pBdr>
        <w:top w:val="nil"/>
        <w:left w:val="nil"/>
        <w:bottom w:val="nil"/>
        <w:right w:val="nil"/>
        <w:between w:val="nil"/>
      </w:pBdr>
      <w:jc w:val="right"/>
      <w:rPr>
        <w:rFonts w:ascii="Arial" w:eastAsia="Arial" w:hAnsi="Arial" w:cs="Arial"/>
        <w:b/>
        <w:color w:val="000000"/>
        <w:sz w:val="14"/>
        <w:szCs w:val="14"/>
      </w:rPr>
    </w:pPr>
    <w:r>
      <w:rPr>
        <w:rFonts w:ascii="Arial" w:eastAsia="Arial" w:hAnsi="Arial" w:cs="Arial"/>
        <w:b/>
        <w:color w:val="000000"/>
        <w:sz w:val="14"/>
        <w:szCs w:val="14"/>
      </w:rPr>
      <w:t>Acumulados</w:t>
    </w:r>
  </w:p>
  <w:p w14:paraId="525699FA" w14:textId="77777777" w:rsidR="00CD5A9E" w:rsidRDefault="00CD5A9E">
    <w:pPr>
      <w:pBdr>
        <w:top w:val="nil"/>
        <w:left w:val="nil"/>
        <w:bottom w:val="nil"/>
        <w:right w:val="nil"/>
        <w:between w:val="nil"/>
      </w:pBdr>
      <w:jc w:val="right"/>
      <w:rPr>
        <w:rFonts w:ascii="Arial" w:eastAsia="Arial" w:hAnsi="Arial" w:cs="Arial"/>
        <w:color w:val="000000"/>
        <w:sz w:val="14"/>
        <w:szCs w:val="14"/>
      </w:rPr>
    </w:pPr>
  </w:p>
  <w:p w14:paraId="5F5DED00" w14:textId="77777777" w:rsidR="00CD5A9E" w:rsidRDefault="00CD5A9E">
    <w:pPr>
      <w:pBdr>
        <w:top w:val="nil"/>
        <w:left w:val="nil"/>
        <w:bottom w:val="nil"/>
        <w:right w:val="nil"/>
        <w:between w:val="nil"/>
      </w:pBdr>
      <w:rPr>
        <w:rFonts w:ascii="Arial" w:eastAsia="Arial" w:hAnsi="Arial" w:cs="Arial"/>
        <w:color w:val="000000"/>
        <w:sz w:val="14"/>
        <w:szCs w:val="14"/>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2FC3E6" w14:textId="77777777" w:rsidR="00CD5A9E" w:rsidRDefault="00B76B80">
    <w:r>
      <w:rPr>
        <w:noProof/>
      </w:rPr>
      <w:drawing>
        <wp:anchor distT="0" distB="0" distL="0" distR="0" simplePos="0" relativeHeight="251659264" behindDoc="1" locked="0" layoutInCell="1" hidden="0" allowOverlap="1" wp14:anchorId="06DD4CE0" wp14:editId="72DAE378">
          <wp:simplePos x="0" y="0"/>
          <wp:positionH relativeFrom="column">
            <wp:posOffset>38735</wp:posOffset>
          </wp:positionH>
          <wp:positionV relativeFrom="paragraph">
            <wp:posOffset>46355</wp:posOffset>
          </wp:positionV>
          <wp:extent cx="2165350" cy="819150"/>
          <wp:effectExtent l="0" t="0" r="0" b="0"/>
          <wp:wrapNone/>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2165350" cy="819150"/>
                  </a:xfrm>
                  <a:prstGeom prst="rect">
                    <a:avLst/>
                  </a:prstGeom>
                  <a:ln/>
                </pic:spPr>
              </pic:pic>
            </a:graphicData>
          </a:graphic>
        </wp:anchor>
      </w:drawing>
    </w:r>
  </w:p>
  <w:p w14:paraId="777B16C8" w14:textId="77777777" w:rsidR="00CD5A9E" w:rsidRDefault="00CD5A9E"/>
  <w:p w14:paraId="4825FAC1" w14:textId="77777777" w:rsidR="00CD5A9E" w:rsidRDefault="00CD5A9E">
    <w:pPr>
      <w:rPr>
        <w:sz w:val="20"/>
        <w:szCs w:val="20"/>
      </w:rPr>
    </w:pPr>
  </w:p>
  <w:p w14:paraId="7411A0F1" w14:textId="77777777" w:rsidR="00CD5A9E" w:rsidRDefault="00CD5A9E">
    <w:pPr>
      <w:rPr>
        <w:sz w:val="20"/>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931757A"/>
    <w:multiLevelType w:val="multilevel"/>
    <w:tmpl w:val="4CD8582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6D4C56D4"/>
    <w:multiLevelType w:val="multilevel"/>
    <w:tmpl w:val="B2DE5E06"/>
    <w:lvl w:ilvl="0">
      <w:start w:val="1"/>
      <w:numFmt w:val="upperLetter"/>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7E597AF2"/>
    <w:multiLevelType w:val="multilevel"/>
    <w:tmpl w:val="B8342460"/>
    <w:lvl w:ilvl="0">
      <w:start w:val="1"/>
      <w:numFmt w:val="decimal"/>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1413774658">
    <w:abstractNumId w:val="0"/>
  </w:num>
  <w:num w:numId="2" w16cid:durableId="539050060">
    <w:abstractNumId w:val="1"/>
  </w:num>
  <w:num w:numId="3" w16cid:durableId="211185459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D5A9E"/>
    <w:rsid w:val="00012D7C"/>
    <w:rsid w:val="00020B2A"/>
    <w:rsid w:val="000F41FB"/>
    <w:rsid w:val="000F647F"/>
    <w:rsid w:val="0010408D"/>
    <w:rsid w:val="00154350"/>
    <w:rsid w:val="001707D9"/>
    <w:rsid w:val="001975BE"/>
    <w:rsid w:val="001B693D"/>
    <w:rsid w:val="001C5A79"/>
    <w:rsid w:val="00257466"/>
    <w:rsid w:val="002746E3"/>
    <w:rsid w:val="002B0BA9"/>
    <w:rsid w:val="003457C5"/>
    <w:rsid w:val="003816E3"/>
    <w:rsid w:val="003933B0"/>
    <w:rsid w:val="003F2D3F"/>
    <w:rsid w:val="004006F4"/>
    <w:rsid w:val="00431700"/>
    <w:rsid w:val="00435E8E"/>
    <w:rsid w:val="00477D32"/>
    <w:rsid w:val="0054090D"/>
    <w:rsid w:val="005464AA"/>
    <w:rsid w:val="00564CA2"/>
    <w:rsid w:val="005806D2"/>
    <w:rsid w:val="00597597"/>
    <w:rsid w:val="0060585D"/>
    <w:rsid w:val="00614121"/>
    <w:rsid w:val="006418DA"/>
    <w:rsid w:val="006B3A44"/>
    <w:rsid w:val="006D5E8B"/>
    <w:rsid w:val="0078006D"/>
    <w:rsid w:val="007B268F"/>
    <w:rsid w:val="007D17E1"/>
    <w:rsid w:val="007F1DDA"/>
    <w:rsid w:val="009927B7"/>
    <w:rsid w:val="009A1EAF"/>
    <w:rsid w:val="009E4FF4"/>
    <w:rsid w:val="00A069FC"/>
    <w:rsid w:val="00A923BB"/>
    <w:rsid w:val="00B00C8D"/>
    <w:rsid w:val="00B02E53"/>
    <w:rsid w:val="00B07557"/>
    <w:rsid w:val="00B76B80"/>
    <w:rsid w:val="00B87A17"/>
    <w:rsid w:val="00BB3650"/>
    <w:rsid w:val="00CC01F0"/>
    <w:rsid w:val="00CD2A44"/>
    <w:rsid w:val="00CD5A9E"/>
    <w:rsid w:val="00D95300"/>
    <w:rsid w:val="00DD401B"/>
    <w:rsid w:val="00E63778"/>
    <w:rsid w:val="00E8618D"/>
    <w:rsid w:val="00EC49E6"/>
    <w:rsid w:val="00F075CC"/>
    <w:rsid w:val="00F72C0C"/>
    <w:rsid w:val="00F965C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4BD27E"/>
  <w15:docId w15:val="{9380CA2B-8BEF-4779-99B0-B91313A304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s"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320" w:after="80"/>
      <w:ind w:hanging="1"/>
      <w:jc w:val="center"/>
      <w:outlineLvl w:val="0"/>
    </w:pPr>
    <w:rPr>
      <w:rFonts w:ascii="Calibri" w:eastAsia="Calibri" w:hAnsi="Calibri" w:cs="Calibri"/>
      <w:color w:val="2E74B5"/>
      <w:sz w:val="40"/>
      <w:szCs w:val="40"/>
    </w:rPr>
  </w:style>
  <w:style w:type="paragraph" w:styleId="Ttulo2">
    <w:name w:val="heading 2"/>
    <w:basedOn w:val="Normal"/>
    <w:next w:val="Normal"/>
    <w:uiPriority w:val="9"/>
    <w:semiHidden/>
    <w:unhideWhenUsed/>
    <w:qFormat/>
    <w:pPr>
      <w:keepNext/>
      <w:keepLines/>
      <w:spacing w:before="160" w:after="40"/>
      <w:ind w:hanging="1"/>
      <w:jc w:val="center"/>
      <w:outlineLvl w:val="1"/>
    </w:pPr>
    <w:rPr>
      <w:rFonts w:ascii="Calibri" w:eastAsia="Calibri" w:hAnsi="Calibri" w:cs="Calibri"/>
      <w:sz w:val="32"/>
      <w:szCs w:val="32"/>
    </w:rPr>
  </w:style>
  <w:style w:type="paragraph" w:styleId="Ttulo3">
    <w:name w:val="heading 3"/>
    <w:basedOn w:val="Normal"/>
    <w:next w:val="Normal"/>
    <w:uiPriority w:val="9"/>
    <w:semiHidden/>
    <w:unhideWhenUsed/>
    <w:qFormat/>
    <w:pPr>
      <w:keepNext/>
      <w:keepLines/>
      <w:spacing w:before="160"/>
      <w:ind w:hanging="1"/>
      <w:outlineLvl w:val="2"/>
    </w:pPr>
    <w:rPr>
      <w:rFonts w:ascii="Calibri" w:eastAsia="Calibri" w:hAnsi="Calibri" w:cs="Calibri"/>
      <w:sz w:val="32"/>
      <w:szCs w:val="32"/>
    </w:rPr>
  </w:style>
  <w:style w:type="paragraph" w:styleId="Ttulo4">
    <w:name w:val="heading 4"/>
    <w:basedOn w:val="Normal"/>
    <w:next w:val="Normal"/>
    <w:uiPriority w:val="9"/>
    <w:semiHidden/>
    <w:unhideWhenUsed/>
    <w:qFormat/>
    <w:pPr>
      <w:keepNext/>
      <w:keepLines/>
      <w:spacing w:before="80" w:line="300" w:lineRule="auto"/>
      <w:ind w:hanging="1"/>
      <w:outlineLvl w:val="3"/>
    </w:pPr>
    <w:rPr>
      <w:rFonts w:ascii="Calibri" w:eastAsia="Calibri" w:hAnsi="Calibri" w:cs="Calibri"/>
      <w:i/>
      <w:sz w:val="30"/>
      <w:szCs w:val="30"/>
    </w:rPr>
  </w:style>
  <w:style w:type="paragraph" w:styleId="Ttulo5">
    <w:name w:val="heading 5"/>
    <w:basedOn w:val="Normal"/>
    <w:next w:val="Normal"/>
    <w:uiPriority w:val="9"/>
    <w:semiHidden/>
    <w:unhideWhenUsed/>
    <w:qFormat/>
    <w:pPr>
      <w:keepNext/>
      <w:keepLines/>
      <w:spacing w:before="40" w:line="300" w:lineRule="auto"/>
      <w:ind w:hanging="1"/>
      <w:outlineLvl w:val="4"/>
    </w:pPr>
    <w:rPr>
      <w:rFonts w:ascii="Calibri" w:eastAsia="Calibri" w:hAnsi="Calibri" w:cs="Calibri"/>
      <w:sz w:val="28"/>
      <w:szCs w:val="28"/>
    </w:rPr>
  </w:style>
  <w:style w:type="paragraph" w:styleId="Ttulo6">
    <w:name w:val="heading 6"/>
    <w:basedOn w:val="Normal"/>
    <w:next w:val="Normal"/>
    <w:uiPriority w:val="9"/>
    <w:semiHidden/>
    <w:unhideWhenUsed/>
    <w:qFormat/>
    <w:pPr>
      <w:keepNext/>
      <w:keepLines/>
      <w:spacing w:before="40" w:line="300" w:lineRule="auto"/>
      <w:ind w:hanging="1"/>
      <w:outlineLvl w:val="5"/>
    </w:pPr>
    <w:rPr>
      <w:rFonts w:ascii="Calibri" w:eastAsia="Calibri" w:hAnsi="Calibri" w:cs="Calibri"/>
      <w:i/>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tulo">
    <w:name w:val="Title"/>
    <w:basedOn w:val="Normal"/>
    <w:next w:val="Normal"/>
    <w:uiPriority w:val="10"/>
    <w:qFormat/>
    <w:pPr>
      <w:pBdr>
        <w:top w:val="single" w:sz="6" w:space="8" w:color="A5A5A5"/>
        <w:bottom w:val="single" w:sz="6" w:space="8" w:color="A5A5A5"/>
      </w:pBdr>
      <w:spacing w:after="400"/>
      <w:ind w:hanging="1"/>
      <w:jc w:val="center"/>
    </w:pPr>
    <w:rPr>
      <w:rFonts w:ascii="Calibri" w:eastAsia="Calibri" w:hAnsi="Calibri" w:cs="Calibri"/>
      <w:smallCaps/>
      <w:color w:val="44546A"/>
      <w:sz w:val="72"/>
      <w:szCs w:val="72"/>
    </w:r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0" w:type="dxa"/>
        <w:left w:w="108" w:type="dxa"/>
        <w:bottom w:w="0" w:type="dxa"/>
        <w:right w:w="108" w:type="dxa"/>
      </w:tblCellMar>
    </w:tblPr>
  </w:style>
  <w:style w:type="table" w:customStyle="1" w:styleId="a0">
    <w:basedOn w:val="TableNormal"/>
    <w:tblPr>
      <w:tblStyleRowBandSize w:val="1"/>
      <w:tblStyleColBandSize w:val="1"/>
      <w:tblCellMar>
        <w:top w:w="0" w:type="dxa"/>
        <w:left w:w="115" w:type="dxa"/>
        <w:bottom w:w="0" w:type="dxa"/>
        <w:right w:w="115" w:type="dxa"/>
      </w:tblCellMar>
    </w:tblPr>
  </w:style>
  <w:style w:type="table" w:customStyle="1" w:styleId="a1">
    <w:basedOn w:val="TableNormal"/>
    <w:tblPr>
      <w:tblStyleRowBandSize w:val="1"/>
      <w:tblStyleColBandSize w:val="1"/>
      <w:tblCellMar>
        <w:top w:w="0" w:type="dxa"/>
        <w:left w:w="115" w:type="dxa"/>
        <w:bottom w:w="0" w:type="dxa"/>
        <w:right w:w="115" w:type="dxa"/>
      </w:tblCellMar>
    </w:tblPr>
  </w:style>
  <w:style w:type="paragraph" w:styleId="Textonotapie">
    <w:name w:val="footnote text"/>
    <w:aliases w:val="Footnote Text Char Char Char Char Char,Footnote Text Char Char Char Char,Footnote reference,FA Fu,Footnote Text Char Char Char,Footnote Text Cha,FA Fußnotentext,FA Fuﬂnotentext,Footnote Text Char Char,FA Fu?notentext,Ca,Ca1, Car, Car3,Car"/>
    <w:basedOn w:val="Normal"/>
    <w:link w:val="TextonotapieCar"/>
    <w:uiPriority w:val="99"/>
    <w:unhideWhenUsed/>
    <w:qFormat/>
    <w:rsid w:val="00F72C0C"/>
    <w:rPr>
      <w:rFonts w:ascii="Calibri" w:eastAsia="Calibri" w:hAnsi="Calibri" w:cs="Calibri"/>
      <w:sz w:val="20"/>
      <w:szCs w:val="20"/>
      <w:lang w:val="es-MX"/>
    </w:rPr>
  </w:style>
  <w:style w:type="character" w:customStyle="1" w:styleId="TextonotapieCar">
    <w:name w:val="Texto nota pie Car"/>
    <w:aliases w:val="Footnote Text Char Char Char Char Char Car,Footnote Text Char Char Char Char Car,Footnote reference Car,FA Fu Car,Footnote Text Char Char Char Car,Footnote Text Cha Car,FA Fußnotentext Car,FA Fuﬂnotentext Car,FA Fu?notentext Car"/>
    <w:basedOn w:val="Fuentedeprrafopredeter"/>
    <w:link w:val="Textonotapie"/>
    <w:uiPriority w:val="99"/>
    <w:rsid w:val="00F72C0C"/>
    <w:rPr>
      <w:rFonts w:ascii="Calibri" w:eastAsia="Calibri" w:hAnsi="Calibri" w:cs="Calibri"/>
      <w:sz w:val="20"/>
      <w:szCs w:val="20"/>
      <w:lang w:val="es-MX"/>
    </w:rPr>
  </w:style>
  <w:style w:type="character" w:styleId="Refdenotaalpie">
    <w:name w:val="footnote reference"/>
    <w:aliases w:val="Texto de nota al pie,Footnotes refss,Appel note de bas de page,Ref. de nota al pie 2,Footnote number,referencia nota al pie,BVI fnr,f,4_G,16 Point,Superscript 6 Point,Texto nota al pie,Footnote Reference Char3,julio,Ref,ftref,juli"/>
    <w:basedOn w:val="Fuentedeprrafopredeter"/>
    <w:uiPriority w:val="99"/>
    <w:unhideWhenUsed/>
    <w:qFormat/>
    <w:rsid w:val="00F72C0C"/>
    <w:rPr>
      <w:vertAlign w:val="superscript"/>
    </w:rPr>
  </w:style>
  <w:style w:type="paragraph" w:styleId="Prrafodelista">
    <w:name w:val="List Paragraph"/>
    <w:basedOn w:val="Normal"/>
    <w:uiPriority w:val="34"/>
    <w:qFormat/>
    <w:rsid w:val="0010408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_rels/header3.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6759DC-680E-4C8E-A846-523C498691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13</Pages>
  <Words>3398</Words>
  <Characters>17840</Characters>
  <Application>Microsoft Office Word</Application>
  <DocSecurity>0</DocSecurity>
  <Lines>509</Lines>
  <Paragraphs>137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21101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Adilene</dc:creator>
  <cp:lastModifiedBy>JESÚS MUÑOZ RIO</cp:lastModifiedBy>
  <cp:revision>2</cp:revision>
  <dcterms:created xsi:type="dcterms:W3CDTF">2025-10-16T21:55:00Z</dcterms:created>
  <dcterms:modified xsi:type="dcterms:W3CDTF">2025-10-16T21:55:00Z</dcterms:modified>
</cp:coreProperties>
</file>