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right"/>
        <w:tblLook w:val="04A0" w:firstRow="1" w:lastRow="0" w:firstColumn="1" w:lastColumn="0" w:noHBand="0" w:noVBand="1"/>
      </w:tblPr>
      <w:tblGrid>
        <w:gridCol w:w="4267"/>
      </w:tblGrid>
      <w:tr w:rsidR="004D13BC" w:rsidRPr="00D233AE" w14:paraId="1C59FBF5" w14:textId="77777777" w:rsidTr="00ED20BD">
        <w:trPr>
          <w:trHeight w:val="5361"/>
          <w:jc w:val="right"/>
        </w:trPr>
        <w:tc>
          <w:tcPr>
            <w:tcW w:w="4267" w:type="dxa"/>
          </w:tcPr>
          <w:p w14:paraId="4F7F6C4B" w14:textId="77777777" w:rsidR="00B413E6" w:rsidRPr="00D233AE" w:rsidRDefault="00B413E6" w:rsidP="00B413E6">
            <w:pPr>
              <w:jc w:val="center"/>
              <w:rPr>
                <w:rFonts w:eastAsia="Arial" w:cs="Arial"/>
                <w:sz w:val="24"/>
                <w:szCs w:val="24"/>
              </w:rPr>
            </w:pPr>
            <w:bookmarkStart w:id="0" w:name="_Hlk197092866"/>
            <w:bookmarkEnd w:id="0"/>
            <w:r w:rsidRPr="00D233AE">
              <w:rPr>
                <w:rFonts w:eastAsia="Arial" w:cs="Arial"/>
                <w:b/>
                <w:sz w:val="24"/>
                <w:szCs w:val="24"/>
              </w:rPr>
              <w:t>RECURSO DE APELACIÓN</w:t>
            </w:r>
          </w:p>
          <w:p w14:paraId="666A54E2" w14:textId="77777777" w:rsidR="00B413E6" w:rsidRPr="00D233AE" w:rsidRDefault="00B413E6" w:rsidP="00B413E6">
            <w:pPr>
              <w:jc w:val="both"/>
              <w:rPr>
                <w:rFonts w:eastAsia="Arial" w:cs="Arial"/>
                <w:sz w:val="24"/>
                <w:szCs w:val="24"/>
              </w:rPr>
            </w:pPr>
          </w:p>
          <w:p w14:paraId="18474190" w14:textId="77777777" w:rsidR="00B413E6" w:rsidRPr="00D233AE" w:rsidRDefault="00B413E6" w:rsidP="00B413E6">
            <w:pPr>
              <w:jc w:val="both"/>
              <w:rPr>
                <w:rFonts w:eastAsia="Arial" w:cs="Arial"/>
                <w:sz w:val="24"/>
                <w:szCs w:val="24"/>
              </w:rPr>
            </w:pPr>
            <w:r w:rsidRPr="00D233AE">
              <w:rPr>
                <w:rFonts w:eastAsia="Arial" w:cs="Arial"/>
                <w:b/>
                <w:sz w:val="24"/>
                <w:szCs w:val="24"/>
              </w:rPr>
              <w:t>EX</w:t>
            </w:r>
            <w:r w:rsidR="00D035D6" w:rsidRPr="00D233AE">
              <w:rPr>
                <w:rFonts w:eastAsia="Arial" w:cs="Arial"/>
                <w:b/>
                <w:sz w:val="24"/>
                <w:szCs w:val="24"/>
              </w:rPr>
              <w:t xml:space="preserve">PEDIENTE: </w:t>
            </w:r>
            <w:r w:rsidR="00D035D6" w:rsidRPr="00D233AE">
              <w:rPr>
                <w:rFonts w:eastAsia="Arial" w:cs="Arial"/>
                <w:sz w:val="24"/>
                <w:szCs w:val="24"/>
              </w:rPr>
              <w:t>TEEM-RAP-025/2025</w:t>
            </w:r>
          </w:p>
          <w:p w14:paraId="00AAF487" w14:textId="77777777" w:rsidR="00B413E6" w:rsidRPr="00D233AE" w:rsidRDefault="00B413E6" w:rsidP="00B413E6">
            <w:pPr>
              <w:jc w:val="both"/>
              <w:rPr>
                <w:rFonts w:eastAsia="Arial" w:cs="Arial"/>
                <w:sz w:val="24"/>
                <w:szCs w:val="24"/>
              </w:rPr>
            </w:pPr>
          </w:p>
          <w:p w14:paraId="39738FE6" w14:textId="77777777" w:rsidR="00B413E6" w:rsidRPr="00D233AE" w:rsidRDefault="00D035D6" w:rsidP="00B413E6">
            <w:pPr>
              <w:jc w:val="both"/>
              <w:rPr>
                <w:rFonts w:eastAsia="Arial" w:cs="Arial"/>
                <w:sz w:val="24"/>
                <w:szCs w:val="24"/>
              </w:rPr>
            </w:pPr>
            <w:r w:rsidRPr="00D233AE">
              <w:rPr>
                <w:rFonts w:eastAsia="Arial" w:cs="Arial"/>
                <w:b/>
                <w:sz w:val="24"/>
                <w:szCs w:val="24"/>
              </w:rPr>
              <w:t>APELANTE:</w:t>
            </w:r>
            <w:r w:rsidRPr="00D233AE">
              <w:rPr>
                <w:rFonts w:eastAsia="Arial" w:cs="Arial"/>
                <w:sz w:val="24"/>
                <w:szCs w:val="24"/>
              </w:rPr>
              <w:t xml:space="preserve"> PARTIDO DEL TRABAJO </w:t>
            </w:r>
          </w:p>
          <w:p w14:paraId="21642E85" w14:textId="77777777" w:rsidR="00B413E6" w:rsidRPr="00D233AE" w:rsidRDefault="00B413E6" w:rsidP="00B413E6">
            <w:pPr>
              <w:jc w:val="both"/>
              <w:rPr>
                <w:rFonts w:eastAsia="Arial" w:cs="Arial"/>
                <w:sz w:val="24"/>
                <w:szCs w:val="24"/>
              </w:rPr>
            </w:pPr>
          </w:p>
          <w:p w14:paraId="1B595998" w14:textId="77777777" w:rsidR="00B413E6" w:rsidRPr="00D233AE" w:rsidRDefault="00D035D6" w:rsidP="00B413E6">
            <w:pPr>
              <w:jc w:val="both"/>
              <w:rPr>
                <w:rFonts w:eastAsia="Arial" w:cs="Arial"/>
                <w:sz w:val="24"/>
                <w:szCs w:val="24"/>
              </w:rPr>
            </w:pPr>
            <w:r w:rsidRPr="00D233AE">
              <w:rPr>
                <w:rFonts w:eastAsia="Arial" w:cs="Arial"/>
                <w:b/>
                <w:sz w:val="24"/>
                <w:szCs w:val="24"/>
              </w:rPr>
              <w:t>AUTORIDAD RESPONSABLE:</w:t>
            </w:r>
            <w:r w:rsidRPr="00D233AE">
              <w:rPr>
                <w:rFonts w:eastAsia="Arial" w:cs="Arial"/>
                <w:sz w:val="24"/>
                <w:szCs w:val="24"/>
              </w:rPr>
              <w:t xml:space="preserve"> CONSEJO GENERAL DEL INSTITUTO ELECTORAL DE MICHOACÁN</w:t>
            </w:r>
          </w:p>
          <w:p w14:paraId="4DCED550" w14:textId="77777777" w:rsidR="00B413E6" w:rsidRPr="00D233AE" w:rsidRDefault="00B413E6" w:rsidP="00B413E6">
            <w:pPr>
              <w:jc w:val="both"/>
              <w:rPr>
                <w:rFonts w:eastAsia="Arial" w:cs="Arial"/>
                <w:sz w:val="24"/>
                <w:szCs w:val="24"/>
              </w:rPr>
            </w:pPr>
          </w:p>
          <w:p w14:paraId="12DA47A4" w14:textId="77777777" w:rsidR="00B413E6" w:rsidRPr="00D233AE" w:rsidRDefault="00B413E6" w:rsidP="00B413E6">
            <w:pPr>
              <w:jc w:val="both"/>
              <w:rPr>
                <w:rFonts w:eastAsia="Arial" w:cs="Arial"/>
                <w:sz w:val="24"/>
                <w:szCs w:val="24"/>
              </w:rPr>
            </w:pPr>
            <w:r w:rsidRPr="00D233AE">
              <w:rPr>
                <w:rFonts w:eastAsia="Arial" w:cs="Arial"/>
                <w:b/>
                <w:sz w:val="24"/>
                <w:szCs w:val="24"/>
              </w:rPr>
              <w:t xml:space="preserve">MAGISTRADA </w:t>
            </w:r>
            <w:r w:rsidR="00A01DD8" w:rsidRPr="00D233AE">
              <w:rPr>
                <w:rFonts w:eastAsia="Arial" w:cs="Arial"/>
                <w:b/>
                <w:sz w:val="24"/>
                <w:szCs w:val="24"/>
              </w:rPr>
              <w:t>PONENTE</w:t>
            </w:r>
            <w:r w:rsidRPr="00D233AE">
              <w:rPr>
                <w:rFonts w:eastAsia="Arial" w:cs="Arial"/>
                <w:b/>
                <w:sz w:val="24"/>
                <w:szCs w:val="24"/>
              </w:rPr>
              <w:t>:</w:t>
            </w:r>
            <w:r w:rsidRPr="00D233AE">
              <w:rPr>
                <w:rFonts w:eastAsia="Arial" w:cs="Arial"/>
                <w:sz w:val="24"/>
                <w:szCs w:val="24"/>
              </w:rPr>
              <w:t xml:space="preserve"> YURISHA ANDRADE MORALES</w:t>
            </w:r>
          </w:p>
          <w:p w14:paraId="5AFB0F6E" w14:textId="77777777" w:rsidR="00B413E6" w:rsidRPr="00D233AE" w:rsidRDefault="00B413E6" w:rsidP="00B413E6">
            <w:pPr>
              <w:jc w:val="both"/>
              <w:rPr>
                <w:rFonts w:eastAsia="Arial" w:cs="Arial"/>
                <w:sz w:val="24"/>
                <w:szCs w:val="24"/>
              </w:rPr>
            </w:pPr>
          </w:p>
          <w:p w14:paraId="6C8BD948" w14:textId="77777777" w:rsidR="00CD79B2" w:rsidRPr="00D233AE" w:rsidRDefault="00B413E6" w:rsidP="00953C1B">
            <w:pPr>
              <w:jc w:val="both"/>
              <w:rPr>
                <w:rFonts w:eastAsia="Arial" w:cs="Arial"/>
                <w:sz w:val="24"/>
                <w:szCs w:val="24"/>
              </w:rPr>
            </w:pPr>
            <w:r w:rsidRPr="00D233AE">
              <w:rPr>
                <w:rFonts w:eastAsia="Arial" w:cs="Arial"/>
                <w:b/>
                <w:sz w:val="24"/>
                <w:szCs w:val="24"/>
              </w:rPr>
              <w:t>SECRETARIA INSTRUCTORA Y PROYECTISTA:</w:t>
            </w:r>
            <w:r w:rsidRPr="00D233AE">
              <w:rPr>
                <w:rFonts w:eastAsia="Arial" w:cs="Arial"/>
                <w:sz w:val="24"/>
                <w:szCs w:val="24"/>
              </w:rPr>
              <w:t xml:space="preserve"> MIRIAM LILIAN MARTÍNEZ GONZÁLEZ</w:t>
            </w:r>
          </w:p>
          <w:p w14:paraId="4C1B95B1" w14:textId="77777777" w:rsidR="00262F88" w:rsidRPr="00D233AE" w:rsidRDefault="00262F88" w:rsidP="00953C1B">
            <w:pPr>
              <w:jc w:val="both"/>
              <w:rPr>
                <w:rFonts w:eastAsia="Arial" w:cs="Arial"/>
                <w:sz w:val="24"/>
                <w:szCs w:val="24"/>
              </w:rPr>
            </w:pPr>
          </w:p>
          <w:p w14:paraId="594A8EED" w14:textId="77777777" w:rsidR="00262F88" w:rsidRPr="00D233AE" w:rsidRDefault="00DB65D4" w:rsidP="00953C1B">
            <w:pPr>
              <w:jc w:val="both"/>
              <w:rPr>
                <w:rFonts w:eastAsia="Arial" w:cs="Arial"/>
                <w:sz w:val="24"/>
                <w:szCs w:val="24"/>
              </w:rPr>
            </w:pPr>
            <w:r w:rsidRPr="00D233AE">
              <w:rPr>
                <w:rFonts w:eastAsia="Arial" w:cs="Arial"/>
                <w:b/>
                <w:bCs/>
                <w:sz w:val="24"/>
                <w:szCs w:val="24"/>
              </w:rPr>
              <w:t>COLABORÓ</w:t>
            </w:r>
            <w:r w:rsidR="00262F88" w:rsidRPr="00D233AE">
              <w:rPr>
                <w:rFonts w:eastAsia="Arial" w:cs="Arial"/>
                <w:sz w:val="24"/>
                <w:szCs w:val="24"/>
              </w:rPr>
              <w:t xml:space="preserve">: </w:t>
            </w:r>
            <w:r w:rsidR="00D8604D" w:rsidRPr="00D233AE">
              <w:rPr>
                <w:rFonts w:eastAsia="Arial" w:cs="Arial"/>
                <w:sz w:val="24"/>
                <w:szCs w:val="24"/>
              </w:rPr>
              <w:t xml:space="preserve">ADILENE ALMANZA </w:t>
            </w:r>
            <w:r w:rsidR="004C5979" w:rsidRPr="00D233AE">
              <w:rPr>
                <w:rFonts w:eastAsia="Arial" w:cs="Arial"/>
                <w:sz w:val="24"/>
                <w:szCs w:val="24"/>
              </w:rPr>
              <w:t xml:space="preserve">PALOMARES Y RUBÍ </w:t>
            </w:r>
            <w:r w:rsidR="006C3868" w:rsidRPr="00D233AE">
              <w:rPr>
                <w:rFonts w:eastAsia="Arial" w:cs="Arial"/>
                <w:sz w:val="24"/>
                <w:szCs w:val="24"/>
              </w:rPr>
              <w:t>ARROYO HIGUERA</w:t>
            </w:r>
          </w:p>
        </w:tc>
      </w:tr>
    </w:tbl>
    <w:p w14:paraId="4323A206" w14:textId="77777777" w:rsidR="006A41AC" w:rsidRPr="00D233AE" w:rsidRDefault="006A41AC" w:rsidP="00804CCF">
      <w:pPr>
        <w:spacing w:line="360" w:lineRule="auto"/>
        <w:rPr>
          <w:rFonts w:eastAsia="Arial" w:cs="Arial"/>
          <w:color w:val="000000"/>
          <w:sz w:val="24"/>
          <w:szCs w:val="24"/>
        </w:rPr>
      </w:pPr>
      <w:bookmarkStart w:id="1" w:name="_gjdgxs" w:colFirst="0" w:colLast="0"/>
      <w:bookmarkEnd w:id="1"/>
    </w:p>
    <w:p w14:paraId="490B869D" w14:textId="77777777" w:rsidR="00E05FC6" w:rsidRPr="00D233AE" w:rsidRDefault="002056F0" w:rsidP="00A12A65">
      <w:pPr>
        <w:spacing w:line="360" w:lineRule="auto"/>
        <w:jc w:val="right"/>
        <w:rPr>
          <w:rFonts w:eastAsia="Arial" w:cs="Arial"/>
          <w:color w:val="000000"/>
          <w:sz w:val="24"/>
          <w:szCs w:val="24"/>
        </w:rPr>
      </w:pPr>
      <w:r w:rsidRPr="00D233AE">
        <w:rPr>
          <w:rFonts w:eastAsia="Arial" w:cs="Arial"/>
          <w:color w:val="000000"/>
          <w:sz w:val="24"/>
          <w:szCs w:val="24"/>
        </w:rPr>
        <w:t>Morelia, Michoacán</w:t>
      </w:r>
      <w:r w:rsidR="00D035D6" w:rsidRPr="00D233AE">
        <w:rPr>
          <w:rFonts w:eastAsia="Arial" w:cs="Arial"/>
          <w:color w:val="000000"/>
          <w:sz w:val="24"/>
          <w:szCs w:val="24"/>
        </w:rPr>
        <w:t xml:space="preserve"> </w:t>
      </w:r>
      <w:r w:rsidR="00D233AE" w:rsidRPr="00D233AE">
        <w:rPr>
          <w:rFonts w:eastAsia="Arial" w:cs="Arial"/>
          <w:color w:val="000000"/>
          <w:sz w:val="24"/>
          <w:szCs w:val="24"/>
        </w:rPr>
        <w:t>dieciocho</w:t>
      </w:r>
      <w:r w:rsidR="001850E2" w:rsidRPr="00D233AE">
        <w:rPr>
          <w:rFonts w:eastAsia="Arial" w:cs="Arial"/>
          <w:color w:val="000000"/>
          <w:sz w:val="24"/>
          <w:szCs w:val="24"/>
        </w:rPr>
        <w:t xml:space="preserve"> de </w:t>
      </w:r>
      <w:r w:rsidR="00D035D6" w:rsidRPr="00D233AE">
        <w:rPr>
          <w:rFonts w:eastAsia="Arial" w:cs="Arial"/>
          <w:color w:val="000000"/>
          <w:sz w:val="24"/>
          <w:szCs w:val="24"/>
        </w:rPr>
        <w:t>septiembre</w:t>
      </w:r>
      <w:r w:rsidR="001850E2" w:rsidRPr="00D233AE">
        <w:rPr>
          <w:rFonts w:eastAsia="Arial" w:cs="Arial"/>
          <w:color w:val="000000"/>
          <w:sz w:val="24"/>
          <w:szCs w:val="24"/>
        </w:rPr>
        <w:t xml:space="preserve"> </w:t>
      </w:r>
      <w:r w:rsidRPr="00D233AE">
        <w:rPr>
          <w:rFonts w:eastAsia="Arial" w:cs="Arial"/>
          <w:color w:val="000000"/>
          <w:sz w:val="24"/>
          <w:szCs w:val="24"/>
        </w:rPr>
        <w:t>de dos mil veinticinco.</w:t>
      </w:r>
      <w:r w:rsidRPr="00D233AE">
        <w:rPr>
          <w:rFonts w:eastAsia="Arial" w:cs="Arial"/>
          <w:color w:val="000000"/>
          <w:sz w:val="24"/>
          <w:szCs w:val="24"/>
          <w:vertAlign w:val="superscript"/>
        </w:rPr>
        <w:footnoteReference w:id="1"/>
      </w:r>
    </w:p>
    <w:p w14:paraId="5A3804FB" w14:textId="77777777" w:rsidR="00A12A65" w:rsidRPr="00D233AE" w:rsidRDefault="00A12A65" w:rsidP="00A12A65">
      <w:pPr>
        <w:spacing w:line="360" w:lineRule="auto"/>
        <w:jc w:val="right"/>
        <w:rPr>
          <w:rFonts w:eastAsia="Arial" w:cs="Arial"/>
          <w:color w:val="000000"/>
          <w:sz w:val="24"/>
          <w:szCs w:val="24"/>
        </w:rPr>
      </w:pPr>
    </w:p>
    <w:p w14:paraId="32240A1E" w14:textId="77777777" w:rsidR="00E05FC6" w:rsidRPr="00D233AE" w:rsidRDefault="002056F0" w:rsidP="00E05FC6">
      <w:pPr>
        <w:spacing w:line="360" w:lineRule="auto"/>
        <w:jc w:val="both"/>
        <w:textAlignment w:val="baseline"/>
        <w:rPr>
          <w:rFonts w:eastAsia="Arial" w:cs="Arial"/>
          <w:sz w:val="24"/>
          <w:szCs w:val="24"/>
          <w:lang w:val="es-ES"/>
        </w:rPr>
      </w:pPr>
      <w:r w:rsidRPr="00D233AE">
        <w:rPr>
          <w:rFonts w:cs="Arial"/>
          <w:b/>
          <w:sz w:val="24"/>
          <w:szCs w:val="24"/>
        </w:rPr>
        <w:t>SENTENCIA</w:t>
      </w:r>
      <w:r w:rsidRPr="00D233AE">
        <w:rPr>
          <w:rFonts w:cs="Arial"/>
          <w:sz w:val="24"/>
          <w:szCs w:val="24"/>
        </w:rPr>
        <w:t>,</w:t>
      </w:r>
      <w:r w:rsidRPr="00D233AE">
        <w:rPr>
          <w:rFonts w:cs="Arial"/>
          <w:b/>
          <w:sz w:val="24"/>
          <w:szCs w:val="24"/>
        </w:rPr>
        <w:t xml:space="preserve"> </w:t>
      </w:r>
      <w:r w:rsidR="004D70FF" w:rsidRPr="00D233AE">
        <w:rPr>
          <w:rFonts w:eastAsia="Arial" w:cs="Arial"/>
          <w:sz w:val="24"/>
          <w:szCs w:val="24"/>
          <w:lang w:val="es-ES"/>
        </w:rPr>
        <w:t xml:space="preserve">que </w:t>
      </w:r>
      <w:r w:rsidR="004D70FF" w:rsidRPr="00D233AE">
        <w:rPr>
          <w:rFonts w:eastAsia="Arial" w:cs="Arial"/>
          <w:b/>
          <w:sz w:val="24"/>
          <w:szCs w:val="24"/>
          <w:lang w:val="es-ES"/>
        </w:rPr>
        <w:t>confirma</w:t>
      </w:r>
      <w:r w:rsidR="004D70FF" w:rsidRPr="00D233AE">
        <w:rPr>
          <w:rFonts w:eastAsia="Arial" w:cs="Arial"/>
          <w:sz w:val="24"/>
          <w:szCs w:val="24"/>
          <w:lang w:val="es-ES"/>
        </w:rPr>
        <w:t xml:space="preserve"> la resolución</w:t>
      </w:r>
      <w:r w:rsidR="004D70FF" w:rsidRPr="00D233AE">
        <w:rPr>
          <w:rFonts w:eastAsia="Calibri" w:cs="Arial"/>
          <w:sz w:val="24"/>
          <w:szCs w:val="24"/>
          <w:lang w:val="es-ES"/>
        </w:rPr>
        <w:t xml:space="preserve"> dictada por el Consejo General del Instituto Electoral de Michoacán,</w:t>
      </w:r>
      <w:r w:rsidR="004D70FF" w:rsidRPr="00D233AE">
        <w:rPr>
          <w:rStyle w:val="Refdenotaalpie"/>
          <w:rFonts w:eastAsia="Arial" w:cs="Arial"/>
          <w:color w:val="000000"/>
          <w:sz w:val="24"/>
          <w:szCs w:val="24"/>
        </w:rPr>
        <w:footnoteReference w:id="2"/>
      </w:r>
      <w:r w:rsidR="004D70FF" w:rsidRPr="00D233AE">
        <w:rPr>
          <w:rFonts w:eastAsia="Calibri" w:cs="Arial"/>
          <w:sz w:val="24"/>
          <w:szCs w:val="24"/>
          <w:lang w:val="es-ES"/>
        </w:rPr>
        <w:t xml:space="preserve"> d</w:t>
      </w:r>
      <w:r w:rsidR="004D70FF" w:rsidRPr="00D233AE">
        <w:rPr>
          <w:rFonts w:eastAsia="Arial" w:cs="Arial"/>
          <w:sz w:val="24"/>
          <w:szCs w:val="24"/>
          <w:lang w:val="es-ES"/>
        </w:rPr>
        <w:t xml:space="preserve">entro del </w:t>
      </w:r>
      <w:r w:rsidR="00537D10" w:rsidRPr="00D233AE">
        <w:rPr>
          <w:rFonts w:eastAsia="Arial" w:cs="Arial"/>
          <w:sz w:val="24"/>
          <w:szCs w:val="24"/>
          <w:lang w:val="es-ES"/>
        </w:rPr>
        <w:t>P</w:t>
      </w:r>
      <w:r w:rsidR="004D70FF" w:rsidRPr="00D233AE">
        <w:rPr>
          <w:rFonts w:eastAsia="Arial" w:cs="Arial"/>
          <w:sz w:val="24"/>
          <w:szCs w:val="24"/>
          <w:lang w:val="es-ES"/>
        </w:rPr>
        <w:t xml:space="preserve">rocedimiento </w:t>
      </w:r>
      <w:r w:rsidR="00537D10" w:rsidRPr="00D233AE">
        <w:rPr>
          <w:rFonts w:eastAsia="Arial" w:cs="Arial"/>
          <w:sz w:val="24"/>
          <w:szCs w:val="24"/>
          <w:lang w:val="es-ES"/>
        </w:rPr>
        <w:t>O</w:t>
      </w:r>
      <w:r w:rsidR="004D70FF" w:rsidRPr="00D233AE">
        <w:rPr>
          <w:rFonts w:eastAsia="Arial" w:cs="Arial"/>
          <w:sz w:val="24"/>
          <w:szCs w:val="24"/>
          <w:lang w:val="es-ES"/>
        </w:rPr>
        <w:t xml:space="preserve">rdinario </w:t>
      </w:r>
      <w:r w:rsidR="00537D10" w:rsidRPr="00D233AE">
        <w:rPr>
          <w:rFonts w:eastAsia="Arial" w:cs="Arial"/>
          <w:sz w:val="24"/>
          <w:szCs w:val="24"/>
          <w:lang w:val="es-ES"/>
        </w:rPr>
        <w:t>S</w:t>
      </w:r>
      <w:r w:rsidR="004D70FF" w:rsidRPr="00D233AE">
        <w:rPr>
          <w:rFonts w:eastAsia="Arial" w:cs="Arial"/>
          <w:sz w:val="24"/>
          <w:szCs w:val="24"/>
          <w:lang w:val="es-ES"/>
        </w:rPr>
        <w:t xml:space="preserve">ancionador </w:t>
      </w:r>
      <w:r w:rsidR="004D70FF" w:rsidRPr="00D233AE">
        <w:rPr>
          <w:rFonts w:eastAsia="Arial" w:cs="Arial"/>
          <w:b/>
          <w:bCs/>
          <w:sz w:val="24"/>
          <w:szCs w:val="24"/>
          <w:lang w:val="es-ES"/>
        </w:rPr>
        <w:t>IEM-POS-05/2025</w:t>
      </w:r>
      <w:r w:rsidR="004D70FF" w:rsidRPr="00D233AE">
        <w:rPr>
          <w:rFonts w:eastAsia="Arial" w:cs="Arial"/>
          <w:sz w:val="24"/>
          <w:szCs w:val="24"/>
          <w:lang w:val="es-ES"/>
        </w:rPr>
        <w:t>, mediante la cual</w:t>
      </w:r>
      <w:r w:rsidR="00693FFD" w:rsidRPr="00D233AE">
        <w:rPr>
          <w:rFonts w:eastAsia="Arial" w:cs="Arial"/>
          <w:sz w:val="24"/>
          <w:szCs w:val="24"/>
          <w:lang w:val="es-ES"/>
        </w:rPr>
        <w:t xml:space="preserve">, </w:t>
      </w:r>
      <w:r w:rsidR="004D70FF" w:rsidRPr="00D233AE">
        <w:rPr>
          <w:rFonts w:eastAsia="Arial" w:cs="Arial"/>
          <w:sz w:val="24"/>
          <w:szCs w:val="24"/>
          <w:lang w:val="es-ES"/>
        </w:rPr>
        <w:t>se impuso al</w:t>
      </w:r>
      <w:r w:rsidR="009664EE" w:rsidRPr="00D233AE">
        <w:rPr>
          <w:rFonts w:eastAsia="Arial" w:cs="Arial"/>
          <w:sz w:val="24"/>
          <w:szCs w:val="24"/>
          <w:lang w:val="es-ES"/>
        </w:rPr>
        <w:t xml:space="preserve"> </w:t>
      </w:r>
      <w:r w:rsidR="00D8604D" w:rsidRPr="00D233AE">
        <w:rPr>
          <w:rFonts w:eastAsia="Arial" w:cs="Arial"/>
          <w:sz w:val="24"/>
          <w:szCs w:val="24"/>
          <w:lang w:val="es-ES"/>
        </w:rPr>
        <w:t>Partido del Trabajo</w:t>
      </w:r>
      <w:r w:rsidR="004D70FF" w:rsidRPr="00D233AE">
        <w:rPr>
          <w:rFonts w:eastAsia="Arial" w:cs="Arial"/>
          <w:sz w:val="24"/>
          <w:szCs w:val="24"/>
          <w:lang w:val="es-ES"/>
        </w:rPr>
        <w:t xml:space="preserve"> una sanción económica por omisiones en </w:t>
      </w:r>
      <w:r w:rsidR="009B2692" w:rsidRPr="00D233AE">
        <w:rPr>
          <w:rFonts w:eastAsia="Arial" w:cs="Arial"/>
          <w:sz w:val="24"/>
          <w:szCs w:val="24"/>
          <w:lang w:val="es-ES"/>
        </w:rPr>
        <w:t xml:space="preserve">el </w:t>
      </w:r>
      <w:r w:rsidR="004D70FF" w:rsidRPr="00D233AE">
        <w:rPr>
          <w:rFonts w:eastAsia="Arial" w:cs="Arial"/>
          <w:sz w:val="24"/>
          <w:szCs w:val="24"/>
          <w:lang w:val="es-ES"/>
        </w:rPr>
        <w:t xml:space="preserve">cumplimiento </w:t>
      </w:r>
      <w:r w:rsidR="009B2692" w:rsidRPr="00D233AE">
        <w:rPr>
          <w:rFonts w:eastAsia="Arial" w:cs="Arial"/>
          <w:sz w:val="24"/>
          <w:szCs w:val="24"/>
          <w:lang w:val="es-ES"/>
        </w:rPr>
        <w:t xml:space="preserve">de la </w:t>
      </w:r>
      <w:r w:rsidR="009B2692" w:rsidRPr="00D233AE">
        <w:rPr>
          <w:rFonts w:eastAsia="Arial" w:cs="Arial"/>
          <w:bCs/>
          <w:sz w:val="24"/>
          <w:szCs w:val="24"/>
          <w:lang w:val="es-ES_tradnl"/>
        </w:rPr>
        <w:t>acción afirmativa a favor de personas migrantes</w:t>
      </w:r>
      <w:r w:rsidR="009124F8" w:rsidRPr="00D233AE">
        <w:rPr>
          <w:rFonts w:eastAsia="Arial" w:cs="Arial"/>
          <w:sz w:val="24"/>
          <w:szCs w:val="24"/>
          <w:lang w:val="es-ES"/>
        </w:rPr>
        <w:t>.</w:t>
      </w:r>
    </w:p>
    <w:p w14:paraId="2BA5012F" w14:textId="77777777" w:rsidR="008D05B9" w:rsidRPr="00D233AE" w:rsidRDefault="008D05B9" w:rsidP="00E05FC6">
      <w:pPr>
        <w:spacing w:line="360" w:lineRule="auto"/>
        <w:jc w:val="both"/>
        <w:textAlignment w:val="baseline"/>
        <w:rPr>
          <w:rFonts w:eastAsia="Arial" w:cs="Arial"/>
          <w:sz w:val="24"/>
          <w:szCs w:val="24"/>
          <w:lang w:val="es-ES"/>
        </w:rPr>
      </w:pPr>
    </w:p>
    <w:p w14:paraId="742B2B35" w14:textId="77777777" w:rsidR="002056F0" w:rsidRPr="00D233AE" w:rsidRDefault="00882E30" w:rsidP="00E05FC6">
      <w:pPr>
        <w:spacing w:line="360" w:lineRule="auto"/>
        <w:ind w:left="1440" w:right="15"/>
        <w:jc w:val="center"/>
        <w:textAlignment w:val="baseline"/>
        <w:rPr>
          <w:rFonts w:cs="Arial"/>
          <w:b/>
          <w:bCs/>
          <w:sz w:val="24"/>
          <w:szCs w:val="24"/>
        </w:rPr>
      </w:pPr>
      <w:r w:rsidRPr="00D233AE">
        <w:rPr>
          <w:rFonts w:cs="Arial"/>
          <w:b/>
          <w:bCs/>
          <w:sz w:val="24"/>
          <w:szCs w:val="24"/>
        </w:rPr>
        <w:t xml:space="preserve">I. </w:t>
      </w:r>
      <w:r w:rsidR="002056F0" w:rsidRPr="00D233AE">
        <w:rPr>
          <w:rFonts w:cs="Arial"/>
          <w:b/>
          <w:bCs/>
          <w:sz w:val="24"/>
          <w:szCs w:val="24"/>
        </w:rPr>
        <w:t>ANTECEDENTES</w:t>
      </w:r>
    </w:p>
    <w:p w14:paraId="372586DE" w14:textId="77777777" w:rsidR="00E05FC6" w:rsidRPr="00D233AE" w:rsidRDefault="00E05FC6" w:rsidP="00E05FC6">
      <w:pPr>
        <w:spacing w:line="360" w:lineRule="auto"/>
        <w:ind w:left="1440" w:right="15"/>
        <w:jc w:val="center"/>
        <w:textAlignment w:val="baseline"/>
        <w:rPr>
          <w:rFonts w:cs="Arial"/>
          <w:b/>
          <w:bCs/>
          <w:sz w:val="24"/>
          <w:szCs w:val="24"/>
        </w:rPr>
      </w:pPr>
    </w:p>
    <w:p w14:paraId="35B3BACE" w14:textId="77777777" w:rsidR="001A2FB5" w:rsidRPr="00D233AE" w:rsidRDefault="001A2FB5" w:rsidP="00E05FC6">
      <w:pPr>
        <w:spacing w:line="360" w:lineRule="auto"/>
        <w:ind w:right="15"/>
        <w:jc w:val="both"/>
        <w:textAlignment w:val="baseline"/>
        <w:rPr>
          <w:rFonts w:cs="Arial"/>
          <w:sz w:val="24"/>
          <w:szCs w:val="24"/>
        </w:rPr>
      </w:pPr>
      <w:r w:rsidRPr="00D233AE">
        <w:rPr>
          <w:rFonts w:cs="Arial"/>
          <w:sz w:val="24"/>
          <w:szCs w:val="24"/>
        </w:rPr>
        <w:t>De la demanda y constancias que obran en el expediente, se desprende lo siguiente:</w:t>
      </w:r>
    </w:p>
    <w:p w14:paraId="4B12479A" w14:textId="77777777" w:rsidR="00E05FC6" w:rsidRPr="00D233AE" w:rsidRDefault="00E05FC6" w:rsidP="00E05FC6">
      <w:pPr>
        <w:spacing w:line="360" w:lineRule="auto"/>
        <w:ind w:right="15"/>
        <w:jc w:val="both"/>
        <w:textAlignment w:val="baseline"/>
        <w:rPr>
          <w:rFonts w:cs="Arial"/>
          <w:sz w:val="24"/>
          <w:szCs w:val="24"/>
        </w:rPr>
      </w:pPr>
    </w:p>
    <w:p w14:paraId="1751C5D3" w14:textId="77777777" w:rsidR="0075578E" w:rsidRPr="00D233AE" w:rsidRDefault="003C2B6D" w:rsidP="00E05FC6">
      <w:pPr>
        <w:spacing w:line="360" w:lineRule="auto"/>
        <w:jc w:val="both"/>
        <w:textAlignment w:val="baseline"/>
        <w:rPr>
          <w:rFonts w:cs="Arial"/>
          <w:sz w:val="24"/>
          <w:szCs w:val="24"/>
        </w:rPr>
      </w:pPr>
      <w:bookmarkStart w:id="2" w:name="_Hlk165122978"/>
      <w:r w:rsidRPr="00D233AE">
        <w:rPr>
          <w:rFonts w:cs="Arial"/>
          <w:b/>
          <w:bCs/>
          <w:sz w:val="24"/>
          <w:szCs w:val="24"/>
        </w:rPr>
        <w:t>PRIMERO.</w:t>
      </w:r>
      <w:r w:rsidR="000A5830" w:rsidRPr="00D233AE">
        <w:rPr>
          <w:sz w:val="24"/>
          <w:szCs w:val="24"/>
        </w:rPr>
        <w:t xml:space="preserve"> </w:t>
      </w:r>
      <w:r w:rsidR="000A5830" w:rsidRPr="00D233AE">
        <w:rPr>
          <w:b/>
          <w:bCs/>
          <w:sz w:val="24"/>
          <w:szCs w:val="24"/>
        </w:rPr>
        <w:t>Requerimientos al partido político apelante</w:t>
      </w:r>
      <w:r w:rsidR="0075578E" w:rsidRPr="00D233AE">
        <w:rPr>
          <w:rFonts w:cs="Arial"/>
          <w:b/>
          <w:bCs/>
          <w:sz w:val="24"/>
          <w:szCs w:val="24"/>
        </w:rPr>
        <w:t xml:space="preserve">. </w:t>
      </w:r>
      <w:r w:rsidR="00431272" w:rsidRPr="00D233AE">
        <w:rPr>
          <w:rFonts w:cs="Arial"/>
          <w:sz w:val="24"/>
          <w:szCs w:val="24"/>
        </w:rPr>
        <w:t xml:space="preserve">Mediante oficios IEM-SE-MPAA-DIP-013/2024 y IEM-SE-MPAA-DIP-020/2024, de </w:t>
      </w:r>
      <w:r w:rsidR="0038393A" w:rsidRPr="00D233AE">
        <w:rPr>
          <w:rFonts w:cs="Arial"/>
          <w:sz w:val="24"/>
          <w:szCs w:val="24"/>
        </w:rPr>
        <w:t xml:space="preserve">veinte y veintitrés </w:t>
      </w:r>
      <w:r w:rsidR="00431272" w:rsidRPr="00D233AE">
        <w:rPr>
          <w:rFonts w:cs="Arial"/>
          <w:sz w:val="24"/>
          <w:szCs w:val="24"/>
        </w:rPr>
        <w:t xml:space="preserve">de abril de dos mil veinticuatro, </w:t>
      </w:r>
      <w:r w:rsidR="00E964CC" w:rsidRPr="00D233AE">
        <w:rPr>
          <w:rFonts w:cs="Arial"/>
          <w:sz w:val="24"/>
          <w:szCs w:val="24"/>
        </w:rPr>
        <w:t>el Instituto Electoral de Michoacán</w:t>
      </w:r>
      <w:r w:rsidR="00E964CC" w:rsidRPr="00D233AE">
        <w:rPr>
          <w:rStyle w:val="Refdenotaalpie"/>
          <w:rFonts w:cs="Arial"/>
          <w:sz w:val="24"/>
          <w:szCs w:val="24"/>
        </w:rPr>
        <w:footnoteReference w:id="3"/>
      </w:r>
      <w:r w:rsidR="00E964CC" w:rsidRPr="00D233AE">
        <w:rPr>
          <w:rFonts w:cs="Arial"/>
          <w:sz w:val="24"/>
          <w:szCs w:val="24"/>
        </w:rPr>
        <w:t xml:space="preserve"> requirió al Partido </w:t>
      </w:r>
      <w:r w:rsidR="00E964CC" w:rsidRPr="00D233AE">
        <w:rPr>
          <w:rFonts w:cs="Arial"/>
          <w:sz w:val="24"/>
          <w:szCs w:val="24"/>
        </w:rPr>
        <w:lastRenderedPageBreak/>
        <w:t>del Trabajo</w:t>
      </w:r>
      <w:r w:rsidR="00E43938" w:rsidRPr="00D233AE">
        <w:rPr>
          <w:rStyle w:val="Refdenotaalpie"/>
          <w:rFonts w:cs="Arial"/>
          <w:sz w:val="24"/>
          <w:szCs w:val="24"/>
        </w:rPr>
        <w:footnoteReference w:id="4"/>
      </w:r>
      <w:r w:rsidR="00E964CC" w:rsidRPr="00D233AE">
        <w:rPr>
          <w:rFonts w:cs="Arial"/>
          <w:sz w:val="24"/>
          <w:szCs w:val="24"/>
        </w:rPr>
        <w:t xml:space="preserve"> </w:t>
      </w:r>
      <w:r w:rsidR="00AE388B" w:rsidRPr="00D233AE">
        <w:rPr>
          <w:rFonts w:cs="Arial"/>
          <w:sz w:val="24"/>
          <w:szCs w:val="24"/>
        </w:rPr>
        <w:t>para que</w:t>
      </w:r>
      <w:r w:rsidR="00AD6218" w:rsidRPr="00D233AE">
        <w:rPr>
          <w:rFonts w:cs="Arial"/>
          <w:sz w:val="24"/>
          <w:szCs w:val="24"/>
        </w:rPr>
        <w:t>,</w:t>
      </w:r>
      <w:r w:rsidR="00AE388B" w:rsidRPr="00D233AE">
        <w:rPr>
          <w:rFonts w:cs="Arial"/>
          <w:sz w:val="24"/>
          <w:szCs w:val="24"/>
        </w:rPr>
        <w:t xml:space="preserve"> de conformidad con los artículos 18 y 20 de los Lineamientos para la configuración de acciones afirmativas en cargos de elección popular, a favor de las personas con discapacidad, de la población LGBTIAQ+, indígenas y migrantes, aplicables para el proceso electoral ordinario local 2023-2024 y, en su caso, las elecciones extraordinarias que se deriven, en el Estado de Michoacán</w:t>
      </w:r>
      <w:r w:rsidR="00554458" w:rsidRPr="00D233AE">
        <w:rPr>
          <w:rFonts w:cs="Arial"/>
          <w:sz w:val="24"/>
          <w:szCs w:val="24"/>
        </w:rPr>
        <w:t>,</w:t>
      </w:r>
      <w:r w:rsidR="00554458" w:rsidRPr="00D233AE">
        <w:rPr>
          <w:rStyle w:val="Refdenotaalpie"/>
          <w:rFonts w:cs="Arial"/>
          <w:sz w:val="24"/>
          <w:szCs w:val="24"/>
        </w:rPr>
        <w:footnoteReference w:id="5"/>
      </w:r>
      <w:r w:rsidR="00554458" w:rsidRPr="00D233AE">
        <w:rPr>
          <w:rFonts w:cs="Arial"/>
          <w:sz w:val="24"/>
          <w:szCs w:val="24"/>
        </w:rPr>
        <w:t xml:space="preserve"> </w:t>
      </w:r>
      <w:r w:rsidR="00E31FCA" w:rsidRPr="00D233AE">
        <w:rPr>
          <w:rFonts w:cs="Arial"/>
          <w:sz w:val="24"/>
          <w:szCs w:val="24"/>
        </w:rPr>
        <w:t>presentara la documentación que acreditara la calidad o condición de personas migrantes, así como la binacionalidad de los ciudadanos que postuló en la f</w:t>
      </w:r>
      <w:r w:rsidR="0038393A" w:rsidRPr="00D233AE">
        <w:rPr>
          <w:rFonts w:cs="Arial"/>
          <w:sz w:val="24"/>
          <w:szCs w:val="24"/>
        </w:rPr>
        <w:t>ó</w:t>
      </w:r>
      <w:r w:rsidR="00E31FCA" w:rsidRPr="00D233AE">
        <w:rPr>
          <w:rFonts w:cs="Arial"/>
          <w:sz w:val="24"/>
          <w:szCs w:val="24"/>
        </w:rPr>
        <w:t>rmula 6 de la candidatura de repre</w:t>
      </w:r>
      <w:r w:rsidR="00611019" w:rsidRPr="00D233AE">
        <w:rPr>
          <w:rFonts w:cs="Arial"/>
          <w:sz w:val="24"/>
          <w:szCs w:val="24"/>
        </w:rPr>
        <w:t xml:space="preserve">sentación proporcional, sin que hubiera respuesta por parte del partido </w:t>
      </w:r>
      <w:r w:rsidR="00D8604D" w:rsidRPr="00D233AE">
        <w:rPr>
          <w:rFonts w:cs="Arial"/>
          <w:sz w:val="24"/>
          <w:szCs w:val="24"/>
        </w:rPr>
        <w:t>apelante</w:t>
      </w:r>
      <w:r w:rsidR="00611019" w:rsidRPr="00D233AE">
        <w:rPr>
          <w:rFonts w:cs="Arial"/>
          <w:sz w:val="24"/>
          <w:szCs w:val="24"/>
        </w:rPr>
        <w:t xml:space="preserve"> en cuestión.</w:t>
      </w:r>
      <w:r w:rsidR="00E66D50" w:rsidRPr="00D233AE">
        <w:rPr>
          <w:rStyle w:val="Refdenotaalpie"/>
          <w:rFonts w:cs="Arial"/>
          <w:sz w:val="24"/>
          <w:szCs w:val="24"/>
        </w:rPr>
        <w:footnoteReference w:id="6"/>
      </w:r>
    </w:p>
    <w:p w14:paraId="371EF231" w14:textId="77777777" w:rsidR="00E05FC6" w:rsidRPr="00D233AE" w:rsidRDefault="00E05FC6" w:rsidP="00E05FC6">
      <w:pPr>
        <w:spacing w:line="360" w:lineRule="auto"/>
        <w:jc w:val="both"/>
        <w:textAlignment w:val="baseline"/>
        <w:rPr>
          <w:rFonts w:cs="Arial"/>
          <w:sz w:val="24"/>
          <w:szCs w:val="24"/>
        </w:rPr>
      </w:pPr>
    </w:p>
    <w:p w14:paraId="393E00AB" w14:textId="77777777" w:rsidR="00737F69" w:rsidRPr="00D233AE" w:rsidRDefault="00A33F5D" w:rsidP="00E05FC6">
      <w:pPr>
        <w:spacing w:line="360" w:lineRule="auto"/>
        <w:jc w:val="both"/>
        <w:textAlignment w:val="baseline"/>
        <w:rPr>
          <w:rFonts w:eastAsia="Aptos" w:cs="Arial"/>
          <w:bCs/>
          <w:kern w:val="2"/>
          <w:sz w:val="24"/>
          <w:szCs w:val="24"/>
          <w:lang w:val="es-ES_tradnl" w:eastAsia="en-US"/>
        </w:rPr>
      </w:pPr>
      <w:r w:rsidRPr="00D233AE">
        <w:rPr>
          <w:rFonts w:eastAsia="Aptos" w:cs="Arial"/>
          <w:b/>
          <w:kern w:val="2"/>
          <w:sz w:val="24"/>
          <w:szCs w:val="24"/>
          <w:lang w:val="es-ES_tradnl" w:eastAsia="en-US"/>
        </w:rPr>
        <w:t xml:space="preserve">SEGUNDO. </w:t>
      </w:r>
      <w:r w:rsidR="00AA6BA9" w:rsidRPr="00D233AE">
        <w:rPr>
          <w:rFonts w:eastAsia="Aptos" w:cs="Arial"/>
          <w:b/>
          <w:kern w:val="2"/>
          <w:sz w:val="24"/>
          <w:szCs w:val="24"/>
          <w:lang w:val="es-ES_tradnl" w:eastAsia="en-US"/>
        </w:rPr>
        <w:t xml:space="preserve">Vista por incumplimiento. </w:t>
      </w:r>
      <w:r w:rsidR="008B2A06" w:rsidRPr="00D233AE">
        <w:rPr>
          <w:rFonts w:eastAsia="Aptos" w:cs="Arial"/>
          <w:bCs/>
          <w:kern w:val="2"/>
          <w:sz w:val="24"/>
          <w:szCs w:val="24"/>
          <w:lang w:val="es-ES_tradnl" w:eastAsia="en-US"/>
        </w:rPr>
        <w:t>Mediante acuerdo IEM-CG-170/2024</w:t>
      </w:r>
      <w:r w:rsidR="007D5B73" w:rsidRPr="00D233AE">
        <w:rPr>
          <w:rFonts w:eastAsia="Aptos" w:cs="Arial"/>
          <w:bCs/>
          <w:kern w:val="2"/>
          <w:sz w:val="24"/>
          <w:szCs w:val="24"/>
          <w:lang w:val="es-ES_tradnl" w:eastAsia="en-US"/>
        </w:rPr>
        <w:t xml:space="preserve"> </w:t>
      </w:r>
      <w:r w:rsidR="00B4382E" w:rsidRPr="00D233AE">
        <w:rPr>
          <w:rFonts w:eastAsia="Aptos" w:cs="Arial"/>
          <w:bCs/>
          <w:kern w:val="2"/>
          <w:sz w:val="24"/>
          <w:szCs w:val="24"/>
          <w:lang w:val="es-ES_tradnl" w:eastAsia="en-US"/>
        </w:rPr>
        <w:t xml:space="preserve">se dio vista </w:t>
      </w:r>
      <w:r w:rsidR="007D5B73" w:rsidRPr="00D233AE">
        <w:rPr>
          <w:rFonts w:eastAsia="Aptos" w:cs="Arial"/>
          <w:bCs/>
          <w:kern w:val="2"/>
          <w:sz w:val="24"/>
          <w:szCs w:val="24"/>
          <w:lang w:val="es-ES_tradnl" w:eastAsia="en-US"/>
        </w:rPr>
        <w:t>a la Secretar</w:t>
      </w:r>
      <w:r w:rsidR="00C4252C" w:rsidRPr="00D233AE">
        <w:rPr>
          <w:rFonts w:eastAsia="Aptos" w:cs="Arial"/>
          <w:bCs/>
          <w:kern w:val="2"/>
          <w:sz w:val="24"/>
          <w:szCs w:val="24"/>
          <w:lang w:val="es-ES_tradnl" w:eastAsia="en-US"/>
        </w:rPr>
        <w:t>i</w:t>
      </w:r>
      <w:r w:rsidR="007D5B73" w:rsidRPr="00D233AE">
        <w:rPr>
          <w:rFonts w:eastAsia="Aptos" w:cs="Arial"/>
          <w:bCs/>
          <w:kern w:val="2"/>
          <w:sz w:val="24"/>
          <w:szCs w:val="24"/>
          <w:lang w:val="es-ES_tradnl" w:eastAsia="en-US"/>
        </w:rPr>
        <w:t xml:space="preserve">a Ejecutiva del </w:t>
      </w:r>
      <w:r w:rsidR="007D5B73" w:rsidRPr="00D233AE">
        <w:rPr>
          <w:rFonts w:eastAsia="Aptos" w:cs="Arial"/>
          <w:bCs/>
          <w:i/>
          <w:iCs/>
          <w:kern w:val="2"/>
          <w:sz w:val="24"/>
          <w:szCs w:val="24"/>
          <w:lang w:val="es-ES_tradnl" w:eastAsia="en-US"/>
        </w:rPr>
        <w:t>IEM</w:t>
      </w:r>
      <w:r w:rsidR="007D5B73" w:rsidRPr="00D233AE">
        <w:rPr>
          <w:rFonts w:eastAsia="Aptos" w:cs="Arial"/>
          <w:bCs/>
          <w:kern w:val="2"/>
          <w:sz w:val="24"/>
          <w:szCs w:val="24"/>
          <w:lang w:val="es-ES_tradnl" w:eastAsia="en-US"/>
        </w:rPr>
        <w:t xml:space="preserve">, en virtud de que, el </w:t>
      </w:r>
      <w:r w:rsidR="007D5B73" w:rsidRPr="00D233AE">
        <w:rPr>
          <w:rFonts w:eastAsia="Aptos" w:cs="Arial"/>
          <w:bCs/>
          <w:i/>
          <w:iCs/>
          <w:kern w:val="2"/>
          <w:sz w:val="24"/>
          <w:szCs w:val="24"/>
          <w:lang w:val="es-ES_tradnl" w:eastAsia="en-US"/>
        </w:rPr>
        <w:t>PT</w:t>
      </w:r>
      <w:r w:rsidR="007D5B73" w:rsidRPr="00D233AE">
        <w:rPr>
          <w:rFonts w:eastAsia="Aptos" w:cs="Arial"/>
          <w:bCs/>
          <w:kern w:val="2"/>
          <w:sz w:val="24"/>
          <w:szCs w:val="24"/>
          <w:lang w:val="es-ES_tradnl" w:eastAsia="en-US"/>
        </w:rPr>
        <w:t xml:space="preserve"> no cumplió con la acción afirmativa </w:t>
      </w:r>
      <w:r w:rsidR="00C4252C" w:rsidRPr="00D233AE">
        <w:rPr>
          <w:rFonts w:eastAsia="Aptos" w:cs="Arial"/>
          <w:bCs/>
          <w:kern w:val="2"/>
          <w:sz w:val="24"/>
          <w:szCs w:val="24"/>
          <w:lang w:val="es-ES_tradnl" w:eastAsia="en-US"/>
        </w:rPr>
        <w:t>en</w:t>
      </w:r>
      <w:r w:rsidR="007D5B73" w:rsidRPr="00D233AE">
        <w:rPr>
          <w:rFonts w:eastAsia="Aptos" w:cs="Arial"/>
          <w:bCs/>
          <w:kern w:val="2"/>
          <w:sz w:val="24"/>
          <w:szCs w:val="24"/>
          <w:lang w:val="es-ES_tradnl" w:eastAsia="en-US"/>
        </w:rPr>
        <w:t xml:space="preserve"> favor de personas migrantes.</w:t>
      </w:r>
      <w:r w:rsidR="004977AE" w:rsidRPr="00D233AE">
        <w:rPr>
          <w:rStyle w:val="Refdenotaalpie"/>
          <w:rFonts w:eastAsia="Aptos" w:cs="Arial"/>
          <w:bCs/>
          <w:kern w:val="2"/>
          <w:sz w:val="24"/>
          <w:szCs w:val="24"/>
          <w:lang w:val="es-ES_tradnl" w:eastAsia="en-US"/>
        </w:rPr>
        <w:footnoteReference w:id="7"/>
      </w:r>
    </w:p>
    <w:p w14:paraId="1AAC62CF" w14:textId="77777777" w:rsidR="00E05FC6" w:rsidRPr="00D233AE" w:rsidRDefault="00E05FC6" w:rsidP="00E05FC6">
      <w:pPr>
        <w:spacing w:line="360" w:lineRule="auto"/>
        <w:jc w:val="both"/>
        <w:textAlignment w:val="baseline"/>
        <w:rPr>
          <w:rFonts w:eastAsia="Aptos" w:cs="Arial"/>
          <w:bCs/>
          <w:kern w:val="2"/>
          <w:sz w:val="24"/>
          <w:szCs w:val="24"/>
          <w:lang w:val="es-ES_tradnl" w:eastAsia="en-US"/>
        </w:rPr>
      </w:pPr>
    </w:p>
    <w:p w14:paraId="62576C00" w14:textId="77777777" w:rsidR="00C023EC" w:rsidRPr="00D233AE" w:rsidRDefault="00A33F5D" w:rsidP="00E05FC6">
      <w:pPr>
        <w:spacing w:line="360" w:lineRule="auto"/>
        <w:jc w:val="both"/>
        <w:textAlignment w:val="baseline"/>
        <w:rPr>
          <w:rFonts w:cs="Arial"/>
          <w:sz w:val="24"/>
          <w:szCs w:val="24"/>
        </w:rPr>
      </w:pPr>
      <w:r w:rsidRPr="00D233AE">
        <w:rPr>
          <w:rFonts w:cs="Arial"/>
          <w:b/>
          <w:bCs/>
          <w:sz w:val="24"/>
          <w:szCs w:val="24"/>
        </w:rPr>
        <w:t xml:space="preserve">TERCERO. </w:t>
      </w:r>
      <w:r w:rsidR="00737F69" w:rsidRPr="00D233AE">
        <w:rPr>
          <w:rFonts w:cs="Arial"/>
          <w:b/>
          <w:bCs/>
          <w:sz w:val="24"/>
          <w:szCs w:val="24"/>
        </w:rPr>
        <w:t xml:space="preserve">Admisión </w:t>
      </w:r>
      <w:r w:rsidR="00CD4B33" w:rsidRPr="00D233AE">
        <w:rPr>
          <w:rFonts w:cs="Arial"/>
          <w:b/>
          <w:bCs/>
          <w:sz w:val="24"/>
          <w:szCs w:val="24"/>
        </w:rPr>
        <w:t>y emplazamiento</w:t>
      </w:r>
      <w:r w:rsidR="00737F69" w:rsidRPr="00D233AE">
        <w:rPr>
          <w:rFonts w:cs="Arial"/>
          <w:b/>
          <w:bCs/>
          <w:sz w:val="24"/>
          <w:szCs w:val="24"/>
        </w:rPr>
        <w:t xml:space="preserve"> del IEM-POS-</w:t>
      </w:r>
      <w:r w:rsidR="00D21B4E" w:rsidRPr="00D233AE">
        <w:rPr>
          <w:rFonts w:cs="Arial"/>
          <w:b/>
          <w:bCs/>
          <w:sz w:val="24"/>
          <w:szCs w:val="24"/>
        </w:rPr>
        <w:t xml:space="preserve">05/2025. </w:t>
      </w:r>
      <w:r w:rsidR="003E1B0E" w:rsidRPr="00D233AE">
        <w:rPr>
          <w:rFonts w:cs="Arial"/>
          <w:sz w:val="24"/>
          <w:szCs w:val="24"/>
        </w:rPr>
        <w:t xml:space="preserve">El diecisiete de febrero, se determinó reencauzar el Cuaderno de Antecedentes IEM-CA-16/2024, como procedimiento ordinario sancionador con la clave IEM-POS-05/2025, asimismo, se admitió de forma oficiosa el presente procedimiento en contra del </w:t>
      </w:r>
      <w:r w:rsidR="003E1B0E" w:rsidRPr="00D233AE">
        <w:rPr>
          <w:rFonts w:cs="Arial"/>
          <w:i/>
          <w:iCs/>
          <w:sz w:val="24"/>
          <w:szCs w:val="24"/>
        </w:rPr>
        <w:t>PT</w:t>
      </w:r>
      <w:r w:rsidR="003E1B0E" w:rsidRPr="00D233AE">
        <w:rPr>
          <w:rFonts w:cs="Arial"/>
          <w:sz w:val="24"/>
          <w:szCs w:val="24"/>
        </w:rPr>
        <w:t xml:space="preserve"> y se ordenó el inicio de la investigación por el plazo de ley.</w:t>
      </w:r>
      <w:r w:rsidR="00C023EC" w:rsidRPr="00D233AE">
        <w:rPr>
          <w:rFonts w:cs="Arial"/>
          <w:sz w:val="24"/>
          <w:szCs w:val="24"/>
        </w:rPr>
        <w:t xml:space="preserve"> Posteriormente, se emplazó al </w:t>
      </w:r>
      <w:r w:rsidR="00C023EC" w:rsidRPr="00D233AE">
        <w:rPr>
          <w:rFonts w:cs="Arial"/>
          <w:i/>
          <w:iCs/>
          <w:sz w:val="24"/>
          <w:szCs w:val="24"/>
        </w:rPr>
        <w:t>PT</w:t>
      </w:r>
      <w:r w:rsidR="00C023EC" w:rsidRPr="00D233AE">
        <w:rPr>
          <w:rFonts w:cs="Arial"/>
          <w:sz w:val="24"/>
          <w:szCs w:val="24"/>
        </w:rPr>
        <w:t>, el cual contestó en tiempo y forma a las imputaciones formuladas en su contra y ofreció las pruebas que consideró pertinentes, mismas que se tuvieron por ofrecidas, admitidas y desahogadas.</w:t>
      </w:r>
    </w:p>
    <w:p w14:paraId="4ED71CCF" w14:textId="77777777" w:rsidR="00E05FC6" w:rsidRPr="00D233AE" w:rsidRDefault="00E05FC6" w:rsidP="00E05FC6">
      <w:pPr>
        <w:spacing w:line="360" w:lineRule="auto"/>
        <w:jc w:val="both"/>
        <w:textAlignment w:val="baseline"/>
        <w:rPr>
          <w:rFonts w:cs="Arial"/>
          <w:sz w:val="24"/>
          <w:szCs w:val="24"/>
        </w:rPr>
      </w:pPr>
    </w:p>
    <w:p w14:paraId="2D78FEC0" w14:textId="77777777" w:rsidR="00F5594C" w:rsidRPr="00D233AE" w:rsidRDefault="00CD4B33" w:rsidP="00E05FC6">
      <w:pPr>
        <w:spacing w:line="360" w:lineRule="auto"/>
        <w:jc w:val="both"/>
        <w:textAlignment w:val="baseline"/>
        <w:rPr>
          <w:rFonts w:cs="Arial"/>
          <w:sz w:val="24"/>
          <w:szCs w:val="24"/>
        </w:rPr>
      </w:pPr>
      <w:r w:rsidRPr="00D233AE">
        <w:rPr>
          <w:rFonts w:cs="Arial"/>
          <w:b/>
          <w:bCs/>
          <w:sz w:val="24"/>
          <w:szCs w:val="24"/>
        </w:rPr>
        <w:t xml:space="preserve">CUARTO. Cierre del periodo de investigación y alegatos. </w:t>
      </w:r>
      <w:r w:rsidR="00390996" w:rsidRPr="00D233AE">
        <w:rPr>
          <w:rFonts w:cs="Arial"/>
          <w:sz w:val="24"/>
          <w:szCs w:val="24"/>
        </w:rPr>
        <w:t xml:space="preserve">El dos de mayo, </w:t>
      </w:r>
      <w:r w:rsidR="00D14014" w:rsidRPr="00D233AE">
        <w:rPr>
          <w:rFonts w:cs="Arial"/>
          <w:sz w:val="24"/>
          <w:szCs w:val="24"/>
        </w:rPr>
        <w:t xml:space="preserve">se declaró cerrado el periodo de investigación y se ordenó poner los autos a la vista de las partes para que formularan alegatos, consecuentemente, se tuvo al </w:t>
      </w:r>
      <w:r w:rsidR="00D14014" w:rsidRPr="00D233AE">
        <w:rPr>
          <w:rFonts w:cs="Arial"/>
          <w:i/>
          <w:iCs/>
          <w:sz w:val="24"/>
          <w:szCs w:val="24"/>
        </w:rPr>
        <w:t>PT</w:t>
      </w:r>
      <w:r w:rsidR="00D14014" w:rsidRPr="00D233AE">
        <w:rPr>
          <w:rFonts w:cs="Arial"/>
          <w:sz w:val="24"/>
          <w:szCs w:val="24"/>
        </w:rPr>
        <w:t xml:space="preserve"> rindiendo alegatos en tiempo y forma</w:t>
      </w:r>
      <w:r w:rsidR="00F5594C" w:rsidRPr="00D233AE">
        <w:rPr>
          <w:rFonts w:cs="Arial"/>
          <w:sz w:val="24"/>
          <w:szCs w:val="24"/>
        </w:rPr>
        <w:t xml:space="preserve">. </w:t>
      </w:r>
    </w:p>
    <w:p w14:paraId="15D1E584" w14:textId="77777777" w:rsidR="00E05FC6" w:rsidRPr="00D233AE" w:rsidRDefault="00E05FC6" w:rsidP="00E05FC6">
      <w:pPr>
        <w:spacing w:line="360" w:lineRule="auto"/>
        <w:jc w:val="both"/>
        <w:textAlignment w:val="baseline"/>
        <w:rPr>
          <w:rFonts w:cs="Arial"/>
          <w:sz w:val="24"/>
          <w:szCs w:val="24"/>
        </w:rPr>
      </w:pPr>
    </w:p>
    <w:p w14:paraId="305EC3A8" w14:textId="77777777" w:rsidR="00BE0901" w:rsidRPr="00D233AE" w:rsidRDefault="00BE0901" w:rsidP="00E05FC6">
      <w:pPr>
        <w:spacing w:line="360" w:lineRule="auto"/>
        <w:jc w:val="both"/>
        <w:textAlignment w:val="baseline"/>
        <w:rPr>
          <w:rFonts w:cs="Arial"/>
          <w:sz w:val="24"/>
          <w:szCs w:val="24"/>
        </w:rPr>
      </w:pPr>
      <w:r w:rsidRPr="00D233AE">
        <w:rPr>
          <w:rFonts w:cs="Arial"/>
          <w:b/>
          <w:bCs/>
          <w:sz w:val="24"/>
          <w:szCs w:val="24"/>
        </w:rPr>
        <w:t xml:space="preserve">QUINTO. Resolución del </w:t>
      </w:r>
      <w:r w:rsidRPr="00D233AE">
        <w:rPr>
          <w:rFonts w:cs="Arial"/>
          <w:b/>
          <w:bCs/>
          <w:i/>
          <w:iCs/>
          <w:sz w:val="24"/>
          <w:szCs w:val="24"/>
        </w:rPr>
        <w:t>Consejo General</w:t>
      </w:r>
      <w:r w:rsidRPr="00D233AE">
        <w:rPr>
          <w:rFonts w:cs="Arial"/>
          <w:i/>
          <w:iCs/>
          <w:sz w:val="24"/>
          <w:szCs w:val="24"/>
        </w:rPr>
        <w:t>.</w:t>
      </w:r>
      <w:r w:rsidRPr="00D233AE">
        <w:rPr>
          <w:rFonts w:cs="Arial"/>
          <w:sz w:val="24"/>
          <w:szCs w:val="24"/>
        </w:rPr>
        <w:t xml:space="preserve"> </w:t>
      </w:r>
      <w:r w:rsidR="00BA7C07" w:rsidRPr="00D233AE">
        <w:rPr>
          <w:rFonts w:cs="Arial"/>
          <w:sz w:val="24"/>
          <w:szCs w:val="24"/>
        </w:rPr>
        <w:t xml:space="preserve">En Sesión </w:t>
      </w:r>
      <w:r w:rsidR="00B175FC" w:rsidRPr="00D233AE">
        <w:rPr>
          <w:rFonts w:cs="Arial"/>
          <w:sz w:val="24"/>
          <w:szCs w:val="24"/>
        </w:rPr>
        <w:t xml:space="preserve">Extraordinaria </w:t>
      </w:r>
      <w:r w:rsidR="008D6293" w:rsidRPr="00D233AE">
        <w:rPr>
          <w:rFonts w:cs="Arial"/>
          <w:sz w:val="24"/>
          <w:szCs w:val="24"/>
        </w:rPr>
        <w:t xml:space="preserve">Urgente del Consejo General del </w:t>
      </w:r>
      <w:r w:rsidR="008D6293" w:rsidRPr="00D233AE">
        <w:rPr>
          <w:rFonts w:cs="Arial"/>
          <w:i/>
          <w:iCs/>
          <w:sz w:val="24"/>
          <w:szCs w:val="24"/>
        </w:rPr>
        <w:t xml:space="preserve">IEM </w:t>
      </w:r>
      <w:r w:rsidR="00C261E0" w:rsidRPr="00D233AE">
        <w:rPr>
          <w:rFonts w:cs="Arial"/>
          <w:sz w:val="24"/>
          <w:szCs w:val="24"/>
        </w:rPr>
        <w:t xml:space="preserve">de veintisiete de agosto, </w:t>
      </w:r>
      <w:r w:rsidR="00A300D9" w:rsidRPr="00D233AE">
        <w:rPr>
          <w:rFonts w:cs="Arial"/>
          <w:sz w:val="24"/>
          <w:szCs w:val="24"/>
        </w:rPr>
        <w:t>se emitió resolución dentro del procedimiento ordinario sancionador IEM-POS-05/2025</w:t>
      </w:r>
      <w:r w:rsidR="00460567" w:rsidRPr="00D233AE">
        <w:rPr>
          <w:rFonts w:cs="Arial"/>
          <w:sz w:val="24"/>
          <w:szCs w:val="24"/>
        </w:rPr>
        <w:t>, mediante la cual</w:t>
      </w:r>
      <w:r w:rsidR="00F80DEF" w:rsidRPr="00D233AE">
        <w:rPr>
          <w:rFonts w:cs="Arial"/>
          <w:sz w:val="24"/>
          <w:szCs w:val="24"/>
        </w:rPr>
        <w:t xml:space="preserve">, </w:t>
      </w:r>
      <w:r w:rsidR="00460567" w:rsidRPr="00D233AE">
        <w:rPr>
          <w:rFonts w:cs="Arial"/>
          <w:sz w:val="24"/>
          <w:szCs w:val="24"/>
        </w:rPr>
        <w:t xml:space="preserve">se declararon existentes las infracciones imputadas al </w:t>
      </w:r>
      <w:r w:rsidR="00460567" w:rsidRPr="00D233AE">
        <w:rPr>
          <w:rFonts w:cs="Arial"/>
          <w:i/>
          <w:iCs/>
          <w:sz w:val="24"/>
          <w:szCs w:val="24"/>
        </w:rPr>
        <w:t>PT</w:t>
      </w:r>
      <w:r w:rsidR="00460567" w:rsidRPr="00D233AE">
        <w:rPr>
          <w:rFonts w:cs="Arial"/>
          <w:sz w:val="24"/>
          <w:szCs w:val="24"/>
        </w:rPr>
        <w:t xml:space="preserve">, relativas al incumplimiento de acciones afirmativas en la vertiente de personas migrantes en el Proceso Local </w:t>
      </w:r>
      <w:r w:rsidR="00460567" w:rsidRPr="00D233AE">
        <w:rPr>
          <w:rFonts w:cs="Arial"/>
          <w:sz w:val="24"/>
          <w:szCs w:val="24"/>
        </w:rPr>
        <w:lastRenderedPageBreak/>
        <w:t>Ordinario 2023-2024</w:t>
      </w:r>
      <w:r w:rsidR="00EE6BB3" w:rsidRPr="00D233AE">
        <w:rPr>
          <w:rFonts w:cs="Arial"/>
          <w:sz w:val="24"/>
          <w:szCs w:val="24"/>
        </w:rPr>
        <w:t>, imponiéndole una multa de doscientas setenta</w:t>
      </w:r>
      <w:r w:rsidR="00C85EC2" w:rsidRPr="00D233AE">
        <w:rPr>
          <w:rFonts w:cs="Arial"/>
          <w:sz w:val="24"/>
          <w:szCs w:val="24"/>
        </w:rPr>
        <w:t xml:space="preserve"> y una</w:t>
      </w:r>
      <w:r w:rsidR="00EE6BB3" w:rsidRPr="00D233AE">
        <w:rPr>
          <w:rFonts w:cs="Arial"/>
          <w:sz w:val="24"/>
          <w:szCs w:val="24"/>
        </w:rPr>
        <w:t xml:space="preserve"> veces el valor diario de la Unidad de Medida y Actualización</w:t>
      </w:r>
      <w:r w:rsidR="00DE5CDF" w:rsidRPr="00D233AE">
        <w:rPr>
          <w:rFonts w:cs="Arial"/>
          <w:sz w:val="24"/>
          <w:szCs w:val="24"/>
        </w:rPr>
        <w:t>, equivalente a $30,660.94 (treinta mil seiscientos sesenta pesos 94/100 M.N.).</w:t>
      </w:r>
    </w:p>
    <w:p w14:paraId="3E84E18B" w14:textId="77777777" w:rsidR="00E05FC6" w:rsidRPr="00D233AE" w:rsidRDefault="00E05FC6" w:rsidP="00E05FC6">
      <w:pPr>
        <w:spacing w:line="360" w:lineRule="auto"/>
        <w:jc w:val="both"/>
        <w:textAlignment w:val="baseline"/>
        <w:rPr>
          <w:rFonts w:cs="Arial"/>
          <w:sz w:val="24"/>
          <w:szCs w:val="24"/>
        </w:rPr>
      </w:pPr>
    </w:p>
    <w:p w14:paraId="0ACD5F5A" w14:textId="77777777" w:rsidR="00AC7EB3" w:rsidRPr="00D233AE" w:rsidRDefault="00AC7EB3" w:rsidP="00E05FC6">
      <w:pPr>
        <w:spacing w:line="360" w:lineRule="auto"/>
        <w:jc w:val="both"/>
        <w:textAlignment w:val="baseline"/>
        <w:rPr>
          <w:rFonts w:cs="Arial"/>
          <w:sz w:val="24"/>
          <w:szCs w:val="24"/>
        </w:rPr>
      </w:pPr>
      <w:r w:rsidRPr="00D233AE">
        <w:rPr>
          <w:rFonts w:cs="Arial"/>
          <w:b/>
          <w:bCs/>
          <w:sz w:val="24"/>
          <w:szCs w:val="24"/>
        </w:rPr>
        <w:t xml:space="preserve">SEXTO. </w:t>
      </w:r>
      <w:r w:rsidR="008C16CC" w:rsidRPr="00D233AE">
        <w:rPr>
          <w:rFonts w:cs="Arial"/>
          <w:b/>
          <w:bCs/>
          <w:sz w:val="24"/>
          <w:szCs w:val="24"/>
        </w:rPr>
        <w:t>Recurso de apelación</w:t>
      </w:r>
      <w:r w:rsidR="008C16CC" w:rsidRPr="00D233AE">
        <w:rPr>
          <w:rFonts w:cs="Arial"/>
          <w:sz w:val="24"/>
          <w:szCs w:val="24"/>
        </w:rPr>
        <w:t xml:space="preserve">. </w:t>
      </w:r>
      <w:r w:rsidR="00717FF6" w:rsidRPr="00D233AE">
        <w:rPr>
          <w:rFonts w:cs="Arial"/>
          <w:sz w:val="24"/>
          <w:szCs w:val="24"/>
        </w:rPr>
        <w:t xml:space="preserve">El primero de septiembre, el </w:t>
      </w:r>
      <w:r w:rsidR="00717FF6" w:rsidRPr="00D233AE">
        <w:rPr>
          <w:rFonts w:cs="Arial"/>
          <w:i/>
          <w:iCs/>
          <w:sz w:val="24"/>
          <w:szCs w:val="24"/>
        </w:rPr>
        <w:t xml:space="preserve">PT </w:t>
      </w:r>
      <w:r w:rsidR="00717FF6" w:rsidRPr="00D233AE">
        <w:rPr>
          <w:rFonts w:cs="Arial"/>
          <w:sz w:val="24"/>
          <w:szCs w:val="24"/>
        </w:rPr>
        <w:t xml:space="preserve">interpuso </w:t>
      </w:r>
      <w:r w:rsidR="00F80DEF" w:rsidRPr="00D233AE">
        <w:rPr>
          <w:rFonts w:cs="Arial"/>
          <w:sz w:val="24"/>
          <w:szCs w:val="24"/>
        </w:rPr>
        <w:t xml:space="preserve">Recurso </w:t>
      </w:r>
      <w:r w:rsidR="00717FF6" w:rsidRPr="00D233AE">
        <w:rPr>
          <w:rFonts w:cs="Arial"/>
          <w:sz w:val="24"/>
          <w:szCs w:val="24"/>
        </w:rPr>
        <w:t xml:space="preserve">de </w:t>
      </w:r>
      <w:r w:rsidR="00F80DEF" w:rsidRPr="00D233AE">
        <w:rPr>
          <w:rFonts w:cs="Arial"/>
          <w:sz w:val="24"/>
          <w:szCs w:val="24"/>
        </w:rPr>
        <w:t xml:space="preserve">Apelación </w:t>
      </w:r>
      <w:r w:rsidR="00717FF6" w:rsidRPr="00D233AE">
        <w:rPr>
          <w:rFonts w:cs="Arial"/>
          <w:sz w:val="24"/>
          <w:szCs w:val="24"/>
        </w:rPr>
        <w:t>a efecto de inconformarse con la determinación señalada.</w:t>
      </w:r>
      <w:r w:rsidR="00717FF6" w:rsidRPr="00D233AE">
        <w:rPr>
          <w:rStyle w:val="Refdenotaalpie"/>
          <w:rFonts w:cs="Arial"/>
          <w:sz w:val="24"/>
          <w:szCs w:val="24"/>
        </w:rPr>
        <w:footnoteReference w:id="8"/>
      </w:r>
    </w:p>
    <w:p w14:paraId="03CFA89C" w14:textId="77777777" w:rsidR="00E05FC6" w:rsidRPr="00D233AE" w:rsidRDefault="00E05FC6" w:rsidP="00E05FC6">
      <w:pPr>
        <w:spacing w:line="360" w:lineRule="auto"/>
        <w:jc w:val="both"/>
        <w:textAlignment w:val="baseline"/>
        <w:rPr>
          <w:rFonts w:cs="Arial"/>
          <w:sz w:val="24"/>
          <w:szCs w:val="24"/>
        </w:rPr>
      </w:pPr>
    </w:p>
    <w:p w14:paraId="508422E4" w14:textId="77777777" w:rsidR="00CD4B33" w:rsidRPr="00D233AE" w:rsidRDefault="004B17C4" w:rsidP="00E05FC6">
      <w:pPr>
        <w:spacing w:line="360" w:lineRule="auto"/>
        <w:jc w:val="both"/>
        <w:textAlignment w:val="baseline"/>
        <w:rPr>
          <w:rFonts w:eastAsia="Arial" w:cs="Arial"/>
          <w:i/>
          <w:iCs/>
          <w:color w:val="000000"/>
          <w:sz w:val="24"/>
          <w:szCs w:val="24"/>
          <w:lang w:eastAsia="es-ES"/>
        </w:rPr>
      </w:pPr>
      <w:r w:rsidRPr="00D233AE">
        <w:rPr>
          <w:rFonts w:cs="Arial"/>
          <w:b/>
          <w:bCs/>
          <w:sz w:val="24"/>
          <w:szCs w:val="24"/>
        </w:rPr>
        <w:t>SÉPTIMO.</w:t>
      </w:r>
      <w:r w:rsidRPr="00D233AE">
        <w:rPr>
          <w:rFonts w:cs="Arial"/>
          <w:sz w:val="24"/>
          <w:szCs w:val="24"/>
        </w:rPr>
        <w:t xml:space="preserve"> </w:t>
      </w:r>
      <w:r w:rsidRPr="00D233AE">
        <w:rPr>
          <w:rFonts w:eastAsia="Arial" w:cs="Arial"/>
          <w:b/>
          <w:color w:val="000000"/>
          <w:sz w:val="24"/>
          <w:szCs w:val="24"/>
          <w:lang w:eastAsia="es-ES"/>
        </w:rPr>
        <w:t xml:space="preserve">Recepción, registro y turno a Ponencia. </w:t>
      </w:r>
      <w:r w:rsidRPr="00D233AE">
        <w:rPr>
          <w:rFonts w:eastAsia="Arial" w:cs="Arial"/>
          <w:color w:val="000000"/>
          <w:sz w:val="24"/>
          <w:szCs w:val="24"/>
          <w:lang w:eastAsia="es-ES"/>
        </w:rPr>
        <w:t xml:space="preserve">Mediante acuerdo de </w:t>
      </w:r>
      <w:r w:rsidR="00384971" w:rsidRPr="00D233AE">
        <w:rPr>
          <w:rFonts w:eastAsia="Arial" w:cs="Arial"/>
          <w:color w:val="000000"/>
          <w:sz w:val="24"/>
          <w:szCs w:val="24"/>
          <w:lang w:eastAsia="es-ES"/>
        </w:rPr>
        <w:t>cinco</w:t>
      </w:r>
      <w:r w:rsidRPr="00D233AE">
        <w:rPr>
          <w:rFonts w:eastAsia="Arial" w:cs="Arial"/>
          <w:color w:val="000000"/>
          <w:sz w:val="24"/>
          <w:szCs w:val="24"/>
          <w:lang w:eastAsia="es-ES"/>
        </w:rPr>
        <w:t xml:space="preserve"> de </w:t>
      </w:r>
      <w:r w:rsidR="00384971" w:rsidRPr="00D233AE">
        <w:rPr>
          <w:rFonts w:eastAsia="Arial" w:cs="Arial"/>
          <w:color w:val="000000"/>
          <w:sz w:val="24"/>
          <w:szCs w:val="24"/>
          <w:lang w:eastAsia="es-ES"/>
        </w:rPr>
        <w:t>septiembre</w:t>
      </w:r>
      <w:r w:rsidRPr="00D233AE">
        <w:rPr>
          <w:rFonts w:eastAsia="Arial" w:cs="Arial"/>
          <w:color w:val="000000"/>
          <w:sz w:val="24"/>
          <w:szCs w:val="24"/>
          <w:lang w:eastAsia="es-ES"/>
        </w:rPr>
        <w:t>, la Magistrada Presidenta de este Tribunal Electoral acordó integrar y registrar el medio de impugnación en el libro de gobierno con la clave TEEM-RAP-0</w:t>
      </w:r>
      <w:r w:rsidR="003A1173" w:rsidRPr="00D233AE">
        <w:rPr>
          <w:rFonts w:eastAsia="Arial" w:cs="Arial"/>
          <w:color w:val="000000"/>
          <w:sz w:val="24"/>
          <w:szCs w:val="24"/>
          <w:lang w:eastAsia="es-ES"/>
        </w:rPr>
        <w:t>25</w:t>
      </w:r>
      <w:r w:rsidRPr="00D233AE">
        <w:rPr>
          <w:rFonts w:eastAsia="Arial" w:cs="Arial"/>
          <w:color w:val="000000"/>
          <w:sz w:val="24"/>
          <w:szCs w:val="24"/>
          <w:lang w:eastAsia="es-ES"/>
        </w:rPr>
        <w:t>/2025 y turnarlo a la Ponencia a cargo de la Magistrada Yurisha Andrade Morales,</w:t>
      </w:r>
      <w:r w:rsidRPr="00D233AE">
        <w:rPr>
          <w:rStyle w:val="Refdenotaalpie"/>
          <w:rFonts w:eastAsia="Arial" w:cs="Arial"/>
          <w:color w:val="000000"/>
          <w:sz w:val="24"/>
          <w:szCs w:val="24"/>
          <w:lang w:eastAsia="es-ES"/>
        </w:rPr>
        <w:footnoteReference w:id="9"/>
      </w:r>
      <w:r w:rsidRPr="00D233AE">
        <w:rPr>
          <w:rFonts w:eastAsia="Arial" w:cs="Arial"/>
          <w:color w:val="000000"/>
          <w:sz w:val="24"/>
          <w:szCs w:val="24"/>
          <w:lang w:eastAsia="es-ES"/>
        </w:rPr>
        <w:t xml:space="preserve"> para los efectos previstos en el artículo 27 fracción I de la Ley de Justicia en Materia Electoral y de Participación Ciudadana del Estado de Michoacán de Ocampo</w:t>
      </w:r>
      <w:r w:rsidRPr="00D233AE">
        <w:rPr>
          <w:rFonts w:eastAsia="Arial" w:cs="Arial"/>
          <w:i/>
          <w:iCs/>
          <w:color w:val="000000"/>
          <w:sz w:val="24"/>
          <w:szCs w:val="24"/>
          <w:lang w:eastAsia="es-ES"/>
        </w:rPr>
        <w:t>.</w:t>
      </w:r>
      <w:r w:rsidRPr="00D233AE">
        <w:rPr>
          <w:rStyle w:val="Refdenotaalpie"/>
          <w:rFonts w:eastAsia="Arial" w:cs="Arial"/>
          <w:color w:val="000000"/>
          <w:sz w:val="24"/>
          <w:szCs w:val="24"/>
          <w:lang w:eastAsia="es-ES"/>
        </w:rPr>
        <w:footnoteReference w:id="10"/>
      </w:r>
    </w:p>
    <w:p w14:paraId="783B63D6" w14:textId="77777777" w:rsidR="00E05FC6" w:rsidRPr="00D233AE" w:rsidRDefault="00E05FC6" w:rsidP="00E05FC6">
      <w:pPr>
        <w:spacing w:line="360" w:lineRule="auto"/>
        <w:jc w:val="both"/>
        <w:textAlignment w:val="baseline"/>
        <w:rPr>
          <w:rFonts w:eastAsia="Arial" w:cs="Arial"/>
          <w:i/>
          <w:iCs/>
          <w:color w:val="000000"/>
          <w:sz w:val="24"/>
          <w:szCs w:val="24"/>
          <w:lang w:eastAsia="es-ES"/>
        </w:rPr>
      </w:pPr>
    </w:p>
    <w:p w14:paraId="1971EEDF" w14:textId="77777777" w:rsidR="001A2D89" w:rsidRPr="00D233AE" w:rsidRDefault="00051835" w:rsidP="00E05FC6">
      <w:pPr>
        <w:shd w:val="clear" w:color="auto" w:fill="FFFFFF"/>
        <w:spacing w:line="360" w:lineRule="auto"/>
        <w:jc w:val="both"/>
        <w:textAlignment w:val="baseline"/>
        <w:rPr>
          <w:rFonts w:eastAsia="Arial" w:cs="Arial"/>
          <w:bCs/>
          <w:color w:val="000000"/>
          <w:sz w:val="24"/>
          <w:szCs w:val="24"/>
          <w:lang w:eastAsia="es-ES"/>
        </w:rPr>
      </w:pPr>
      <w:r w:rsidRPr="00D233AE">
        <w:rPr>
          <w:rFonts w:eastAsia="Arial" w:cs="Arial"/>
          <w:b/>
          <w:bCs/>
          <w:color w:val="000000"/>
          <w:sz w:val="24"/>
          <w:szCs w:val="24"/>
          <w:lang w:eastAsia="es-ES"/>
        </w:rPr>
        <w:t xml:space="preserve">OCTAVO. </w:t>
      </w:r>
      <w:r w:rsidR="00A65DD1" w:rsidRPr="00D233AE">
        <w:rPr>
          <w:rFonts w:eastAsia="Arial" w:cs="Arial"/>
          <w:b/>
          <w:sz w:val="24"/>
          <w:szCs w:val="24"/>
        </w:rPr>
        <w:t>Radicación</w:t>
      </w:r>
      <w:r w:rsidR="00A54C6E" w:rsidRPr="00D233AE">
        <w:rPr>
          <w:rFonts w:eastAsia="Arial" w:cs="Arial"/>
          <w:b/>
          <w:sz w:val="24"/>
          <w:szCs w:val="24"/>
        </w:rPr>
        <w:t xml:space="preserve">, </w:t>
      </w:r>
      <w:r w:rsidR="00A65DD1" w:rsidRPr="00D233AE">
        <w:rPr>
          <w:rFonts w:eastAsia="Arial" w:cs="Arial"/>
          <w:b/>
          <w:sz w:val="24"/>
          <w:szCs w:val="24"/>
        </w:rPr>
        <w:t>recepción de trámite de ley</w:t>
      </w:r>
      <w:r w:rsidR="00A54C6E" w:rsidRPr="00D233AE">
        <w:rPr>
          <w:rFonts w:eastAsia="Arial" w:cs="Arial"/>
          <w:b/>
          <w:sz w:val="24"/>
          <w:szCs w:val="24"/>
        </w:rPr>
        <w:t xml:space="preserve"> y vista al apelante</w:t>
      </w:r>
      <w:r w:rsidR="00A65DD1" w:rsidRPr="00D233AE">
        <w:rPr>
          <w:rFonts w:eastAsia="Arial" w:cs="Arial"/>
          <w:b/>
          <w:sz w:val="24"/>
          <w:szCs w:val="24"/>
        </w:rPr>
        <w:t>.</w:t>
      </w:r>
      <w:r w:rsidR="00CA6641" w:rsidRPr="00D233AE">
        <w:rPr>
          <w:rFonts w:eastAsia="Arial" w:cs="Arial"/>
          <w:b/>
          <w:sz w:val="24"/>
          <w:szCs w:val="24"/>
        </w:rPr>
        <w:t xml:space="preserve"> </w:t>
      </w:r>
      <w:r w:rsidR="00BD5D68" w:rsidRPr="00D233AE">
        <w:rPr>
          <w:rFonts w:eastAsia="Arial" w:cs="Arial"/>
          <w:bCs/>
          <w:sz w:val="24"/>
          <w:szCs w:val="24"/>
        </w:rPr>
        <w:t>Por acuerdo de ocho de septiembre, se radic</w:t>
      </w:r>
      <w:r w:rsidR="00D40AFC" w:rsidRPr="00D233AE">
        <w:rPr>
          <w:rFonts w:eastAsia="Arial" w:cs="Arial"/>
          <w:bCs/>
          <w:sz w:val="24"/>
          <w:szCs w:val="24"/>
        </w:rPr>
        <w:t>ó</w:t>
      </w:r>
      <w:r w:rsidR="00BD5D68" w:rsidRPr="00D233AE">
        <w:rPr>
          <w:rFonts w:eastAsia="Arial" w:cs="Arial"/>
          <w:bCs/>
          <w:sz w:val="24"/>
          <w:szCs w:val="24"/>
        </w:rPr>
        <w:t xml:space="preserve"> el medio de impugnación y se tuvo a la autoridad responsable cumpliendo con el trámite de ley respectivo</w:t>
      </w:r>
      <w:r w:rsidR="00A54C6E" w:rsidRPr="00D233AE">
        <w:rPr>
          <w:rFonts w:eastAsia="Arial" w:cs="Arial"/>
          <w:bCs/>
          <w:sz w:val="24"/>
          <w:szCs w:val="24"/>
        </w:rPr>
        <w:t xml:space="preserve">, </w:t>
      </w:r>
      <w:r w:rsidR="00A54C6E" w:rsidRPr="00D233AE">
        <w:rPr>
          <w:rFonts w:eastAsia="Arial" w:cs="Arial"/>
          <w:color w:val="000000"/>
          <w:sz w:val="24"/>
          <w:szCs w:val="24"/>
          <w:lang w:eastAsia="es-ES"/>
        </w:rPr>
        <w:t xml:space="preserve">asimismo, </w:t>
      </w:r>
      <w:r w:rsidR="00A54C6E" w:rsidRPr="00D233AE">
        <w:rPr>
          <w:rFonts w:cs="Arial"/>
          <w:sz w:val="24"/>
          <w:szCs w:val="24"/>
        </w:rPr>
        <w:t>se ordenó dar vista a</w:t>
      </w:r>
      <w:r w:rsidR="001D19C0" w:rsidRPr="00D233AE">
        <w:rPr>
          <w:rFonts w:cs="Arial"/>
          <w:sz w:val="24"/>
          <w:szCs w:val="24"/>
        </w:rPr>
        <w:t>l a</w:t>
      </w:r>
      <w:r w:rsidR="00A54C6E" w:rsidRPr="00D233AE">
        <w:rPr>
          <w:rFonts w:cs="Arial"/>
          <w:sz w:val="24"/>
          <w:szCs w:val="24"/>
        </w:rPr>
        <w:t>pelante</w:t>
      </w:r>
      <w:r w:rsidR="00A54C6E" w:rsidRPr="00D233AE">
        <w:rPr>
          <w:rFonts w:cs="Arial"/>
          <w:i/>
          <w:iCs/>
          <w:sz w:val="24"/>
          <w:szCs w:val="24"/>
        </w:rPr>
        <w:t xml:space="preserve"> </w:t>
      </w:r>
      <w:r w:rsidR="00A54C6E" w:rsidRPr="00D233AE">
        <w:rPr>
          <w:rFonts w:cs="Arial"/>
          <w:sz w:val="24"/>
          <w:szCs w:val="24"/>
        </w:rPr>
        <w:t>con el informe circunstanciado y los anexos, para que manifestara lo que a su interés legal correspondiera</w:t>
      </w:r>
      <w:r w:rsidR="00BD5D68" w:rsidRPr="00D233AE">
        <w:rPr>
          <w:rFonts w:eastAsia="Arial" w:cs="Arial"/>
          <w:bCs/>
          <w:color w:val="000000"/>
          <w:sz w:val="24"/>
          <w:szCs w:val="24"/>
          <w:lang w:eastAsia="es-ES"/>
        </w:rPr>
        <w:t>.</w:t>
      </w:r>
      <w:r w:rsidR="00BD5D68" w:rsidRPr="00D233AE">
        <w:rPr>
          <w:rStyle w:val="Refdenotaalpie"/>
          <w:rFonts w:eastAsia="Arial" w:cs="Arial"/>
          <w:bCs/>
          <w:color w:val="000000"/>
          <w:sz w:val="24"/>
          <w:szCs w:val="24"/>
          <w:lang w:eastAsia="es-ES"/>
        </w:rPr>
        <w:footnoteReference w:id="11"/>
      </w:r>
    </w:p>
    <w:p w14:paraId="42E5AAAB" w14:textId="77777777" w:rsidR="00E05FC6" w:rsidRPr="00D233AE" w:rsidRDefault="00E05FC6" w:rsidP="00E05FC6">
      <w:pPr>
        <w:shd w:val="clear" w:color="auto" w:fill="FFFFFF"/>
        <w:spacing w:line="360" w:lineRule="auto"/>
        <w:jc w:val="both"/>
        <w:textAlignment w:val="baseline"/>
        <w:rPr>
          <w:rFonts w:cs="Arial"/>
          <w:b/>
          <w:bCs/>
          <w:sz w:val="24"/>
          <w:szCs w:val="24"/>
        </w:rPr>
      </w:pPr>
    </w:p>
    <w:p w14:paraId="7FD12ACC" w14:textId="77777777" w:rsidR="001A2D89" w:rsidRPr="00D233AE" w:rsidRDefault="007E410F" w:rsidP="001A2D89">
      <w:pPr>
        <w:spacing w:line="360" w:lineRule="auto"/>
        <w:jc w:val="both"/>
        <w:rPr>
          <w:rFonts w:cs="Arial"/>
          <w:sz w:val="24"/>
          <w:szCs w:val="24"/>
          <w:lang w:eastAsia="en-US"/>
        </w:rPr>
      </w:pPr>
      <w:r w:rsidRPr="00D233AE">
        <w:rPr>
          <w:rFonts w:eastAsia="Arial" w:cs="Arial"/>
          <w:b/>
          <w:bCs/>
          <w:color w:val="000000"/>
          <w:sz w:val="24"/>
          <w:szCs w:val="24"/>
          <w:lang w:eastAsia="es-ES"/>
        </w:rPr>
        <w:t>NOVENO</w:t>
      </w:r>
      <w:r w:rsidR="001A2D89" w:rsidRPr="00D233AE">
        <w:rPr>
          <w:rFonts w:eastAsia="Arial" w:cs="Arial"/>
          <w:b/>
          <w:bCs/>
          <w:color w:val="000000"/>
          <w:sz w:val="24"/>
          <w:szCs w:val="24"/>
          <w:lang w:eastAsia="es-ES"/>
        </w:rPr>
        <w:t>.</w:t>
      </w:r>
      <w:r w:rsidR="001A2D89" w:rsidRPr="00D233AE">
        <w:rPr>
          <w:rFonts w:eastAsia="Arial" w:cs="Arial"/>
          <w:color w:val="000000"/>
          <w:sz w:val="24"/>
          <w:szCs w:val="24"/>
          <w:lang w:eastAsia="es-ES"/>
        </w:rPr>
        <w:t xml:space="preserve"> </w:t>
      </w:r>
      <w:r w:rsidR="00F5355F" w:rsidRPr="00D233AE">
        <w:rPr>
          <w:rFonts w:cs="Arial"/>
          <w:b/>
          <w:bCs/>
          <w:sz w:val="24"/>
          <w:szCs w:val="24"/>
          <w:lang w:eastAsia="en-US"/>
        </w:rPr>
        <w:t>Contestación</w:t>
      </w:r>
      <w:r w:rsidR="001A2D89" w:rsidRPr="00D233AE">
        <w:rPr>
          <w:rFonts w:cs="Arial"/>
          <w:b/>
          <w:bCs/>
          <w:sz w:val="24"/>
          <w:szCs w:val="24"/>
          <w:lang w:eastAsia="en-US"/>
        </w:rPr>
        <w:t xml:space="preserve"> de vista. </w:t>
      </w:r>
      <w:r w:rsidR="009D4F87" w:rsidRPr="00D233AE">
        <w:rPr>
          <w:rFonts w:cs="Arial"/>
          <w:sz w:val="24"/>
          <w:szCs w:val="24"/>
          <w:lang w:eastAsia="en-US"/>
        </w:rPr>
        <w:t>El</w:t>
      </w:r>
      <w:r w:rsidR="001A2D89" w:rsidRPr="00D233AE">
        <w:rPr>
          <w:rFonts w:cs="Arial"/>
          <w:sz w:val="24"/>
          <w:szCs w:val="24"/>
          <w:lang w:eastAsia="en-US"/>
        </w:rPr>
        <w:t xml:space="preserve"> </w:t>
      </w:r>
      <w:r w:rsidR="009A7FA1" w:rsidRPr="00D233AE">
        <w:rPr>
          <w:rFonts w:cs="Arial"/>
          <w:sz w:val="24"/>
          <w:szCs w:val="24"/>
          <w:lang w:eastAsia="en-US"/>
        </w:rPr>
        <w:t>doce</w:t>
      </w:r>
      <w:r w:rsidR="001A2D89" w:rsidRPr="00D233AE">
        <w:rPr>
          <w:rFonts w:cs="Arial"/>
          <w:sz w:val="24"/>
          <w:szCs w:val="24"/>
          <w:lang w:eastAsia="en-US"/>
        </w:rPr>
        <w:t xml:space="preserve"> de </w:t>
      </w:r>
      <w:r w:rsidRPr="00D233AE">
        <w:rPr>
          <w:rFonts w:cs="Arial"/>
          <w:sz w:val="24"/>
          <w:szCs w:val="24"/>
          <w:lang w:eastAsia="en-US"/>
        </w:rPr>
        <w:t>septiembre</w:t>
      </w:r>
      <w:r w:rsidR="001A2D89" w:rsidRPr="00D233AE">
        <w:rPr>
          <w:rFonts w:cs="Arial"/>
          <w:sz w:val="24"/>
          <w:szCs w:val="24"/>
          <w:lang w:eastAsia="en-US"/>
        </w:rPr>
        <w:t xml:space="preserve">, se le tuvo </w:t>
      </w:r>
      <w:r w:rsidR="001C6E04" w:rsidRPr="00D233AE">
        <w:rPr>
          <w:rFonts w:cs="Arial"/>
          <w:sz w:val="24"/>
          <w:szCs w:val="24"/>
          <w:lang w:eastAsia="en-US"/>
        </w:rPr>
        <w:t xml:space="preserve">al </w:t>
      </w:r>
      <w:r w:rsidR="001C6E04" w:rsidRPr="00D233AE">
        <w:rPr>
          <w:rFonts w:cs="Arial"/>
          <w:i/>
          <w:iCs/>
          <w:sz w:val="24"/>
          <w:szCs w:val="24"/>
          <w:lang w:eastAsia="en-US"/>
        </w:rPr>
        <w:t>PT</w:t>
      </w:r>
      <w:r w:rsidR="001C6E04" w:rsidRPr="00D233AE">
        <w:rPr>
          <w:rFonts w:cs="Arial"/>
          <w:sz w:val="24"/>
          <w:szCs w:val="24"/>
          <w:lang w:eastAsia="en-US"/>
        </w:rPr>
        <w:t xml:space="preserve"> contestando la vista que le fue concedida en acuerdo de ocho de septiembre</w:t>
      </w:r>
      <w:r w:rsidR="001A2D89" w:rsidRPr="00D233AE">
        <w:rPr>
          <w:rFonts w:cs="Arial"/>
          <w:sz w:val="24"/>
          <w:szCs w:val="24"/>
          <w:lang w:eastAsia="en-US"/>
        </w:rPr>
        <w:t>.</w:t>
      </w:r>
      <w:r w:rsidR="001A2D89" w:rsidRPr="00D233AE">
        <w:rPr>
          <w:rFonts w:cs="Arial"/>
          <w:sz w:val="24"/>
          <w:szCs w:val="24"/>
          <w:vertAlign w:val="superscript"/>
          <w:lang w:eastAsia="en-US"/>
        </w:rPr>
        <w:footnoteReference w:id="12"/>
      </w:r>
    </w:p>
    <w:p w14:paraId="1663DBA8" w14:textId="77777777" w:rsidR="005570FC" w:rsidRPr="00D233AE" w:rsidRDefault="005570FC" w:rsidP="00124ED3">
      <w:pPr>
        <w:pBdr>
          <w:top w:val="nil"/>
          <w:left w:val="nil"/>
          <w:bottom w:val="nil"/>
          <w:right w:val="nil"/>
          <w:between w:val="nil"/>
        </w:pBdr>
        <w:spacing w:line="360" w:lineRule="auto"/>
        <w:jc w:val="both"/>
        <w:rPr>
          <w:rFonts w:eastAsia="Arial" w:cs="Arial"/>
          <w:color w:val="000000"/>
          <w:sz w:val="24"/>
          <w:szCs w:val="24"/>
          <w:lang w:eastAsia="es-ES"/>
        </w:rPr>
      </w:pPr>
    </w:p>
    <w:p w14:paraId="0FEE8623" w14:textId="77777777" w:rsidR="00124ED3" w:rsidRPr="00D233AE" w:rsidRDefault="00EB6B98" w:rsidP="00124ED3">
      <w:pPr>
        <w:pBdr>
          <w:top w:val="nil"/>
          <w:left w:val="nil"/>
          <w:bottom w:val="nil"/>
          <w:right w:val="nil"/>
          <w:between w:val="nil"/>
        </w:pBdr>
        <w:spacing w:line="360" w:lineRule="auto"/>
        <w:jc w:val="both"/>
        <w:rPr>
          <w:rFonts w:eastAsia="Arial" w:cs="Arial"/>
          <w:b/>
          <w:color w:val="000000"/>
          <w:sz w:val="24"/>
          <w:szCs w:val="24"/>
          <w:lang w:eastAsia="es-ES"/>
        </w:rPr>
      </w:pPr>
      <w:r w:rsidRPr="00D233AE">
        <w:rPr>
          <w:rFonts w:eastAsia="Arial" w:cs="Arial"/>
          <w:b/>
          <w:bCs/>
          <w:color w:val="000000"/>
          <w:sz w:val="24"/>
          <w:szCs w:val="24"/>
          <w:lang w:eastAsia="es-ES"/>
        </w:rPr>
        <w:t xml:space="preserve">DÉCIMO. </w:t>
      </w:r>
      <w:r w:rsidR="00124ED3" w:rsidRPr="00D233AE">
        <w:rPr>
          <w:rFonts w:eastAsia="Arial" w:cs="Arial"/>
          <w:b/>
          <w:bCs/>
          <w:color w:val="000000"/>
          <w:sz w:val="24"/>
          <w:szCs w:val="24"/>
          <w:lang w:eastAsia="es-ES"/>
        </w:rPr>
        <w:t>Admisión</w:t>
      </w:r>
      <w:r w:rsidR="008638DC" w:rsidRPr="00D233AE">
        <w:rPr>
          <w:rFonts w:eastAsia="Arial" w:cs="Arial"/>
          <w:b/>
          <w:bCs/>
          <w:color w:val="000000"/>
          <w:sz w:val="24"/>
          <w:szCs w:val="24"/>
          <w:lang w:eastAsia="es-ES"/>
        </w:rPr>
        <w:t xml:space="preserve"> y cierre</w:t>
      </w:r>
      <w:r w:rsidR="00124ED3" w:rsidRPr="00D233AE">
        <w:rPr>
          <w:rFonts w:eastAsia="Arial" w:cs="Arial"/>
          <w:b/>
          <w:bCs/>
          <w:color w:val="000000"/>
          <w:sz w:val="24"/>
          <w:szCs w:val="24"/>
          <w:lang w:eastAsia="es-ES"/>
        </w:rPr>
        <w:t>.</w:t>
      </w:r>
      <w:r w:rsidR="00124ED3" w:rsidRPr="00D233AE">
        <w:rPr>
          <w:rFonts w:eastAsia="Arial" w:cs="Arial"/>
          <w:b/>
          <w:color w:val="000000"/>
          <w:sz w:val="24"/>
          <w:szCs w:val="24"/>
          <w:lang w:eastAsia="es-ES"/>
        </w:rPr>
        <w:t xml:space="preserve"> </w:t>
      </w:r>
      <w:r w:rsidR="00C26AD6" w:rsidRPr="00D233AE">
        <w:rPr>
          <w:rFonts w:eastAsia="Arial" w:cs="Arial"/>
          <w:color w:val="000000"/>
          <w:sz w:val="24"/>
          <w:szCs w:val="24"/>
          <w:lang w:eastAsia="es-ES"/>
        </w:rPr>
        <w:t>En su oportunidad</w:t>
      </w:r>
      <w:r w:rsidR="00124ED3" w:rsidRPr="00D233AE">
        <w:rPr>
          <w:rFonts w:eastAsia="Arial" w:cs="Arial"/>
          <w:color w:val="000000"/>
          <w:sz w:val="24"/>
          <w:szCs w:val="24"/>
          <w:lang w:eastAsia="es-ES"/>
        </w:rPr>
        <w:t xml:space="preserve">, se admitió a trámite el presente </w:t>
      </w:r>
      <w:r w:rsidR="001D19C0" w:rsidRPr="00D233AE">
        <w:rPr>
          <w:rFonts w:eastAsia="Arial" w:cs="Arial"/>
          <w:color w:val="000000"/>
          <w:sz w:val="24"/>
          <w:szCs w:val="24"/>
          <w:lang w:eastAsia="es-ES"/>
        </w:rPr>
        <w:t>r</w:t>
      </w:r>
      <w:r w:rsidR="00124ED3" w:rsidRPr="00D233AE">
        <w:rPr>
          <w:rFonts w:eastAsia="Arial" w:cs="Arial"/>
          <w:color w:val="000000"/>
          <w:sz w:val="24"/>
          <w:szCs w:val="24"/>
          <w:lang w:eastAsia="es-ES"/>
        </w:rPr>
        <w:t xml:space="preserve">ecurso de </w:t>
      </w:r>
      <w:r w:rsidR="001D19C0" w:rsidRPr="00D233AE">
        <w:rPr>
          <w:rFonts w:eastAsia="Arial" w:cs="Arial"/>
          <w:color w:val="000000"/>
          <w:sz w:val="24"/>
          <w:szCs w:val="24"/>
          <w:lang w:eastAsia="es-ES"/>
        </w:rPr>
        <w:t>a</w:t>
      </w:r>
      <w:r w:rsidR="00124ED3" w:rsidRPr="00D233AE">
        <w:rPr>
          <w:rFonts w:eastAsia="Arial" w:cs="Arial"/>
          <w:color w:val="000000"/>
          <w:sz w:val="24"/>
          <w:szCs w:val="24"/>
          <w:lang w:eastAsia="es-ES"/>
        </w:rPr>
        <w:t xml:space="preserve">pelación, en términos de lo previsto en el artículo 27 fracción V de la </w:t>
      </w:r>
      <w:r w:rsidR="00124ED3" w:rsidRPr="00D233AE">
        <w:rPr>
          <w:rFonts w:eastAsia="Arial" w:cs="Arial"/>
          <w:i/>
          <w:color w:val="000000"/>
          <w:sz w:val="24"/>
          <w:szCs w:val="24"/>
          <w:lang w:eastAsia="es-ES"/>
        </w:rPr>
        <w:t>Ley</w:t>
      </w:r>
      <w:r w:rsidR="002A0071" w:rsidRPr="00D233AE">
        <w:rPr>
          <w:rFonts w:eastAsia="Arial" w:cs="Arial"/>
          <w:i/>
          <w:color w:val="000000"/>
          <w:sz w:val="24"/>
          <w:szCs w:val="24"/>
          <w:lang w:eastAsia="es-ES"/>
        </w:rPr>
        <w:t xml:space="preserve"> de Justicia</w:t>
      </w:r>
      <w:r w:rsidR="00124ED3" w:rsidRPr="00D233AE">
        <w:rPr>
          <w:rFonts w:eastAsia="Arial" w:cs="Arial"/>
          <w:color w:val="000000"/>
          <w:sz w:val="24"/>
          <w:szCs w:val="24"/>
          <w:lang w:eastAsia="es-ES"/>
        </w:rPr>
        <w:t>.</w:t>
      </w:r>
      <w:r w:rsidR="008638DC" w:rsidRPr="00D233AE">
        <w:rPr>
          <w:rFonts w:eastAsia="Arial" w:cs="Arial"/>
          <w:color w:val="000000"/>
          <w:sz w:val="24"/>
          <w:szCs w:val="24"/>
          <w:lang w:eastAsia="es-ES"/>
        </w:rPr>
        <w:t xml:space="preserve"> </w:t>
      </w:r>
      <w:r w:rsidR="00AD05B7" w:rsidRPr="00D233AE">
        <w:rPr>
          <w:rFonts w:eastAsia="Arial" w:cs="Arial"/>
          <w:color w:val="000000"/>
          <w:sz w:val="24"/>
          <w:szCs w:val="24"/>
          <w:lang w:eastAsia="es-ES"/>
        </w:rPr>
        <w:t>Asimismo,</w:t>
      </w:r>
      <w:r w:rsidR="008638DC" w:rsidRPr="00D233AE">
        <w:rPr>
          <w:rFonts w:eastAsia="Arial" w:cs="Arial"/>
          <w:color w:val="000000"/>
          <w:sz w:val="24"/>
          <w:szCs w:val="24"/>
          <w:lang w:eastAsia="es-ES"/>
        </w:rPr>
        <w:t xml:space="preserve"> se declaró cerrada la instrucción, quedando los autos en estado de dictar sentencia</w:t>
      </w:r>
      <w:r w:rsidR="007818BE" w:rsidRPr="00D233AE">
        <w:rPr>
          <w:rFonts w:eastAsia="Arial" w:cs="Arial"/>
          <w:b/>
          <w:color w:val="000000"/>
          <w:sz w:val="24"/>
          <w:szCs w:val="24"/>
          <w:lang w:eastAsia="es-ES"/>
        </w:rPr>
        <w:t>.</w:t>
      </w:r>
    </w:p>
    <w:bookmarkEnd w:id="2"/>
    <w:p w14:paraId="4C9CB8D7" w14:textId="77777777" w:rsidR="002056F0" w:rsidRPr="00D233AE" w:rsidRDefault="002056F0" w:rsidP="00FF5760">
      <w:pPr>
        <w:spacing w:line="360" w:lineRule="auto"/>
        <w:ind w:right="15"/>
        <w:jc w:val="both"/>
        <w:rPr>
          <w:rFonts w:cs="Arial"/>
          <w:color w:val="FF0000"/>
          <w:sz w:val="24"/>
          <w:szCs w:val="24"/>
        </w:rPr>
      </w:pPr>
    </w:p>
    <w:p w14:paraId="336BFEED" w14:textId="77777777" w:rsidR="002056F0" w:rsidRPr="00D233AE" w:rsidRDefault="00882E30" w:rsidP="00C85096">
      <w:pPr>
        <w:spacing w:line="360" w:lineRule="auto"/>
        <w:jc w:val="center"/>
        <w:rPr>
          <w:rFonts w:eastAsia="Arial" w:cs="Arial"/>
          <w:b/>
          <w:bCs/>
          <w:color w:val="000000"/>
          <w:sz w:val="24"/>
          <w:szCs w:val="24"/>
        </w:rPr>
      </w:pPr>
      <w:r w:rsidRPr="00D233AE">
        <w:rPr>
          <w:rFonts w:eastAsia="Arial" w:cs="Arial"/>
          <w:b/>
          <w:bCs/>
          <w:color w:val="000000"/>
          <w:sz w:val="24"/>
          <w:szCs w:val="24"/>
        </w:rPr>
        <w:t>II</w:t>
      </w:r>
      <w:r w:rsidR="002056F0" w:rsidRPr="00D233AE">
        <w:rPr>
          <w:rFonts w:eastAsia="Arial" w:cs="Arial"/>
          <w:b/>
          <w:bCs/>
          <w:color w:val="000000"/>
          <w:sz w:val="24"/>
          <w:szCs w:val="24"/>
        </w:rPr>
        <w:t>. COMPETENCIA</w:t>
      </w:r>
    </w:p>
    <w:p w14:paraId="511F9660" w14:textId="77777777" w:rsidR="00C85096" w:rsidRPr="00D233AE" w:rsidRDefault="00C85096" w:rsidP="00C85096">
      <w:pPr>
        <w:spacing w:line="360" w:lineRule="auto"/>
        <w:jc w:val="center"/>
        <w:rPr>
          <w:rFonts w:eastAsia="Calibri" w:cs="Arial"/>
          <w:b/>
          <w:bCs/>
          <w:sz w:val="24"/>
          <w:szCs w:val="24"/>
        </w:rPr>
      </w:pPr>
    </w:p>
    <w:p w14:paraId="43D8B744" w14:textId="77777777" w:rsidR="009941BA" w:rsidRPr="00D233AE" w:rsidRDefault="009941BA" w:rsidP="009941BA">
      <w:pPr>
        <w:spacing w:line="360" w:lineRule="auto"/>
        <w:jc w:val="both"/>
        <w:rPr>
          <w:rFonts w:eastAsia="Arial" w:cs="Arial"/>
          <w:iCs/>
          <w:sz w:val="24"/>
          <w:szCs w:val="24"/>
          <w:lang w:val="es-ES"/>
        </w:rPr>
      </w:pPr>
      <w:r w:rsidRPr="00D233AE">
        <w:rPr>
          <w:rFonts w:eastAsia="Arial" w:cs="Arial"/>
          <w:sz w:val="24"/>
          <w:szCs w:val="24"/>
          <w:lang w:val="es-ES"/>
        </w:rPr>
        <w:t xml:space="preserve">El Pleno de este </w:t>
      </w:r>
      <w:r w:rsidRPr="00D233AE">
        <w:rPr>
          <w:rFonts w:eastAsia="Arial" w:cs="Arial"/>
          <w:iCs/>
          <w:sz w:val="24"/>
          <w:szCs w:val="24"/>
          <w:lang w:val="es-ES"/>
        </w:rPr>
        <w:t>Tribunal Electoral</w:t>
      </w:r>
      <w:r w:rsidRPr="00D233AE">
        <w:rPr>
          <w:rFonts w:eastAsia="Arial" w:cs="Arial"/>
          <w:i/>
          <w:sz w:val="24"/>
          <w:szCs w:val="24"/>
          <w:lang w:val="es-ES"/>
        </w:rPr>
        <w:t xml:space="preserve"> </w:t>
      </w:r>
      <w:r w:rsidRPr="00D233AE">
        <w:rPr>
          <w:rFonts w:eastAsia="Arial" w:cs="Arial"/>
          <w:sz w:val="24"/>
          <w:szCs w:val="24"/>
          <w:lang w:val="es-ES"/>
        </w:rPr>
        <w:t xml:space="preserve">es competente para conocer y resolver el presente medio de impugnación, en virtud de que se trata de un </w:t>
      </w:r>
      <w:r w:rsidR="00D40AFC" w:rsidRPr="00D233AE">
        <w:rPr>
          <w:rFonts w:eastAsia="Arial" w:cs="Arial"/>
          <w:sz w:val="24"/>
          <w:szCs w:val="24"/>
          <w:lang w:val="es-ES"/>
        </w:rPr>
        <w:t xml:space="preserve">Recurso </w:t>
      </w:r>
      <w:r w:rsidRPr="00D233AE">
        <w:rPr>
          <w:rFonts w:eastAsia="Arial" w:cs="Arial"/>
          <w:sz w:val="24"/>
          <w:szCs w:val="24"/>
          <w:lang w:val="es-ES"/>
        </w:rPr>
        <w:t xml:space="preserve">de </w:t>
      </w:r>
      <w:r w:rsidR="00D40AFC" w:rsidRPr="00D233AE">
        <w:rPr>
          <w:rFonts w:eastAsia="Arial" w:cs="Arial"/>
          <w:sz w:val="24"/>
          <w:szCs w:val="24"/>
          <w:lang w:val="es-ES"/>
        </w:rPr>
        <w:lastRenderedPageBreak/>
        <w:t>Apelación</w:t>
      </w:r>
      <w:r w:rsidR="00D40AFC" w:rsidRPr="00D233AE">
        <w:rPr>
          <w:rFonts w:eastAsia="Arial" w:cs="Arial"/>
          <w:i/>
          <w:sz w:val="24"/>
          <w:szCs w:val="24"/>
          <w:lang w:val="es-ES"/>
        </w:rPr>
        <w:t xml:space="preserve"> </w:t>
      </w:r>
      <w:r w:rsidRPr="00D233AE">
        <w:rPr>
          <w:rFonts w:eastAsia="Arial" w:cs="Arial"/>
          <w:sz w:val="24"/>
          <w:szCs w:val="24"/>
          <w:lang w:val="es-ES"/>
        </w:rPr>
        <w:t xml:space="preserve">interpuesto por el </w:t>
      </w:r>
      <w:r w:rsidR="00533039" w:rsidRPr="00D233AE">
        <w:rPr>
          <w:rFonts w:eastAsia="Arial" w:cs="Arial"/>
          <w:i/>
          <w:sz w:val="24"/>
          <w:szCs w:val="24"/>
          <w:lang w:val="es-ES"/>
        </w:rPr>
        <w:t>PT</w:t>
      </w:r>
      <w:r w:rsidRPr="00D233AE">
        <w:rPr>
          <w:rFonts w:eastAsia="Arial" w:cs="Arial"/>
          <w:sz w:val="24"/>
          <w:szCs w:val="24"/>
          <w:lang w:val="es-ES"/>
        </w:rPr>
        <w:t xml:space="preserve">, a través de su representante propietario ante el </w:t>
      </w:r>
      <w:r w:rsidRPr="00D233AE">
        <w:rPr>
          <w:rFonts w:eastAsia="Arial" w:cs="Arial"/>
          <w:i/>
          <w:sz w:val="24"/>
          <w:szCs w:val="24"/>
          <w:lang w:val="es-ES"/>
        </w:rPr>
        <w:t xml:space="preserve">Consejo General; </w:t>
      </w:r>
      <w:r w:rsidRPr="00D233AE">
        <w:rPr>
          <w:rFonts w:eastAsia="Arial" w:cs="Arial"/>
          <w:sz w:val="24"/>
          <w:szCs w:val="24"/>
          <w:lang w:val="es-ES"/>
        </w:rPr>
        <w:t xml:space="preserve">en contra de una resolución dictada por dicho consejo dentro de un procedimiento oficioso, que le impuso una </w:t>
      </w:r>
      <w:r w:rsidR="00A94A77" w:rsidRPr="00D233AE">
        <w:rPr>
          <w:rFonts w:eastAsia="Arial" w:cs="Arial"/>
          <w:sz w:val="24"/>
          <w:szCs w:val="24"/>
          <w:lang w:val="es-ES"/>
        </w:rPr>
        <w:t>multa</w:t>
      </w:r>
      <w:r w:rsidRPr="00D233AE">
        <w:rPr>
          <w:rFonts w:eastAsia="Arial" w:cs="Arial"/>
          <w:sz w:val="24"/>
          <w:szCs w:val="24"/>
          <w:lang w:val="es-ES"/>
        </w:rPr>
        <w:t xml:space="preserve">; materia de impugnación cuya resolución corresponde a la competencia de este </w:t>
      </w:r>
      <w:r w:rsidR="00C771F9" w:rsidRPr="00D233AE">
        <w:rPr>
          <w:rFonts w:eastAsia="Arial" w:cs="Arial"/>
          <w:iCs/>
          <w:sz w:val="24"/>
          <w:szCs w:val="24"/>
          <w:lang w:val="es-ES"/>
        </w:rPr>
        <w:t>Ó</w:t>
      </w:r>
      <w:r w:rsidRPr="00D233AE">
        <w:rPr>
          <w:rFonts w:eastAsia="Arial" w:cs="Arial"/>
          <w:iCs/>
          <w:sz w:val="24"/>
          <w:szCs w:val="24"/>
          <w:lang w:val="es-ES"/>
        </w:rPr>
        <w:t>rgano jurisdiccional.</w:t>
      </w:r>
    </w:p>
    <w:p w14:paraId="6BFB9619" w14:textId="77777777" w:rsidR="009941BA" w:rsidRPr="00D233AE" w:rsidRDefault="009941BA" w:rsidP="009941BA">
      <w:pPr>
        <w:spacing w:line="360" w:lineRule="auto"/>
        <w:jc w:val="both"/>
        <w:rPr>
          <w:rFonts w:eastAsia="Arial" w:cs="Arial"/>
          <w:sz w:val="24"/>
          <w:szCs w:val="24"/>
          <w:lang w:val="es-ES"/>
        </w:rPr>
      </w:pPr>
    </w:p>
    <w:p w14:paraId="2DBA3A97" w14:textId="77777777" w:rsidR="0001388F" w:rsidRPr="00D233AE" w:rsidRDefault="002056F0" w:rsidP="009941BA">
      <w:pPr>
        <w:spacing w:line="360" w:lineRule="auto"/>
        <w:jc w:val="both"/>
        <w:rPr>
          <w:rFonts w:eastAsia="Arial" w:cs="Arial"/>
          <w:sz w:val="24"/>
          <w:szCs w:val="24"/>
          <w:lang w:val="es-ES"/>
        </w:rPr>
      </w:pPr>
      <w:r w:rsidRPr="00D233AE">
        <w:rPr>
          <w:rFonts w:eastAsia="Arial" w:cs="Arial"/>
          <w:color w:val="000000"/>
          <w:sz w:val="24"/>
          <w:szCs w:val="24"/>
        </w:rPr>
        <w:t xml:space="preserve">Lo anterior, de conformidad con lo establecido en los artículos 98 A de la </w:t>
      </w:r>
      <w:r w:rsidR="00DD5412" w:rsidRPr="00D233AE">
        <w:rPr>
          <w:rFonts w:eastAsia="Arial" w:cs="Arial"/>
          <w:color w:val="000000"/>
          <w:sz w:val="24"/>
          <w:szCs w:val="24"/>
          <w:lang w:val="es-ES"/>
        </w:rPr>
        <w:t>Constitución Política del Estado Libre y Soberano de Michoacán de Ocampo</w:t>
      </w:r>
      <w:r w:rsidRPr="00D233AE">
        <w:rPr>
          <w:rFonts w:eastAsia="Arial" w:cs="Arial"/>
          <w:color w:val="000000"/>
          <w:sz w:val="24"/>
          <w:szCs w:val="24"/>
        </w:rPr>
        <w:t>;</w:t>
      </w:r>
      <w:r w:rsidR="00DD5412" w:rsidRPr="00D233AE">
        <w:rPr>
          <w:rStyle w:val="Refdenotaalpie"/>
          <w:rFonts w:eastAsia="Arial" w:cs="Arial"/>
          <w:color w:val="000000"/>
          <w:sz w:val="24"/>
          <w:szCs w:val="24"/>
        </w:rPr>
        <w:footnoteReference w:id="13"/>
      </w:r>
      <w:r w:rsidRPr="00D233AE">
        <w:rPr>
          <w:rFonts w:eastAsia="Arial" w:cs="Arial"/>
          <w:color w:val="000000"/>
          <w:sz w:val="24"/>
          <w:szCs w:val="24"/>
        </w:rPr>
        <w:t xml:space="preserve"> 60, 64 fracción XIII y 66 fracciones II y III del</w:t>
      </w:r>
      <w:r w:rsidR="00F75E87" w:rsidRPr="00D233AE">
        <w:rPr>
          <w:rFonts w:eastAsia="Arial" w:cs="Arial"/>
          <w:i/>
          <w:iCs/>
          <w:color w:val="000000"/>
          <w:sz w:val="24"/>
          <w:szCs w:val="24"/>
        </w:rPr>
        <w:t xml:space="preserve"> </w:t>
      </w:r>
      <w:r w:rsidR="00F75E87" w:rsidRPr="00D233AE">
        <w:rPr>
          <w:rFonts w:eastAsia="Arial" w:cs="Arial"/>
          <w:color w:val="000000"/>
          <w:sz w:val="24"/>
          <w:szCs w:val="24"/>
          <w:lang w:val="es-ES"/>
        </w:rPr>
        <w:t>Código Electoral del Estado de Michoacán de Ocampo</w:t>
      </w:r>
      <w:r w:rsidRPr="00D233AE">
        <w:rPr>
          <w:rFonts w:eastAsia="Arial" w:cs="Arial"/>
          <w:color w:val="000000"/>
          <w:sz w:val="24"/>
          <w:szCs w:val="24"/>
        </w:rPr>
        <w:t>,</w:t>
      </w:r>
      <w:r w:rsidR="00F75E87" w:rsidRPr="00D233AE">
        <w:rPr>
          <w:rStyle w:val="Refdenotaalpie"/>
          <w:rFonts w:eastAsia="Arial" w:cs="Arial"/>
          <w:color w:val="000000"/>
          <w:sz w:val="24"/>
          <w:szCs w:val="24"/>
        </w:rPr>
        <w:footnoteReference w:id="14"/>
      </w:r>
      <w:r w:rsidRPr="00D233AE">
        <w:rPr>
          <w:rFonts w:eastAsia="Arial" w:cs="Arial"/>
          <w:color w:val="000000"/>
          <w:sz w:val="24"/>
          <w:szCs w:val="24"/>
        </w:rPr>
        <w:t xml:space="preserve"> así como 4 </w:t>
      </w:r>
      <w:r w:rsidR="00C85096" w:rsidRPr="00D233AE">
        <w:rPr>
          <w:rFonts w:eastAsia="Arial" w:cs="Arial"/>
          <w:color w:val="000000"/>
          <w:sz w:val="24"/>
          <w:szCs w:val="24"/>
        </w:rPr>
        <w:t xml:space="preserve">fracción II </w:t>
      </w:r>
      <w:r w:rsidRPr="00D233AE">
        <w:rPr>
          <w:rFonts w:eastAsia="Arial" w:cs="Arial"/>
          <w:color w:val="000000"/>
          <w:sz w:val="24"/>
          <w:szCs w:val="24"/>
        </w:rPr>
        <w:t xml:space="preserve">inciso b), </w:t>
      </w:r>
      <w:r w:rsidR="00C85096" w:rsidRPr="00D233AE">
        <w:rPr>
          <w:rFonts w:eastAsia="Arial" w:cs="Arial"/>
          <w:color w:val="000000"/>
          <w:sz w:val="24"/>
          <w:szCs w:val="24"/>
        </w:rPr>
        <w:t xml:space="preserve">5, </w:t>
      </w:r>
      <w:r w:rsidRPr="00D233AE">
        <w:rPr>
          <w:rFonts w:eastAsia="Arial" w:cs="Arial"/>
          <w:color w:val="000000"/>
          <w:sz w:val="24"/>
          <w:szCs w:val="24"/>
        </w:rPr>
        <w:t xml:space="preserve">51 fracción I, 52 y 54 de la </w:t>
      </w:r>
      <w:r w:rsidRPr="00D233AE">
        <w:rPr>
          <w:rFonts w:eastAsia="Arial" w:cs="Arial"/>
          <w:i/>
          <w:iCs/>
          <w:color w:val="000000"/>
          <w:sz w:val="24"/>
          <w:szCs w:val="24"/>
        </w:rPr>
        <w:t>Ley de Justicia.</w:t>
      </w:r>
    </w:p>
    <w:p w14:paraId="5C666FEC" w14:textId="77777777" w:rsidR="0001388F" w:rsidRPr="00D233AE" w:rsidRDefault="0001388F" w:rsidP="0001388F">
      <w:pPr>
        <w:spacing w:line="360" w:lineRule="auto"/>
        <w:ind w:left="-5" w:right="15" w:hanging="10"/>
        <w:jc w:val="both"/>
        <w:rPr>
          <w:rFonts w:eastAsia="Arial" w:cs="Arial"/>
          <w:i/>
          <w:iCs/>
          <w:color w:val="000000"/>
          <w:sz w:val="24"/>
          <w:szCs w:val="24"/>
        </w:rPr>
      </w:pPr>
    </w:p>
    <w:p w14:paraId="60E08BFF" w14:textId="77777777" w:rsidR="00A767D1" w:rsidRPr="00D233AE" w:rsidRDefault="00882E30" w:rsidP="00A12A65">
      <w:pPr>
        <w:spacing w:line="360" w:lineRule="auto"/>
        <w:ind w:left="-5" w:right="15" w:hanging="10"/>
        <w:jc w:val="center"/>
        <w:rPr>
          <w:rFonts w:cs="Arial"/>
          <w:b/>
          <w:bCs/>
          <w:sz w:val="24"/>
          <w:szCs w:val="24"/>
          <w:lang w:val="es-ES" w:eastAsia="es-ES"/>
        </w:rPr>
      </w:pPr>
      <w:r w:rsidRPr="00D233AE">
        <w:rPr>
          <w:rFonts w:cs="Arial"/>
          <w:b/>
          <w:bCs/>
          <w:sz w:val="24"/>
          <w:szCs w:val="24"/>
          <w:lang w:eastAsia="es-ES"/>
        </w:rPr>
        <w:t>III</w:t>
      </w:r>
      <w:r w:rsidR="002A3EEB" w:rsidRPr="00D233AE">
        <w:rPr>
          <w:rFonts w:cs="Arial"/>
          <w:b/>
          <w:bCs/>
          <w:sz w:val="24"/>
          <w:szCs w:val="24"/>
          <w:lang w:eastAsia="es-ES"/>
        </w:rPr>
        <w:t xml:space="preserve">. </w:t>
      </w:r>
      <w:r w:rsidR="00A767D1" w:rsidRPr="00D233AE">
        <w:rPr>
          <w:rFonts w:cs="Arial"/>
          <w:b/>
          <w:bCs/>
          <w:sz w:val="24"/>
          <w:szCs w:val="24"/>
          <w:lang w:val="es-ES" w:eastAsia="es-ES"/>
        </w:rPr>
        <w:t>CAUSALES DE IMPROCEDENCIA</w:t>
      </w:r>
    </w:p>
    <w:p w14:paraId="2167989F" w14:textId="77777777" w:rsidR="00A12A65" w:rsidRPr="00D233AE" w:rsidRDefault="00A12A65" w:rsidP="00A12A65">
      <w:pPr>
        <w:spacing w:line="360" w:lineRule="auto"/>
        <w:ind w:left="-5" w:right="15" w:hanging="10"/>
        <w:jc w:val="center"/>
        <w:rPr>
          <w:rFonts w:cs="Arial"/>
          <w:b/>
          <w:bCs/>
          <w:sz w:val="24"/>
          <w:szCs w:val="24"/>
          <w:lang w:val="es-ES" w:eastAsia="es-ES"/>
        </w:rPr>
      </w:pPr>
    </w:p>
    <w:p w14:paraId="1E56BD37" w14:textId="77777777" w:rsidR="00A767D1" w:rsidRPr="00D233AE" w:rsidRDefault="00A767D1" w:rsidP="007904E6">
      <w:pPr>
        <w:spacing w:line="360" w:lineRule="auto"/>
        <w:ind w:left="-5" w:right="15" w:hanging="10"/>
        <w:jc w:val="both"/>
        <w:rPr>
          <w:rFonts w:eastAsia="Arial" w:cs="Arial"/>
          <w:sz w:val="24"/>
          <w:szCs w:val="24"/>
          <w:lang w:val="es-ES"/>
        </w:rPr>
      </w:pPr>
      <w:r w:rsidRPr="00D233AE">
        <w:rPr>
          <w:rFonts w:eastAsia="Arial" w:cs="Arial"/>
          <w:sz w:val="24"/>
          <w:szCs w:val="24"/>
          <w:lang w:val="es-ES"/>
        </w:rPr>
        <w:t xml:space="preserve">Al tratarse de una cuestión de orden público, su estudio es preferente, ya que, de resultar fundadas haría innecesario analizar el fondo de la cuestión planteada. En el caso, la autoridad responsable no hizo valer ninguna ni este </w:t>
      </w:r>
      <w:r w:rsidRPr="00D233AE">
        <w:rPr>
          <w:rFonts w:eastAsia="Arial" w:cs="Arial"/>
          <w:iCs/>
          <w:sz w:val="24"/>
          <w:szCs w:val="24"/>
          <w:lang w:val="es-ES"/>
        </w:rPr>
        <w:t>Tribunal Electoral</w:t>
      </w:r>
      <w:r w:rsidRPr="00D233AE">
        <w:rPr>
          <w:rFonts w:eastAsia="Arial" w:cs="Arial"/>
          <w:sz w:val="24"/>
          <w:szCs w:val="24"/>
          <w:lang w:val="es-ES"/>
        </w:rPr>
        <w:t xml:space="preserve"> advierte de oficio su actualización.</w:t>
      </w:r>
    </w:p>
    <w:p w14:paraId="00A5BC54" w14:textId="77777777" w:rsidR="00A767D1" w:rsidRPr="00D233AE" w:rsidRDefault="00A767D1" w:rsidP="007904E6">
      <w:pPr>
        <w:spacing w:line="360" w:lineRule="auto"/>
        <w:ind w:left="-5" w:right="15" w:hanging="10"/>
        <w:jc w:val="center"/>
        <w:rPr>
          <w:rFonts w:cs="Arial"/>
          <w:b/>
          <w:bCs/>
          <w:sz w:val="24"/>
          <w:szCs w:val="24"/>
          <w:lang w:eastAsia="es-ES"/>
        </w:rPr>
      </w:pPr>
    </w:p>
    <w:p w14:paraId="713691B8" w14:textId="77777777" w:rsidR="008D05B9" w:rsidRPr="00D233AE" w:rsidRDefault="004C57A8" w:rsidP="008D05B9">
      <w:pPr>
        <w:spacing w:line="360" w:lineRule="auto"/>
        <w:jc w:val="center"/>
        <w:rPr>
          <w:b/>
          <w:bCs/>
          <w:sz w:val="24"/>
          <w:szCs w:val="24"/>
          <w:lang w:val="es-ES"/>
        </w:rPr>
      </w:pPr>
      <w:r w:rsidRPr="00D233AE">
        <w:rPr>
          <w:b/>
          <w:bCs/>
          <w:sz w:val="24"/>
          <w:szCs w:val="24"/>
          <w:lang w:eastAsia="es-ES"/>
        </w:rPr>
        <w:t xml:space="preserve">IV. </w:t>
      </w:r>
      <w:r w:rsidR="005F4570" w:rsidRPr="00D233AE">
        <w:rPr>
          <w:b/>
          <w:bCs/>
          <w:sz w:val="24"/>
          <w:szCs w:val="24"/>
          <w:lang w:val="es-ES"/>
        </w:rPr>
        <w:t>REQUISITOS DE PROCEDIBILIDAD</w:t>
      </w:r>
    </w:p>
    <w:p w14:paraId="55812A51" w14:textId="77777777" w:rsidR="008D05B9" w:rsidRPr="00D233AE" w:rsidRDefault="008D05B9" w:rsidP="008D05B9">
      <w:pPr>
        <w:jc w:val="center"/>
        <w:rPr>
          <w:b/>
          <w:bCs/>
          <w:sz w:val="24"/>
          <w:szCs w:val="24"/>
          <w:lang w:val="es-ES"/>
        </w:rPr>
      </w:pPr>
    </w:p>
    <w:p w14:paraId="57414F26" w14:textId="77777777" w:rsidR="002A3EEB" w:rsidRPr="00D233AE" w:rsidRDefault="002A3EEB" w:rsidP="008D05B9">
      <w:pPr>
        <w:spacing w:line="360" w:lineRule="auto"/>
        <w:jc w:val="both"/>
        <w:rPr>
          <w:b/>
          <w:bCs/>
          <w:sz w:val="24"/>
          <w:szCs w:val="24"/>
          <w:lang w:val="es-ES"/>
        </w:rPr>
      </w:pPr>
      <w:r w:rsidRPr="00D233AE">
        <w:rPr>
          <w:rFonts w:eastAsia="Arial" w:cs="Arial"/>
          <w:b/>
          <w:color w:val="000000"/>
          <w:sz w:val="24"/>
          <w:szCs w:val="24"/>
          <w:lang w:eastAsia="es-ES"/>
        </w:rPr>
        <w:t>1. Oportunidad.</w:t>
      </w:r>
      <w:r w:rsidRPr="00D233AE">
        <w:rPr>
          <w:rFonts w:eastAsia="Arial" w:cs="Arial"/>
          <w:color w:val="000000"/>
          <w:sz w:val="24"/>
          <w:szCs w:val="24"/>
          <w:lang w:eastAsia="es-ES"/>
        </w:rPr>
        <w:t xml:space="preserve"> El presente medio de impugnación se presentó oportunamente, porque la demanda se interpuso dentro del plazo legal de cuatro días que establece el artículo 9 de la </w:t>
      </w:r>
      <w:r w:rsidRPr="00D233AE">
        <w:rPr>
          <w:rFonts w:eastAsia="Arial" w:cs="Arial"/>
          <w:i/>
          <w:color w:val="000000"/>
          <w:sz w:val="24"/>
          <w:szCs w:val="24"/>
          <w:lang w:eastAsia="es-ES"/>
        </w:rPr>
        <w:t xml:space="preserve">Ley </w:t>
      </w:r>
      <w:r w:rsidR="002A0071" w:rsidRPr="00D233AE">
        <w:rPr>
          <w:rFonts w:eastAsia="Arial" w:cs="Arial"/>
          <w:i/>
          <w:color w:val="000000"/>
          <w:sz w:val="24"/>
          <w:szCs w:val="24"/>
          <w:lang w:eastAsia="es-ES"/>
        </w:rPr>
        <w:t>de Justicia</w:t>
      </w:r>
      <w:r w:rsidRPr="00D233AE">
        <w:rPr>
          <w:rFonts w:eastAsia="Arial" w:cs="Arial"/>
          <w:color w:val="000000"/>
          <w:sz w:val="24"/>
          <w:szCs w:val="24"/>
          <w:lang w:eastAsia="es-ES"/>
        </w:rPr>
        <w:t xml:space="preserve">, ya que </w:t>
      </w:r>
      <w:r w:rsidR="00EC118C" w:rsidRPr="00D233AE">
        <w:rPr>
          <w:rFonts w:eastAsia="Arial" w:cs="Arial"/>
          <w:color w:val="000000"/>
          <w:sz w:val="24"/>
          <w:szCs w:val="24"/>
          <w:lang w:eastAsia="es-ES"/>
        </w:rPr>
        <w:t xml:space="preserve">la resolución impugnada </w:t>
      </w:r>
      <w:r w:rsidRPr="00D233AE">
        <w:rPr>
          <w:rFonts w:eastAsia="Arial" w:cs="Arial"/>
          <w:color w:val="000000"/>
          <w:sz w:val="24"/>
          <w:szCs w:val="24"/>
          <w:lang w:eastAsia="es-ES"/>
        </w:rPr>
        <w:t xml:space="preserve">se aprobó </w:t>
      </w:r>
      <w:r w:rsidR="001520A0" w:rsidRPr="00D233AE">
        <w:rPr>
          <w:rFonts w:eastAsia="Arial" w:cs="Arial"/>
          <w:color w:val="000000"/>
          <w:sz w:val="24"/>
          <w:szCs w:val="24"/>
          <w:lang w:eastAsia="es-ES"/>
        </w:rPr>
        <w:t>y notificó</w:t>
      </w:r>
      <w:r w:rsidR="007F61BA" w:rsidRPr="00D233AE">
        <w:rPr>
          <w:rFonts w:eastAsia="Arial" w:cs="Arial"/>
          <w:color w:val="000000"/>
          <w:sz w:val="24"/>
          <w:szCs w:val="24"/>
          <w:lang w:eastAsia="es-ES"/>
        </w:rPr>
        <w:t xml:space="preserve"> de manera automática</w:t>
      </w:r>
      <w:r w:rsidR="001520A0" w:rsidRPr="00D233AE">
        <w:rPr>
          <w:rFonts w:eastAsia="Arial" w:cs="Arial"/>
          <w:color w:val="000000"/>
          <w:sz w:val="24"/>
          <w:szCs w:val="24"/>
          <w:lang w:eastAsia="es-ES"/>
        </w:rPr>
        <w:t xml:space="preserve"> </w:t>
      </w:r>
      <w:r w:rsidRPr="00D233AE">
        <w:rPr>
          <w:rFonts w:eastAsia="Arial" w:cs="Arial"/>
          <w:color w:val="000000"/>
          <w:sz w:val="24"/>
          <w:szCs w:val="24"/>
          <w:lang w:eastAsia="es-ES"/>
        </w:rPr>
        <w:t xml:space="preserve">el </w:t>
      </w:r>
      <w:r w:rsidR="00254712" w:rsidRPr="00D233AE">
        <w:rPr>
          <w:rFonts w:eastAsia="Arial" w:cs="Arial"/>
          <w:color w:val="000000"/>
          <w:sz w:val="24"/>
          <w:szCs w:val="24"/>
          <w:lang w:eastAsia="es-ES"/>
        </w:rPr>
        <w:t>veintisiete de agosto</w:t>
      </w:r>
      <w:r w:rsidRPr="00D233AE">
        <w:rPr>
          <w:rFonts w:eastAsia="Arial" w:cs="Arial"/>
          <w:color w:val="000000"/>
          <w:sz w:val="24"/>
          <w:szCs w:val="24"/>
          <w:lang w:eastAsia="es-ES"/>
        </w:rPr>
        <w:t>,</w:t>
      </w:r>
      <w:r w:rsidR="00C243A8" w:rsidRPr="00D233AE">
        <w:rPr>
          <w:rFonts w:eastAsia="Arial" w:cs="Arial"/>
          <w:sz w:val="24"/>
          <w:szCs w:val="24"/>
          <w:vertAlign w:val="superscript"/>
        </w:rPr>
        <w:footnoteReference w:id="15"/>
      </w:r>
      <w:r w:rsidR="004E038B" w:rsidRPr="00D233AE">
        <w:rPr>
          <w:rFonts w:eastAsia="Arial" w:cs="Arial"/>
          <w:color w:val="000000"/>
          <w:sz w:val="24"/>
          <w:szCs w:val="24"/>
          <w:lang w:eastAsia="es-ES"/>
        </w:rPr>
        <w:t xml:space="preserve"> </w:t>
      </w:r>
      <w:r w:rsidRPr="00D233AE">
        <w:rPr>
          <w:rFonts w:eastAsia="Arial" w:cs="Arial"/>
          <w:color w:val="000000"/>
          <w:sz w:val="24"/>
          <w:szCs w:val="24"/>
          <w:lang w:eastAsia="es-ES"/>
        </w:rPr>
        <w:t xml:space="preserve">mientras que la demanda fue presentada el </w:t>
      </w:r>
      <w:r w:rsidR="00D9413A" w:rsidRPr="00D233AE">
        <w:rPr>
          <w:rFonts w:eastAsia="Arial" w:cs="Arial"/>
          <w:color w:val="000000"/>
          <w:sz w:val="24"/>
          <w:szCs w:val="24"/>
          <w:lang w:eastAsia="es-ES"/>
        </w:rPr>
        <w:t>primero de septiembre</w:t>
      </w:r>
      <w:r w:rsidR="00782C04" w:rsidRPr="00D233AE">
        <w:rPr>
          <w:rFonts w:eastAsia="Arial" w:cs="Arial"/>
          <w:color w:val="000000"/>
          <w:sz w:val="24"/>
          <w:szCs w:val="24"/>
          <w:lang w:eastAsia="es-ES"/>
        </w:rPr>
        <w:t xml:space="preserve">, </w:t>
      </w:r>
      <w:r w:rsidR="00782C04" w:rsidRPr="00D233AE">
        <w:rPr>
          <w:rFonts w:eastAsia="Calibri" w:cs="Arial"/>
          <w:sz w:val="24"/>
          <w:szCs w:val="24"/>
          <w:lang w:val="es-ES" w:eastAsia="es-ES"/>
        </w:rPr>
        <w:t>de ahí que su presentación se considere oportuna.</w:t>
      </w:r>
    </w:p>
    <w:p w14:paraId="7F8649F4" w14:textId="77777777" w:rsidR="002A3EEB" w:rsidRPr="00D233AE" w:rsidRDefault="002A3EEB" w:rsidP="007904E6">
      <w:pPr>
        <w:pBdr>
          <w:top w:val="nil"/>
          <w:left w:val="nil"/>
          <w:bottom w:val="nil"/>
          <w:right w:val="nil"/>
          <w:between w:val="nil"/>
        </w:pBdr>
        <w:spacing w:line="360" w:lineRule="auto"/>
        <w:jc w:val="both"/>
        <w:rPr>
          <w:rFonts w:eastAsia="Arial" w:cs="Arial"/>
          <w:iCs/>
          <w:color w:val="000000"/>
          <w:sz w:val="24"/>
          <w:szCs w:val="24"/>
          <w:lang w:eastAsia="es-ES"/>
        </w:rPr>
      </w:pPr>
    </w:p>
    <w:p w14:paraId="5DD01E15" w14:textId="77777777" w:rsidR="002A3EEB" w:rsidRPr="00D233AE" w:rsidRDefault="002A3EEB" w:rsidP="00A12A65">
      <w:pPr>
        <w:pBdr>
          <w:top w:val="nil"/>
          <w:left w:val="nil"/>
          <w:bottom w:val="nil"/>
          <w:right w:val="nil"/>
          <w:between w:val="nil"/>
        </w:pBdr>
        <w:spacing w:line="360" w:lineRule="auto"/>
        <w:jc w:val="both"/>
        <w:rPr>
          <w:rFonts w:eastAsia="Arial" w:cs="Arial"/>
          <w:i/>
          <w:color w:val="000000"/>
          <w:sz w:val="24"/>
          <w:szCs w:val="24"/>
          <w:lang w:eastAsia="es-ES"/>
        </w:rPr>
      </w:pPr>
      <w:r w:rsidRPr="00D233AE">
        <w:rPr>
          <w:rFonts w:eastAsia="Arial" w:cs="Arial"/>
          <w:b/>
          <w:color w:val="000000"/>
          <w:sz w:val="24"/>
          <w:szCs w:val="24"/>
          <w:lang w:eastAsia="es-ES"/>
        </w:rPr>
        <w:t>2. Forma.</w:t>
      </w:r>
      <w:r w:rsidRPr="00D233AE">
        <w:rPr>
          <w:rFonts w:eastAsia="Arial" w:cs="Arial"/>
          <w:color w:val="000000"/>
          <w:sz w:val="24"/>
          <w:szCs w:val="24"/>
          <w:lang w:eastAsia="es-ES"/>
        </w:rPr>
        <w:t xml:space="preserve"> </w:t>
      </w:r>
      <w:r w:rsidR="00D06C17" w:rsidRPr="00D233AE">
        <w:rPr>
          <w:rFonts w:eastAsia="Arial" w:cs="Arial"/>
          <w:sz w:val="24"/>
          <w:szCs w:val="24"/>
          <w:lang w:val="es-ES"/>
        </w:rPr>
        <w:t>Los requisitos formales se encuentran satisfechos, debido a que el medio de impugnación se presentó por escrito; consta el nombre, firma y carácter del accionante; señaló domicilio para recibir notificaciones en esta ciudad; identificó el acto impugnado y autoridad responsable; de igual forma, contiene la mención expresa y clara de los hechos en que sustenta la impugnación, los agravios causados, los preceptos presuntamente violados; asimismo, aportó las pruebas que consideró pertinentes.</w:t>
      </w:r>
    </w:p>
    <w:p w14:paraId="141F02FE" w14:textId="77777777" w:rsidR="001D0D70" w:rsidRPr="00D233AE" w:rsidRDefault="002A3EEB" w:rsidP="002A3EEB">
      <w:pPr>
        <w:pBdr>
          <w:top w:val="nil"/>
          <w:left w:val="nil"/>
          <w:bottom w:val="nil"/>
          <w:right w:val="nil"/>
          <w:between w:val="nil"/>
        </w:pBdr>
        <w:spacing w:line="360" w:lineRule="auto"/>
        <w:jc w:val="both"/>
        <w:rPr>
          <w:rFonts w:eastAsia="Arial" w:cs="Arial"/>
          <w:bCs/>
          <w:color w:val="000000"/>
          <w:sz w:val="24"/>
          <w:szCs w:val="24"/>
          <w:lang w:eastAsia="es-ES"/>
        </w:rPr>
      </w:pPr>
      <w:r w:rsidRPr="00D233AE">
        <w:rPr>
          <w:rFonts w:eastAsia="Arial" w:cs="Arial"/>
          <w:b/>
          <w:color w:val="000000"/>
          <w:sz w:val="24"/>
          <w:szCs w:val="24"/>
          <w:lang w:eastAsia="es-ES"/>
        </w:rPr>
        <w:lastRenderedPageBreak/>
        <w:t xml:space="preserve">3. Legitimación. </w:t>
      </w:r>
      <w:r w:rsidR="00F10863" w:rsidRPr="00D233AE">
        <w:rPr>
          <w:rFonts w:eastAsia="Arial" w:cs="Arial"/>
          <w:sz w:val="24"/>
          <w:szCs w:val="24"/>
          <w:lang w:val="es-ES"/>
        </w:rPr>
        <w:t>Este elemento se encuentra satisfecho, de conformidad con lo previsto en los artículos 13 fracción I, 15</w:t>
      </w:r>
      <w:r w:rsidR="00EC118C" w:rsidRPr="00D233AE">
        <w:rPr>
          <w:rFonts w:eastAsia="Arial" w:cs="Arial"/>
          <w:sz w:val="24"/>
          <w:szCs w:val="24"/>
          <w:lang w:val="es-ES"/>
        </w:rPr>
        <w:t xml:space="preserve"> </w:t>
      </w:r>
      <w:r w:rsidR="00F10863" w:rsidRPr="00D233AE">
        <w:rPr>
          <w:rFonts w:eastAsia="Arial" w:cs="Arial"/>
          <w:sz w:val="24"/>
          <w:szCs w:val="24"/>
          <w:lang w:val="es-ES"/>
        </w:rPr>
        <w:t xml:space="preserve">fracción I y 53 fracción I de la </w:t>
      </w:r>
      <w:r w:rsidR="00F10863" w:rsidRPr="00D233AE">
        <w:rPr>
          <w:rFonts w:eastAsia="Arial" w:cs="Arial"/>
          <w:i/>
          <w:sz w:val="24"/>
          <w:szCs w:val="24"/>
          <w:lang w:val="es-ES"/>
        </w:rPr>
        <w:t>Ley de Justicia</w:t>
      </w:r>
      <w:r w:rsidR="00F10863" w:rsidRPr="00D233AE">
        <w:rPr>
          <w:rFonts w:eastAsia="Arial" w:cs="Arial"/>
          <w:sz w:val="24"/>
          <w:szCs w:val="24"/>
          <w:lang w:val="es-ES"/>
        </w:rPr>
        <w:t xml:space="preserve">; ya que el recurso de apelación fue interpuesto por el </w:t>
      </w:r>
      <w:r w:rsidR="00F10863" w:rsidRPr="00D233AE">
        <w:rPr>
          <w:rFonts w:eastAsia="Arial" w:cs="Arial"/>
          <w:i/>
          <w:sz w:val="24"/>
          <w:szCs w:val="24"/>
          <w:lang w:val="es-ES"/>
        </w:rPr>
        <w:t>PT</w:t>
      </w:r>
      <w:r w:rsidR="00F10863" w:rsidRPr="00D233AE">
        <w:rPr>
          <w:rFonts w:eastAsia="Arial" w:cs="Arial"/>
          <w:sz w:val="24"/>
          <w:szCs w:val="24"/>
          <w:lang w:val="es-ES"/>
        </w:rPr>
        <w:t xml:space="preserve">, a través de su representante ante el </w:t>
      </w:r>
      <w:r w:rsidR="00F10863" w:rsidRPr="00D233AE">
        <w:rPr>
          <w:rFonts w:eastAsia="Arial" w:cs="Arial"/>
          <w:i/>
          <w:sz w:val="24"/>
          <w:szCs w:val="24"/>
          <w:lang w:val="es-ES"/>
        </w:rPr>
        <w:t>Consejo General</w:t>
      </w:r>
      <w:r w:rsidR="00EC118C" w:rsidRPr="00D233AE">
        <w:rPr>
          <w:rFonts w:eastAsia="Arial" w:cs="Arial"/>
          <w:iCs/>
          <w:sz w:val="24"/>
          <w:szCs w:val="24"/>
          <w:lang w:val="es-ES"/>
        </w:rPr>
        <w:t>.</w:t>
      </w:r>
      <w:r w:rsidR="00F10863" w:rsidRPr="00D233AE">
        <w:rPr>
          <w:rFonts w:eastAsia="Arial" w:cs="Arial"/>
          <w:iCs/>
          <w:sz w:val="24"/>
          <w:szCs w:val="24"/>
          <w:vertAlign w:val="superscript"/>
          <w:lang w:val="es-ES"/>
        </w:rPr>
        <w:footnoteReference w:id="16"/>
      </w:r>
    </w:p>
    <w:p w14:paraId="04C28B51" w14:textId="77777777" w:rsidR="002A3EEB" w:rsidRPr="00D233AE" w:rsidRDefault="002A3EEB" w:rsidP="002A3EEB">
      <w:pPr>
        <w:pBdr>
          <w:top w:val="nil"/>
          <w:left w:val="nil"/>
          <w:bottom w:val="nil"/>
          <w:right w:val="nil"/>
          <w:between w:val="nil"/>
        </w:pBdr>
        <w:spacing w:line="360" w:lineRule="auto"/>
        <w:jc w:val="both"/>
        <w:rPr>
          <w:rFonts w:eastAsia="Arial" w:cs="Arial"/>
          <w:b/>
          <w:color w:val="000000"/>
          <w:sz w:val="22"/>
          <w:szCs w:val="22"/>
          <w:lang w:eastAsia="es-ES"/>
        </w:rPr>
      </w:pPr>
    </w:p>
    <w:p w14:paraId="36674904" w14:textId="77777777" w:rsidR="002A3EEB" w:rsidRPr="00D233AE" w:rsidRDefault="002A3EEB" w:rsidP="002A3EEB">
      <w:pPr>
        <w:pBdr>
          <w:top w:val="nil"/>
          <w:left w:val="nil"/>
          <w:bottom w:val="nil"/>
          <w:right w:val="nil"/>
          <w:between w:val="nil"/>
        </w:pBdr>
        <w:spacing w:line="360" w:lineRule="auto"/>
        <w:jc w:val="both"/>
        <w:rPr>
          <w:rFonts w:eastAsia="Arial" w:cs="Arial"/>
          <w:color w:val="000000"/>
          <w:sz w:val="24"/>
          <w:szCs w:val="24"/>
          <w:lang w:eastAsia="es-ES"/>
        </w:rPr>
      </w:pPr>
      <w:r w:rsidRPr="00D233AE">
        <w:rPr>
          <w:rFonts w:eastAsia="Arial" w:cs="Arial"/>
          <w:b/>
          <w:color w:val="000000"/>
          <w:sz w:val="24"/>
          <w:szCs w:val="24"/>
          <w:lang w:eastAsia="es-ES"/>
        </w:rPr>
        <w:t>4. Interés jurídico.</w:t>
      </w:r>
      <w:r w:rsidRPr="00D233AE">
        <w:rPr>
          <w:rFonts w:eastAsia="Arial" w:cs="Arial"/>
          <w:color w:val="000000"/>
          <w:sz w:val="24"/>
          <w:szCs w:val="24"/>
          <w:lang w:eastAsia="es-ES"/>
        </w:rPr>
        <w:t xml:space="preserve"> </w:t>
      </w:r>
      <w:r w:rsidR="00D701DE" w:rsidRPr="00D233AE">
        <w:rPr>
          <w:rFonts w:eastAsia="Arial" w:cs="Arial"/>
          <w:sz w:val="24"/>
          <w:szCs w:val="24"/>
          <w:lang w:val="es-ES"/>
        </w:rPr>
        <w:t>Se considera colmado debido a que</w:t>
      </w:r>
      <w:r w:rsidR="00EC118C" w:rsidRPr="00D233AE">
        <w:rPr>
          <w:rFonts w:eastAsia="Arial" w:cs="Arial"/>
          <w:sz w:val="24"/>
          <w:szCs w:val="24"/>
          <w:lang w:val="es-ES"/>
        </w:rPr>
        <w:t>,</w:t>
      </w:r>
      <w:r w:rsidR="00D701DE" w:rsidRPr="00D233AE">
        <w:rPr>
          <w:rFonts w:eastAsia="Arial" w:cs="Arial"/>
          <w:sz w:val="24"/>
          <w:szCs w:val="24"/>
          <w:lang w:val="es-ES"/>
        </w:rPr>
        <w:t xml:space="preserve"> el recurrente combate una resolución del </w:t>
      </w:r>
      <w:r w:rsidR="00D701DE" w:rsidRPr="00D233AE">
        <w:rPr>
          <w:rFonts w:eastAsia="Arial" w:cs="Arial"/>
          <w:i/>
          <w:sz w:val="24"/>
          <w:szCs w:val="24"/>
          <w:lang w:val="es-ES"/>
        </w:rPr>
        <w:t>Consejo General</w:t>
      </w:r>
      <w:r w:rsidR="00D701DE" w:rsidRPr="00D233AE">
        <w:rPr>
          <w:rFonts w:eastAsia="Arial" w:cs="Arial"/>
          <w:sz w:val="24"/>
          <w:szCs w:val="24"/>
          <w:lang w:val="es-ES"/>
        </w:rPr>
        <w:t>, dictada en un procedimiento ordinario sancionador, en el cual se le impuso una multa.</w:t>
      </w:r>
    </w:p>
    <w:p w14:paraId="3368E6D6" w14:textId="77777777" w:rsidR="002A3EEB" w:rsidRPr="00D233AE" w:rsidRDefault="002A3EEB" w:rsidP="002A3EEB">
      <w:pPr>
        <w:pBdr>
          <w:top w:val="nil"/>
          <w:left w:val="nil"/>
          <w:bottom w:val="nil"/>
          <w:right w:val="nil"/>
          <w:between w:val="nil"/>
        </w:pBdr>
        <w:spacing w:line="360" w:lineRule="auto"/>
        <w:jc w:val="both"/>
        <w:rPr>
          <w:rFonts w:eastAsia="Arial" w:cs="Arial"/>
          <w:sz w:val="24"/>
          <w:szCs w:val="24"/>
          <w:lang w:eastAsia="es-ES"/>
        </w:rPr>
      </w:pPr>
    </w:p>
    <w:p w14:paraId="5A6C650D" w14:textId="77777777" w:rsidR="002A3EEB" w:rsidRPr="00D233AE" w:rsidRDefault="002A3EEB" w:rsidP="002A3EEB">
      <w:pPr>
        <w:spacing w:line="360" w:lineRule="auto"/>
        <w:jc w:val="both"/>
        <w:rPr>
          <w:rFonts w:eastAsia="Arial" w:cs="Arial"/>
          <w:sz w:val="24"/>
          <w:szCs w:val="24"/>
          <w:lang w:eastAsia="es-ES"/>
        </w:rPr>
      </w:pPr>
      <w:r w:rsidRPr="00D233AE">
        <w:rPr>
          <w:rFonts w:eastAsia="Arial" w:cs="Arial"/>
          <w:b/>
          <w:iCs/>
          <w:sz w:val="24"/>
          <w:szCs w:val="24"/>
          <w:lang w:eastAsia="es-ES"/>
        </w:rPr>
        <w:t>5. Definitividad</w:t>
      </w:r>
      <w:r w:rsidRPr="00D233AE">
        <w:rPr>
          <w:rFonts w:eastAsia="Arial" w:cs="Arial"/>
          <w:b/>
          <w:sz w:val="24"/>
          <w:szCs w:val="24"/>
          <w:lang w:eastAsia="es-ES"/>
        </w:rPr>
        <w:t xml:space="preserve">. </w:t>
      </w:r>
      <w:r w:rsidR="009F0AA0" w:rsidRPr="00D233AE">
        <w:rPr>
          <w:rFonts w:eastAsia="Calibri" w:cs="Arial"/>
          <w:sz w:val="24"/>
          <w:szCs w:val="24"/>
          <w:lang w:val="es-ES" w:eastAsia="es-ES"/>
        </w:rPr>
        <w:t xml:space="preserve">Se tiene por cumplido, en atención a que la normativa en materia electoral no contempla medio de impugnación alguno que deba agotarse previamente a la sustanciación del presente asunto, </w:t>
      </w:r>
      <w:r w:rsidR="007A69D5" w:rsidRPr="00D233AE">
        <w:rPr>
          <w:rFonts w:eastAsia="Calibri" w:cs="Arial"/>
          <w:sz w:val="24"/>
          <w:szCs w:val="24"/>
          <w:lang w:val="es-ES" w:eastAsia="es-ES"/>
        </w:rPr>
        <w:t>por el que pudiera colmarse la pretensión del partido apelante.</w:t>
      </w:r>
    </w:p>
    <w:p w14:paraId="0B6D7E3D" w14:textId="77777777" w:rsidR="002A3EEB" w:rsidRPr="00D233AE" w:rsidRDefault="002A3EEB" w:rsidP="003D3E66">
      <w:pPr>
        <w:spacing w:line="360" w:lineRule="auto"/>
        <w:jc w:val="both"/>
        <w:rPr>
          <w:rFonts w:eastAsia="Arial" w:cs="Arial"/>
          <w:b/>
          <w:color w:val="000000"/>
          <w:sz w:val="24"/>
          <w:szCs w:val="24"/>
          <w:lang w:val="es-ES_tradnl"/>
        </w:rPr>
      </w:pPr>
    </w:p>
    <w:p w14:paraId="0290ADD3" w14:textId="77777777" w:rsidR="00CA41D9" w:rsidRPr="00D233AE" w:rsidRDefault="00CA41D9" w:rsidP="00CA41D9">
      <w:pPr>
        <w:tabs>
          <w:tab w:val="left" w:pos="426"/>
        </w:tabs>
        <w:spacing w:line="360" w:lineRule="auto"/>
        <w:jc w:val="both"/>
        <w:rPr>
          <w:rFonts w:cs="Arial"/>
          <w:sz w:val="24"/>
          <w:szCs w:val="24"/>
          <w:lang w:val="es-ES_tradnl"/>
        </w:rPr>
      </w:pPr>
      <w:r w:rsidRPr="00D233AE">
        <w:rPr>
          <w:rFonts w:cs="Arial"/>
          <w:sz w:val="24"/>
          <w:szCs w:val="24"/>
          <w:lang w:val="es-ES_tradnl"/>
        </w:rPr>
        <w:t xml:space="preserve">Al tenerse cumplidos los requisitos de procedencia del recurso que se resuelve y al no advertirse alguna causal de improcedencia, lo conducente es analizar el fondo de la </w:t>
      </w:r>
      <w:r w:rsidRPr="00D233AE">
        <w:rPr>
          <w:rFonts w:cs="Arial"/>
          <w:i/>
          <w:iCs/>
          <w:sz w:val="24"/>
          <w:szCs w:val="24"/>
          <w:lang w:val="es-ES_tradnl"/>
        </w:rPr>
        <w:t xml:space="preserve">litis </w:t>
      </w:r>
      <w:r w:rsidRPr="00D233AE">
        <w:rPr>
          <w:rFonts w:cs="Arial"/>
          <w:sz w:val="24"/>
          <w:szCs w:val="24"/>
          <w:lang w:val="es-ES_tradnl"/>
        </w:rPr>
        <w:t>planteada.</w:t>
      </w:r>
    </w:p>
    <w:p w14:paraId="03692BF5" w14:textId="77777777" w:rsidR="00230F41" w:rsidRPr="00D233AE" w:rsidRDefault="00230F41" w:rsidP="00230F41">
      <w:pPr>
        <w:spacing w:line="360" w:lineRule="auto"/>
        <w:jc w:val="both"/>
        <w:rPr>
          <w:rFonts w:eastAsia="Arial" w:cs="Arial"/>
          <w:b/>
          <w:color w:val="000000"/>
          <w:sz w:val="24"/>
          <w:szCs w:val="24"/>
          <w:lang w:val="es-ES_tradnl"/>
        </w:rPr>
      </w:pPr>
    </w:p>
    <w:p w14:paraId="74C8013D" w14:textId="77777777" w:rsidR="002A3EEB" w:rsidRPr="00D233AE" w:rsidRDefault="00882E30" w:rsidP="008D05B9">
      <w:pPr>
        <w:tabs>
          <w:tab w:val="left" w:pos="1215"/>
        </w:tabs>
        <w:spacing w:line="360" w:lineRule="auto"/>
        <w:jc w:val="center"/>
        <w:rPr>
          <w:rFonts w:eastAsia="Aptos" w:cs="Arial"/>
          <w:b/>
          <w:kern w:val="2"/>
          <w:sz w:val="24"/>
          <w:szCs w:val="24"/>
          <w:bdr w:val="nil"/>
          <w:lang w:eastAsia="en-US"/>
        </w:rPr>
      </w:pPr>
      <w:r w:rsidRPr="00D233AE">
        <w:rPr>
          <w:rFonts w:eastAsia="Aptos" w:cs="Arial"/>
          <w:b/>
          <w:bCs/>
          <w:kern w:val="2"/>
          <w:sz w:val="24"/>
          <w:szCs w:val="24"/>
          <w:lang w:eastAsia="en-US"/>
        </w:rPr>
        <w:t>V</w:t>
      </w:r>
      <w:r w:rsidR="00230F41" w:rsidRPr="00D233AE">
        <w:rPr>
          <w:rFonts w:eastAsia="Aptos" w:cs="Arial"/>
          <w:b/>
          <w:bCs/>
          <w:kern w:val="2"/>
          <w:sz w:val="24"/>
          <w:szCs w:val="24"/>
          <w:lang w:eastAsia="en-US"/>
        </w:rPr>
        <w:t xml:space="preserve">. </w:t>
      </w:r>
      <w:r w:rsidR="00230F41" w:rsidRPr="00D233AE">
        <w:rPr>
          <w:rFonts w:eastAsia="Aptos" w:cs="Arial"/>
          <w:b/>
          <w:kern w:val="2"/>
          <w:sz w:val="24"/>
          <w:szCs w:val="24"/>
          <w:bdr w:val="nil"/>
          <w:lang w:eastAsia="en-US"/>
        </w:rPr>
        <w:t>ESTUDIO DE FONDO</w:t>
      </w:r>
    </w:p>
    <w:p w14:paraId="37E46A93" w14:textId="77777777" w:rsidR="008D05B9" w:rsidRPr="00D233AE" w:rsidRDefault="008D05B9" w:rsidP="008D05B9">
      <w:pPr>
        <w:tabs>
          <w:tab w:val="left" w:pos="1215"/>
        </w:tabs>
        <w:spacing w:line="360" w:lineRule="auto"/>
        <w:jc w:val="center"/>
        <w:rPr>
          <w:rFonts w:eastAsia="Aptos" w:cs="Arial"/>
          <w:b/>
          <w:kern w:val="2"/>
          <w:sz w:val="24"/>
          <w:szCs w:val="24"/>
          <w:bdr w:val="nil"/>
          <w:lang w:eastAsia="en-US"/>
        </w:rPr>
      </w:pPr>
    </w:p>
    <w:p w14:paraId="50D969D6" w14:textId="77777777" w:rsidR="004A7315" w:rsidRPr="00D233AE" w:rsidRDefault="00C209F0" w:rsidP="004A7315">
      <w:pPr>
        <w:pStyle w:val="Sinespaciado"/>
        <w:spacing w:line="360" w:lineRule="auto"/>
        <w:jc w:val="both"/>
        <w:rPr>
          <w:rFonts w:ascii="Arial" w:hAnsi="Arial" w:cs="Arial"/>
          <w:b/>
          <w:bCs/>
          <w:sz w:val="24"/>
          <w:szCs w:val="24"/>
        </w:rPr>
      </w:pPr>
      <w:r w:rsidRPr="00D233AE">
        <w:rPr>
          <w:rFonts w:ascii="Arial" w:hAnsi="Arial" w:cs="Arial"/>
          <w:b/>
          <w:bCs/>
          <w:sz w:val="24"/>
          <w:szCs w:val="24"/>
          <w:lang w:val="es-ES" w:eastAsia="es-ES"/>
        </w:rPr>
        <w:t xml:space="preserve">PRIMERO. </w:t>
      </w:r>
      <w:bookmarkStart w:id="4" w:name="_Toc165917457"/>
      <w:r w:rsidR="000B755C" w:rsidRPr="00D233AE">
        <w:rPr>
          <w:rFonts w:ascii="Arial" w:hAnsi="Arial" w:cs="Arial"/>
          <w:b/>
          <w:bCs/>
          <w:sz w:val="24"/>
          <w:szCs w:val="24"/>
        </w:rPr>
        <w:t>Contexto de la controversia</w:t>
      </w:r>
      <w:bookmarkEnd w:id="4"/>
    </w:p>
    <w:p w14:paraId="3FBE07D1" w14:textId="77777777" w:rsidR="00EC118C" w:rsidRPr="00D233AE" w:rsidRDefault="00EC118C" w:rsidP="004A7315">
      <w:pPr>
        <w:pStyle w:val="Sinespaciado"/>
        <w:spacing w:line="360" w:lineRule="auto"/>
        <w:jc w:val="both"/>
        <w:rPr>
          <w:rFonts w:ascii="Arial" w:hAnsi="Arial" w:cs="Arial"/>
          <w:sz w:val="24"/>
          <w:szCs w:val="24"/>
        </w:rPr>
      </w:pPr>
    </w:p>
    <w:p w14:paraId="783EA4EE" w14:textId="77777777" w:rsidR="005E0817" w:rsidRPr="00D233AE" w:rsidRDefault="00492DB9" w:rsidP="004A7315">
      <w:pPr>
        <w:pStyle w:val="Sinespaciado"/>
        <w:spacing w:line="360" w:lineRule="auto"/>
        <w:jc w:val="both"/>
        <w:rPr>
          <w:rFonts w:ascii="Arial" w:hAnsi="Arial" w:cs="Arial"/>
          <w:b/>
          <w:bCs/>
          <w:sz w:val="24"/>
          <w:szCs w:val="24"/>
        </w:rPr>
      </w:pPr>
      <w:r w:rsidRPr="00D233AE">
        <w:rPr>
          <w:rFonts w:ascii="Arial" w:hAnsi="Arial" w:cs="Arial"/>
          <w:b/>
          <w:bCs/>
          <w:sz w:val="24"/>
          <w:szCs w:val="24"/>
        </w:rPr>
        <w:t xml:space="preserve">Antecedente </w:t>
      </w:r>
      <w:r w:rsidR="0038393A" w:rsidRPr="00D233AE">
        <w:rPr>
          <w:rFonts w:ascii="Arial" w:hAnsi="Arial" w:cs="Arial"/>
          <w:b/>
          <w:bCs/>
          <w:sz w:val="24"/>
          <w:szCs w:val="24"/>
        </w:rPr>
        <w:t xml:space="preserve">del </w:t>
      </w:r>
      <w:r w:rsidR="005E0817" w:rsidRPr="00D233AE">
        <w:rPr>
          <w:rFonts w:ascii="Arial" w:hAnsi="Arial" w:cs="Arial"/>
          <w:b/>
          <w:bCs/>
          <w:sz w:val="24"/>
          <w:szCs w:val="24"/>
        </w:rPr>
        <w:t>Procedimiento Ordinario Sancionador</w:t>
      </w:r>
    </w:p>
    <w:p w14:paraId="164A2DA8" w14:textId="77777777" w:rsidR="000D1D61" w:rsidRPr="00D233AE" w:rsidRDefault="000D1D61" w:rsidP="004A7315">
      <w:pPr>
        <w:pStyle w:val="Sinespaciado"/>
        <w:spacing w:line="360" w:lineRule="auto"/>
        <w:jc w:val="both"/>
        <w:rPr>
          <w:rFonts w:ascii="Arial" w:hAnsi="Arial" w:cs="Arial"/>
          <w:sz w:val="24"/>
          <w:szCs w:val="24"/>
        </w:rPr>
      </w:pPr>
    </w:p>
    <w:p w14:paraId="36C64ECA" w14:textId="77777777" w:rsidR="00FA5AAE" w:rsidRPr="00D233AE" w:rsidRDefault="0038393A" w:rsidP="0038393A">
      <w:pPr>
        <w:pStyle w:val="Sinespaciado"/>
        <w:spacing w:line="360" w:lineRule="auto"/>
        <w:jc w:val="both"/>
        <w:rPr>
          <w:rFonts w:ascii="Arial" w:hAnsi="Arial" w:cs="Arial"/>
          <w:sz w:val="24"/>
          <w:szCs w:val="24"/>
        </w:rPr>
      </w:pPr>
      <w:r w:rsidRPr="00D233AE">
        <w:rPr>
          <w:rFonts w:ascii="Arial" w:hAnsi="Arial" w:cs="Arial"/>
          <w:sz w:val="24"/>
          <w:szCs w:val="24"/>
        </w:rPr>
        <w:t xml:space="preserve">En el desarrollo del proceso electoral ordinario local 2023-2024, específicamente en la etapa de registro de candidaturas, el </w:t>
      </w:r>
      <w:r w:rsidRPr="00D233AE">
        <w:rPr>
          <w:rFonts w:ascii="Arial" w:hAnsi="Arial" w:cs="Arial"/>
          <w:i/>
          <w:iCs/>
          <w:sz w:val="24"/>
          <w:szCs w:val="24"/>
        </w:rPr>
        <w:t xml:space="preserve">IEM </w:t>
      </w:r>
      <w:r w:rsidRPr="00D233AE">
        <w:rPr>
          <w:rFonts w:ascii="Arial" w:hAnsi="Arial" w:cs="Arial"/>
          <w:sz w:val="24"/>
          <w:szCs w:val="24"/>
        </w:rPr>
        <w:t xml:space="preserve">mediante </w:t>
      </w:r>
      <w:r w:rsidR="005E0817" w:rsidRPr="00D233AE">
        <w:rPr>
          <w:rFonts w:ascii="Arial" w:hAnsi="Arial" w:cs="Arial"/>
          <w:sz w:val="24"/>
          <w:szCs w:val="24"/>
        </w:rPr>
        <w:t xml:space="preserve">oficios IEM-SE-MPAA-DIP-013/2024 y IEM-SE-MPAA-DIP-020/2024, de </w:t>
      </w:r>
      <w:r w:rsidRPr="00D233AE">
        <w:rPr>
          <w:rFonts w:ascii="Arial" w:hAnsi="Arial" w:cs="Arial"/>
          <w:sz w:val="24"/>
          <w:szCs w:val="24"/>
        </w:rPr>
        <w:t>veinte y veinti</w:t>
      </w:r>
      <w:r w:rsidR="00D40AFC" w:rsidRPr="00D233AE">
        <w:rPr>
          <w:rFonts w:ascii="Arial" w:hAnsi="Arial" w:cs="Arial"/>
          <w:sz w:val="24"/>
          <w:szCs w:val="24"/>
        </w:rPr>
        <w:t>trés de abril</w:t>
      </w:r>
      <w:r w:rsidR="00304687" w:rsidRPr="00D233AE">
        <w:rPr>
          <w:rFonts w:ascii="Arial" w:hAnsi="Arial" w:cs="Arial"/>
          <w:sz w:val="24"/>
          <w:szCs w:val="24"/>
        </w:rPr>
        <w:t xml:space="preserve"> de dos mil veinticuatro</w:t>
      </w:r>
      <w:r w:rsidR="005E0817" w:rsidRPr="00D233AE">
        <w:rPr>
          <w:rFonts w:ascii="Arial" w:hAnsi="Arial" w:cs="Arial"/>
          <w:sz w:val="24"/>
          <w:szCs w:val="24"/>
        </w:rPr>
        <w:t>,</w:t>
      </w:r>
      <w:r w:rsidR="00D40AFC" w:rsidRPr="00D233AE">
        <w:rPr>
          <w:rFonts w:ascii="Arial" w:hAnsi="Arial" w:cs="Arial"/>
          <w:sz w:val="24"/>
          <w:szCs w:val="24"/>
        </w:rPr>
        <w:t xml:space="preserve"> respectivamente, </w:t>
      </w:r>
      <w:r w:rsidR="005E0817" w:rsidRPr="00D233AE">
        <w:rPr>
          <w:rFonts w:ascii="Arial" w:hAnsi="Arial" w:cs="Arial"/>
          <w:sz w:val="24"/>
          <w:szCs w:val="24"/>
        </w:rPr>
        <w:t xml:space="preserve">requirió al </w:t>
      </w:r>
      <w:r w:rsidRPr="00D233AE">
        <w:rPr>
          <w:rFonts w:ascii="Arial" w:hAnsi="Arial" w:cs="Arial"/>
          <w:i/>
          <w:iCs/>
          <w:sz w:val="24"/>
          <w:szCs w:val="24"/>
        </w:rPr>
        <w:t>PT</w:t>
      </w:r>
      <w:r w:rsidR="005E0817" w:rsidRPr="00D233AE">
        <w:rPr>
          <w:rFonts w:ascii="Arial" w:hAnsi="Arial" w:cs="Arial"/>
          <w:sz w:val="24"/>
          <w:szCs w:val="24"/>
        </w:rPr>
        <w:t xml:space="preserve"> para que</w:t>
      </w:r>
      <w:r w:rsidR="00912132" w:rsidRPr="00D233AE">
        <w:rPr>
          <w:rFonts w:ascii="Arial" w:hAnsi="Arial" w:cs="Arial"/>
          <w:sz w:val="24"/>
          <w:szCs w:val="24"/>
        </w:rPr>
        <w:t>,</w:t>
      </w:r>
      <w:r w:rsidR="005E0817" w:rsidRPr="00D233AE">
        <w:rPr>
          <w:rFonts w:ascii="Arial" w:hAnsi="Arial" w:cs="Arial"/>
          <w:sz w:val="24"/>
          <w:szCs w:val="24"/>
        </w:rPr>
        <w:t xml:space="preserve"> de conformidad con los artículos 18</w:t>
      </w:r>
      <w:r w:rsidR="003A4152" w:rsidRPr="00D233AE">
        <w:rPr>
          <w:rStyle w:val="Refdenotaalpie"/>
          <w:rFonts w:ascii="Arial" w:hAnsi="Arial" w:cs="Arial"/>
          <w:sz w:val="24"/>
          <w:szCs w:val="24"/>
        </w:rPr>
        <w:footnoteReference w:id="17"/>
      </w:r>
      <w:r w:rsidR="005E0817" w:rsidRPr="00D233AE">
        <w:rPr>
          <w:rFonts w:ascii="Arial" w:hAnsi="Arial" w:cs="Arial"/>
          <w:sz w:val="24"/>
          <w:szCs w:val="24"/>
        </w:rPr>
        <w:t xml:space="preserve"> y 20</w:t>
      </w:r>
      <w:r w:rsidR="003A4152" w:rsidRPr="00D233AE">
        <w:rPr>
          <w:rStyle w:val="Refdenotaalpie"/>
          <w:rFonts w:ascii="Arial" w:hAnsi="Arial" w:cs="Arial"/>
          <w:sz w:val="24"/>
          <w:szCs w:val="24"/>
        </w:rPr>
        <w:footnoteReference w:id="18"/>
      </w:r>
      <w:r w:rsidR="005E0817" w:rsidRPr="00D233AE">
        <w:rPr>
          <w:rFonts w:ascii="Arial" w:hAnsi="Arial" w:cs="Arial"/>
          <w:sz w:val="24"/>
          <w:szCs w:val="24"/>
        </w:rPr>
        <w:t xml:space="preserve"> de los </w:t>
      </w:r>
      <w:r w:rsidRPr="00D233AE">
        <w:rPr>
          <w:rFonts w:ascii="Arial" w:hAnsi="Arial" w:cs="Arial"/>
          <w:i/>
          <w:iCs/>
          <w:sz w:val="24"/>
          <w:szCs w:val="24"/>
        </w:rPr>
        <w:t xml:space="preserve">Lineamientos en materia de Acciones Afirmativas, </w:t>
      </w:r>
      <w:r w:rsidRPr="00D233AE">
        <w:rPr>
          <w:rFonts w:ascii="Arial" w:hAnsi="Arial" w:cs="Arial"/>
          <w:sz w:val="24"/>
          <w:szCs w:val="24"/>
        </w:rPr>
        <w:t xml:space="preserve">a </w:t>
      </w:r>
      <w:r w:rsidRPr="00D233AE">
        <w:rPr>
          <w:rFonts w:ascii="Arial" w:hAnsi="Arial" w:cs="Arial"/>
          <w:sz w:val="24"/>
          <w:szCs w:val="24"/>
        </w:rPr>
        <w:lastRenderedPageBreak/>
        <w:t>efecto de que</w:t>
      </w:r>
      <w:r w:rsidRPr="00D233AE">
        <w:rPr>
          <w:rFonts w:ascii="Arial" w:hAnsi="Arial" w:cs="Arial"/>
          <w:i/>
          <w:iCs/>
          <w:sz w:val="24"/>
          <w:szCs w:val="24"/>
        </w:rPr>
        <w:t xml:space="preserve"> </w:t>
      </w:r>
      <w:r w:rsidR="005E0817" w:rsidRPr="00D233AE">
        <w:rPr>
          <w:rFonts w:ascii="Arial" w:hAnsi="Arial" w:cs="Arial"/>
          <w:sz w:val="24"/>
          <w:szCs w:val="24"/>
        </w:rPr>
        <w:t xml:space="preserve">presentara la documentación que acreditara la calidad o condición de personas migrantes, así como la binacionalidad de los ciudadanos que postuló en la </w:t>
      </w:r>
      <w:r w:rsidRPr="00D233AE">
        <w:rPr>
          <w:rFonts w:ascii="Arial" w:hAnsi="Arial" w:cs="Arial"/>
          <w:sz w:val="24"/>
          <w:szCs w:val="24"/>
        </w:rPr>
        <w:t>fórmula</w:t>
      </w:r>
      <w:r w:rsidR="005E0817" w:rsidRPr="00D233AE">
        <w:rPr>
          <w:rFonts w:ascii="Arial" w:hAnsi="Arial" w:cs="Arial"/>
          <w:sz w:val="24"/>
          <w:szCs w:val="24"/>
        </w:rPr>
        <w:t xml:space="preserve"> 6 de la candidatura de representación proporcional, </w:t>
      </w:r>
      <w:r w:rsidR="00044B3F" w:rsidRPr="00D233AE">
        <w:rPr>
          <w:rFonts w:ascii="Arial" w:hAnsi="Arial" w:cs="Arial"/>
          <w:sz w:val="24"/>
          <w:szCs w:val="24"/>
        </w:rPr>
        <w:t>ya que de</w:t>
      </w:r>
      <w:r w:rsidR="005E289F" w:rsidRPr="00D233AE">
        <w:rPr>
          <w:rFonts w:ascii="Arial" w:hAnsi="Arial" w:cs="Arial"/>
          <w:sz w:val="24"/>
          <w:szCs w:val="24"/>
        </w:rPr>
        <w:t xml:space="preserve">l </w:t>
      </w:r>
      <w:r w:rsidR="00044B3F" w:rsidRPr="00D233AE">
        <w:rPr>
          <w:rFonts w:ascii="Arial" w:hAnsi="Arial" w:cs="Arial"/>
          <w:sz w:val="24"/>
          <w:szCs w:val="24"/>
        </w:rPr>
        <w:t xml:space="preserve">expediente presentado no se advertía tal carácter, </w:t>
      </w:r>
      <w:r w:rsidR="005E0817" w:rsidRPr="00D233AE">
        <w:rPr>
          <w:rFonts w:ascii="Arial" w:hAnsi="Arial" w:cs="Arial"/>
          <w:sz w:val="24"/>
          <w:szCs w:val="24"/>
        </w:rPr>
        <w:t>sin que hubiera respuesta por parte del partido apelante en cuestión.</w:t>
      </w:r>
      <w:r w:rsidR="005E0817" w:rsidRPr="00D233AE">
        <w:rPr>
          <w:rStyle w:val="Refdenotaalpie"/>
          <w:rFonts w:ascii="Arial" w:hAnsi="Arial" w:cs="Arial"/>
          <w:sz w:val="24"/>
          <w:szCs w:val="24"/>
        </w:rPr>
        <w:footnoteReference w:id="19"/>
      </w:r>
      <w:r w:rsidR="00044B3F" w:rsidRPr="00D233AE">
        <w:rPr>
          <w:rFonts w:ascii="Arial" w:hAnsi="Arial" w:cs="Arial"/>
          <w:sz w:val="24"/>
          <w:szCs w:val="24"/>
        </w:rPr>
        <w:t xml:space="preserve"> Como se advierte de la tabla que se inserta:</w:t>
      </w:r>
    </w:p>
    <w:p w14:paraId="70C95D2B" w14:textId="77777777" w:rsidR="00A12A65" w:rsidRPr="00D233AE" w:rsidRDefault="00A12A65" w:rsidP="0038393A">
      <w:pPr>
        <w:pStyle w:val="Sinespaciado"/>
        <w:spacing w:line="360" w:lineRule="auto"/>
        <w:jc w:val="both"/>
        <w:rPr>
          <w:rFonts w:ascii="Arial" w:hAnsi="Arial" w:cs="Arial"/>
          <w:sz w:val="24"/>
          <w:szCs w:val="24"/>
        </w:rPr>
      </w:pPr>
    </w:p>
    <w:p w14:paraId="780826E4" w14:textId="77777777" w:rsidR="00492DB9" w:rsidRPr="00D233AE" w:rsidRDefault="00044B3F" w:rsidP="00044B3F">
      <w:pPr>
        <w:pStyle w:val="Sinespaciado"/>
        <w:spacing w:line="360" w:lineRule="auto"/>
        <w:jc w:val="center"/>
        <w:rPr>
          <w:rFonts w:cs="Arial"/>
          <w:noProof/>
          <w:sz w:val="24"/>
          <w:szCs w:val="24"/>
        </w:rPr>
      </w:pPr>
      <w:r w:rsidRPr="00D233AE">
        <w:rPr>
          <w:rFonts w:cs="Arial"/>
          <w:noProof/>
          <w:sz w:val="24"/>
          <w:szCs w:val="24"/>
        </w:rPr>
        <w:pict w14:anchorId="06D359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6" type="#_x0000_t75" style="width:261pt;height:162pt;visibility:visible">
            <v:imagedata r:id="rId8" o:title=""/>
          </v:shape>
        </w:pict>
      </w:r>
    </w:p>
    <w:p w14:paraId="6BC8E4CC" w14:textId="77777777" w:rsidR="00FA5AAE" w:rsidRPr="00D233AE" w:rsidRDefault="00FA5AAE" w:rsidP="00044B3F">
      <w:pPr>
        <w:pStyle w:val="Sinespaciado"/>
        <w:spacing w:line="360" w:lineRule="auto"/>
        <w:jc w:val="center"/>
        <w:rPr>
          <w:rFonts w:cs="Arial"/>
          <w:sz w:val="24"/>
          <w:szCs w:val="24"/>
        </w:rPr>
      </w:pPr>
    </w:p>
    <w:p w14:paraId="14FE5C93" w14:textId="77777777" w:rsidR="00044B3F" w:rsidRPr="00D233AE" w:rsidRDefault="00044B3F" w:rsidP="0038393A">
      <w:pPr>
        <w:pStyle w:val="Sinespaciado"/>
        <w:spacing w:line="360" w:lineRule="auto"/>
        <w:jc w:val="both"/>
        <w:rPr>
          <w:rFonts w:ascii="Arial" w:hAnsi="Arial" w:cs="Arial"/>
          <w:sz w:val="24"/>
          <w:szCs w:val="24"/>
        </w:rPr>
      </w:pPr>
      <w:r w:rsidRPr="00D233AE">
        <w:rPr>
          <w:rFonts w:ascii="Arial" w:hAnsi="Arial" w:cs="Arial"/>
          <w:sz w:val="24"/>
          <w:szCs w:val="24"/>
        </w:rPr>
        <w:t xml:space="preserve">Por lo anterior, en el acuerdo </w:t>
      </w:r>
      <w:r w:rsidR="00492DB9" w:rsidRPr="00D233AE">
        <w:rPr>
          <w:rFonts w:ascii="Arial" w:hAnsi="Arial" w:cs="Arial"/>
          <w:sz w:val="24"/>
          <w:szCs w:val="24"/>
        </w:rPr>
        <w:t xml:space="preserve">IEM-CG-170/2024 </w:t>
      </w:r>
      <w:r w:rsidRPr="00D233AE">
        <w:rPr>
          <w:rFonts w:ascii="Arial" w:hAnsi="Arial" w:cs="Arial"/>
          <w:sz w:val="24"/>
          <w:szCs w:val="24"/>
        </w:rPr>
        <w:t xml:space="preserve">del </w:t>
      </w:r>
      <w:r w:rsidRPr="00D233AE">
        <w:rPr>
          <w:rFonts w:ascii="Arial" w:hAnsi="Arial" w:cs="Arial"/>
          <w:i/>
          <w:iCs/>
          <w:sz w:val="24"/>
          <w:szCs w:val="24"/>
        </w:rPr>
        <w:t>Consejo General</w:t>
      </w:r>
      <w:r w:rsidRPr="00D233AE">
        <w:rPr>
          <w:rFonts w:ascii="Arial" w:hAnsi="Arial" w:cs="Arial"/>
          <w:sz w:val="24"/>
          <w:szCs w:val="24"/>
        </w:rPr>
        <w:t xml:space="preserve">, </w:t>
      </w:r>
      <w:r w:rsidR="00492DB9" w:rsidRPr="00D233AE">
        <w:rPr>
          <w:rFonts w:ascii="Arial" w:hAnsi="Arial" w:cs="Arial"/>
          <w:sz w:val="24"/>
          <w:szCs w:val="24"/>
        </w:rPr>
        <w:t xml:space="preserve">por el cual se resolvió la paridad de género en la postulación de candidaturas a diputación por el principio de representación proporcional; y sobre el cumplimiento de las acciones afirmativas en la postulación de candidaturas de diputaciones locales por los principios de mayoría relativa y de representación proporcional, para el </w:t>
      </w:r>
      <w:r w:rsidR="00492DB9" w:rsidRPr="00D233AE">
        <w:rPr>
          <w:rFonts w:ascii="Arial" w:hAnsi="Arial" w:cs="Arial"/>
          <w:sz w:val="24"/>
          <w:szCs w:val="24"/>
        </w:rPr>
        <w:lastRenderedPageBreak/>
        <w:t xml:space="preserve">proceso electoral local ordinario 2023-2024, presentadas por los partidos políticos, se determinó </w:t>
      </w:r>
      <w:r w:rsidRPr="00D233AE">
        <w:rPr>
          <w:rFonts w:ascii="Arial" w:hAnsi="Arial" w:cs="Arial"/>
          <w:sz w:val="24"/>
          <w:szCs w:val="24"/>
        </w:rPr>
        <w:t xml:space="preserve">que, una vez agotados los dos requerimientos y, al no haberse presentado documentación que acredite la residencia binacional, así como la calidad o condición de migrante de la fórmula integrada por Juan José Márquez Villanueva y Luis Enrique Tapia Frías, propietario y suplente respetivamente de la fórmula seis de diputaciones de representación proporcional, se </w:t>
      </w:r>
      <w:r w:rsidR="00492DB9" w:rsidRPr="00D233AE">
        <w:rPr>
          <w:rFonts w:ascii="Arial" w:hAnsi="Arial" w:cs="Arial"/>
          <w:sz w:val="24"/>
          <w:szCs w:val="24"/>
        </w:rPr>
        <w:t>hizo</w:t>
      </w:r>
      <w:r w:rsidRPr="00D233AE">
        <w:rPr>
          <w:rFonts w:ascii="Arial" w:hAnsi="Arial" w:cs="Arial"/>
          <w:sz w:val="24"/>
          <w:szCs w:val="24"/>
        </w:rPr>
        <w:t xml:space="preserve"> efectivo el apercibimiento realizado al </w:t>
      </w:r>
      <w:r w:rsidR="00492DB9" w:rsidRPr="00D233AE">
        <w:rPr>
          <w:rFonts w:ascii="Arial" w:hAnsi="Arial" w:cs="Arial"/>
          <w:i/>
          <w:iCs/>
          <w:sz w:val="24"/>
          <w:szCs w:val="24"/>
        </w:rPr>
        <w:t xml:space="preserve">PT </w:t>
      </w:r>
      <w:r w:rsidRPr="00D233AE">
        <w:rPr>
          <w:rFonts w:ascii="Arial" w:hAnsi="Arial" w:cs="Arial"/>
          <w:sz w:val="24"/>
          <w:szCs w:val="24"/>
        </w:rPr>
        <w:t xml:space="preserve">consistente en proceder conforme </w:t>
      </w:r>
      <w:r w:rsidR="00623E5B" w:rsidRPr="00D233AE">
        <w:rPr>
          <w:rFonts w:ascii="Arial" w:hAnsi="Arial" w:cs="Arial"/>
          <w:sz w:val="24"/>
          <w:szCs w:val="24"/>
        </w:rPr>
        <w:t xml:space="preserve">con </w:t>
      </w:r>
      <w:r w:rsidRPr="00D233AE">
        <w:rPr>
          <w:rFonts w:ascii="Arial" w:hAnsi="Arial" w:cs="Arial"/>
          <w:sz w:val="24"/>
          <w:szCs w:val="24"/>
        </w:rPr>
        <w:t xml:space="preserve">lo previsto en el artículo 23 de los </w:t>
      </w:r>
      <w:r w:rsidRPr="00D233AE">
        <w:rPr>
          <w:rFonts w:ascii="Arial" w:hAnsi="Arial" w:cs="Arial"/>
          <w:i/>
          <w:iCs/>
          <w:sz w:val="24"/>
          <w:szCs w:val="24"/>
        </w:rPr>
        <w:t xml:space="preserve">Lineamientos </w:t>
      </w:r>
      <w:r w:rsidR="00492DB9" w:rsidRPr="00D233AE">
        <w:rPr>
          <w:rFonts w:ascii="Arial" w:hAnsi="Arial" w:cs="Arial"/>
          <w:i/>
          <w:iCs/>
          <w:sz w:val="24"/>
          <w:szCs w:val="24"/>
        </w:rPr>
        <w:t xml:space="preserve">en materia </w:t>
      </w:r>
      <w:r w:rsidRPr="00D233AE">
        <w:rPr>
          <w:rFonts w:ascii="Arial" w:hAnsi="Arial" w:cs="Arial"/>
          <w:i/>
          <w:iCs/>
          <w:sz w:val="24"/>
          <w:szCs w:val="24"/>
        </w:rPr>
        <w:t>de Acciones Afirmativas</w:t>
      </w:r>
      <w:r w:rsidRPr="00D233AE">
        <w:rPr>
          <w:rFonts w:ascii="Arial" w:hAnsi="Arial" w:cs="Arial"/>
          <w:sz w:val="24"/>
          <w:szCs w:val="24"/>
        </w:rPr>
        <w:t>, por lo cual</w:t>
      </w:r>
      <w:r w:rsidR="00623E5B" w:rsidRPr="00D233AE">
        <w:rPr>
          <w:rFonts w:ascii="Arial" w:hAnsi="Arial" w:cs="Arial"/>
          <w:sz w:val="24"/>
          <w:szCs w:val="24"/>
        </w:rPr>
        <w:t xml:space="preserve">, </w:t>
      </w:r>
      <w:r w:rsidRPr="00D233AE">
        <w:rPr>
          <w:rFonts w:ascii="Arial" w:hAnsi="Arial" w:cs="Arial"/>
          <w:sz w:val="24"/>
          <w:szCs w:val="24"/>
        </w:rPr>
        <w:t>se orden</w:t>
      </w:r>
      <w:r w:rsidR="00492DB9" w:rsidRPr="00D233AE">
        <w:rPr>
          <w:rFonts w:ascii="Arial" w:hAnsi="Arial" w:cs="Arial"/>
          <w:sz w:val="24"/>
          <w:szCs w:val="24"/>
        </w:rPr>
        <w:t>ó</w:t>
      </w:r>
      <w:r w:rsidRPr="00D233AE">
        <w:rPr>
          <w:rFonts w:ascii="Arial" w:hAnsi="Arial" w:cs="Arial"/>
          <w:sz w:val="24"/>
          <w:szCs w:val="24"/>
        </w:rPr>
        <w:t xml:space="preserve"> dar vista a la Secretar</w:t>
      </w:r>
      <w:r w:rsidR="00623E5B" w:rsidRPr="00D233AE">
        <w:rPr>
          <w:rFonts w:ascii="Arial" w:hAnsi="Arial" w:cs="Arial"/>
          <w:sz w:val="24"/>
          <w:szCs w:val="24"/>
        </w:rPr>
        <w:t>i</w:t>
      </w:r>
      <w:r w:rsidRPr="00D233AE">
        <w:rPr>
          <w:rFonts w:ascii="Arial" w:hAnsi="Arial" w:cs="Arial"/>
          <w:sz w:val="24"/>
          <w:szCs w:val="24"/>
        </w:rPr>
        <w:t>a Ejecutiva a fin de que inici</w:t>
      </w:r>
      <w:r w:rsidR="00492DB9" w:rsidRPr="00D233AE">
        <w:rPr>
          <w:rFonts w:ascii="Arial" w:hAnsi="Arial" w:cs="Arial"/>
          <w:sz w:val="24"/>
          <w:szCs w:val="24"/>
        </w:rPr>
        <w:t>ara</w:t>
      </w:r>
      <w:r w:rsidRPr="00D233AE">
        <w:rPr>
          <w:rFonts w:ascii="Arial" w:hAnsi="Arial" w:cs="Arial"/>
          <w:sz w:val="24"/>
          <w:szCs w:val="24"/>
        </w:rPr>
        <w:t xml:space="preserve"> el procedimiento que corresponda</w:t>
      </w:r>
      <w:r w:rsidR="00492DB9" w:rsidRPr="00D233AE">
        <w:rPr>
          <w:rFonts w:ascii="Arial" w:hAnsi="Arial" w:cs="Arial"/>
          <w:sz w:val="24"/>
          <w:szCs w:val="24"/>
        </w:rPr>
        <w:t xml:space="preserve">. </w:t>
      </w:r>
    </w:p>
    <w:p w14:paraId="7D322D9E" w14:textId="77777777" w:rsidR="00044B3F" w:rsidRPr="00D233AE" w:rsidRDefault="00044B3F" w:rsidP="0038393A">
      <w:pPr>
        <w:pStyle w:val="Sinespaciado"/>
        <w:spacing w:line="360" w:lineRule="auto"/>
        <w:jc w:val="both"/>
        <w:rPr>
          <w:rFonts w:cs="Arial"/>
          <w:sz w:val="24"/>
          <w:szCs w:val="24"/>
        </w:rPr>
      </w:pPr>
    </w:p>
    <w:p w14:paraId="090D0BC6" w14:textId="77777777" w:rsidR="00492DB9" w:rsidRPr="00D233AE" w:rsidRDefault="00492DB9" w:rsidP="00492DB9">
      <w:pPr>
        <w:spacing w:line="360" w:lineRule="auto"/>
        <w:jc w:val="both"/>
        <w:textAlignment w:val="baseline"/>
        <w:rPr>
          <w:rFonts w:cs="Arial"/>
          <w:sz w:val="24"/>
          <w:szCs w:val="24"/>
        </w:rPr>
      </w:pPr>
      <w:r w:rsidRPr="00D233AE">
        <w:rPr>
          <w:rFonts w:eastAsia="Aptos" w:cs="Arial"/>
          <w:bCs/>
          <w:kern w:val="2"/>
          <w:sz w:val="24"/>
          <w:szCs w:val="24"/>
          <w:lang w:val="es-ES_tradnl" w:eastAsia="en-US"/>
        </w:rPr>
        <w:t>En consecuencia, e</w:t>
      </w:r>
      <w:r w:rsidR="005E0817" w:rsidRPr="00D233AE">
        <w:rPr>
          <w:rFonts w:cs="Arial"/>
          <w:bCs/>
          <w:sz w:val="24"/>
          <w:szCs w:val="24"/>
        </w:rPr>
        <w:t>l</w:t>
      </w:r>
      <w:r w:rsidR="005E0817" w:rsidRPr="00D233AE">
        <w:rPr>
          <w:rFonts w:cs="Arial"/>
          <w:sz w:val="24"/>
          <w:szCs w:val="24"/>
        </w:rPr>
        <w:t xml:space="preserve"> diecisiete de febrero, se determinó reencauzar el Cuaderno de Antecedentes IEM-CA-16/2024, como procedimiento ordinario sancionador con la clave IEM-POS-05/2025, asimismo, se admitió de forma oficiosa el presente procedimiento en contra del </w:t>
      </w:r>
      <w:r w:rsidR="005E0817" w:rsidRPr="00D233AE">
        <w:rPr>
          <w:rFonts w:cs="Arial"/>
          <w:i/>
          <w:iCs/>
          <w:sz w:val="24"/>
          <w:szCs w:val="24"/>
        </w:rPr>
        <w:t>PT</w:t>
      </w:r>
      <w:r w:rsidR="005E0817" w:rsidRPr="00D233AE">
        <w:rPr>
          <w:rFonts w:cs="Arial"/>
          <w:sz w:val="24"/>
          <w:szCs w:val="24"/>
        </w:rPr>
        <w:t xml:space="preserve"> y se ordenó el inicio de la investigación por el plazo de ley. Posteriormente, se emplazó al </w:t>
      </w:r>
      <w:r w:rsidR="005E0817" w:rsidRPr="00D233AE">
        <w:rPr>
          <w:rFonts w:cs="Arial"/>
          <w:i/>
          <w:iCs/>
          <w:sz w:val="24"/>
          <w:szCs w:val="24"/>
        </w:rPr>
        <w:t>PT</w:t>
      </w:r>
      <w:r w:rsidR="005E0817" w:rsidRPr="00D233AE">
        <w:rPr>
          <w:rFonts w:cs="Arial"/>
          <w:sz w:val="24"/>
          <w:szCs w:val="24"/>
        </w:rPr>
        <w:t>, el cual contestó en tiempo y forma a las imputaciones formuladas en su contra y ofreció las pruebas que consideró pertinentes, mismas que se tuvieron por ofrecidas, admitidas y desahogadas.</w:t>
      </w:r>
    </w:p>
    <w:p w14:paraId="54896AB1" w14:textId="77777777" w:rsidR="00492DB9" w:rsidRPr="00D233AE" w:rsidRDefault="00492DB9" w:rsidP="00492DB9">
      <w:pPr>
        <w:spacing w:line="360" w:lineRule="auto"/>
        <w:jc w:val="both"/>
        <w:textAlignment w:val="baseline"/>
        <w:rPr>
          <w:rFonts w:cs="Arial"/>
          <w:b/>
          <w:bCs/>
          <w:sz w:val="24"/>
          <w:szCs w:val="24"/>
        </w:rPr>
      </w:pPr>
    </w:p>
    <w:p w14:paraId="36CEF83F" w14:textId="77777777" w:rsidR="00EC118C" w:rsidRPr="00D233AE" w:rsidRDefault="00492DB9" w:rsidP="00492DB9">
      <w:pPr>
        <w:spacing w:line="360" w:lineRule="auto"/>
        <w:jc w:val="both"/>
        <w:textAlignment w:val="baseline"/>
        <w:rPr>
          <w:rFonts w:cs="Arial"/>
          <w:b/>
          <w:bCs/>
          <w:sz w:val="24"/>
          <w:szCs w:val="24"/>
        </w:rPr>
      </w:pPr>
      <w:r w:rsidRPr="00D233AE">
        <w:rPr>
          <w:rFonts w:cs="Arial"/>
          <w:b/>
          <w:bCs/>
          <w:sz w:val="24"/>
          <w:szCs w:val="24"/>
        </w:rPr>
        <w:t>D</w:t>
      </w:r>
      <w:r w:rsidR="00EC118C" w:rsidRPr="00D233AE">
        <w:rPr>
          <w:rFonts w:cs="Arial"/>
          <w:b/>
          <w:bCs/>
          <w:sz w:val="24"/>
          <w:szCs w:val="24"/>
        </w:rPr>
        <w:t>eterminación de la autoridad responsable</w:t>
      </w:r>
      <w:r w:rsidRPr="00D233AE">
        <w:rPr>
          <w:rFonts w:cs="Arial"/>
          <w:b/>
          <w:bCs/>
          <w:sz w:val="24"/>
          <w:szCs w:val="24"/>
        </w:rPr>
        <w:t xml:space="preserve"> en el IEM-POS-05/2025</w:t>
      </w:r>
      <w:r w:rsidR="00EC118C" w:rsidRPr="00D233AE">
        <w:rPr>
          <w:rFonts w:cs="Arial"/>
          <w:b/>
          <w:bCs/>
          <w:sz w:val="24"/>
          <w:szCs w:val="24"/>
        </w:rPr>
        <w:t xml:space="preserve"> </w:t>
      </w:r>
    </w:p>
    <w:p w14:paraId="3D164A99" w14:textId="77777777" w:rsidR="00492DB9" w:rsidRPr="00D233AE" w:rsidRDefault="00492DB9" w:rsidP="00492DB9">
      <w:pPr>
        <w:spacing w:line="360" w:lineRule="auto"/>
        <w:jc w:val="both"/>
        <w:textAlignment w:val="baseline"/>
        <w:rPr>
          <w:rFonts w:cs="Arial"/>
          <w:sz w:val="24"/>
          <w:szCs w:val="24"/>
        </w:rPr>
      </w:pPr>
    </w:p>
    <w:p w14:paraId="1B38B4E3" w14:textId="77777777" w:rsidR="00EC118C" w:rsidRPr="00D233AE" w:rsidRDefault="00EC118C" w:rsidP="00492DB9">
      <w:pPr>
        <w:spacing w:line="360" w:lineRule="auto"/>
        <w:jc w:val="both"/>
        <w:textAlignment w:val="baseline"/>
        <w:rPr>
          <w:rFonts w:cs="Arial"/>
          <w:sz w:val="24"/>
          <w:szCs w:val="24"/>
        </w:rPr>
      </w:pPr>
      <w:r w:rsidRPr="00D233AE">
        <w:rPr>
          <w:rFonts w:cs="Arial"/>
          <w:sz w:val="24"/>
          <w:szCs w:val="24"/>
        </w:rPr>
        <w:t xml:space="preserve">En el caso, la autoridad responsable consideró que el </w:t>
      </w:r>
      <w:r w:rsidRPr="00D233AE">
        <w:rPr>
          <w:rFonts w:cs="Arial"/>
          <w:i/>
          <w:iCs/>
          <w:sz w:val="24"/>
          <w:szCs w:val="24"/>
        </w:rPr>
        <w:t>PT</w:t>
      </w:r>
      <w:r w:rsidRPr="00D233AE">
        <w:rPr>
          <w:rFonts w:cs="Arial"/>
          <w:sz w:val="24"/>
          <w:szCs w:val="24"/>
        </w:rPr>
        <w:t xml:space="preserve"> no cumplió con la cuota mínima de postulación de candidaturas, mediante acción afirmativa de migrantes, para los cargos de diputaciones de Mayoría Relativa y Representación Proporcional en el Proceso Electoral 2023-2024, de conformidad con lo establecido en el artículo 7 párrafo primero numeral 1 de los </w:t>
      </w:r>
      <w:bookmarkStart w:id="5" w:name="_Hlk208769602"/>
      <w:r w:rsidRPr="00D233AE">
        <w:rPr>
          <w:rFonts w:cs="Arial"/>
          <w:i/>
          <w:iCs/>
          <w:sz w:val="24"/>
          <w:szCs w:val="24"/>
        </w:rPr>
        <w:t>Lineamientos en materia de Acciones Afirmativas</w:t>
      </w:r>
      <w:r w:rsidRPr="00D233AE">
        <w:rPr>
          <w:rFonts w:cs="Arial"/>
          <w:sz w:val="24"/>
          <w:szCs w:val="24"/>
        </w:rPr>
        <w:t>,</w:t>
      </w:r>
      <w:bookmarkEnd w:id="5"/>
      <w:r w:rsidRPr="00D233AE">
        <w:rPr>
          <w:rFonts w:cs="Arial"/>
          <w:sz w:val="24"/>
          <w:szCs w:val="24"/>
        </w:rPr>
        <w:t xml:space="preserve"> ello</w:t>
      </w:r>
      <w:r w:rsidR="000B755C" w:rsidRPr="00D233AE">
        <w:rPr>
          <w:rFonts w:cs="Arial"/>
          <w:sz w:val="24"/>
          <w:szCs w:val="24"/>
        </w:rPr>
        <w:t>,</w:t>
      </w:r>
      <w:r w:rsidRPr="00D233AE">
        <w:rPr>
          <w:rFonts w:cs="Arial"/>
          <w:sz w:val="24"/>
          <w:szCs w:val="24"/>
        </w:rPr>
        <w:t xml:space="preserve"> toda vez que</w:t>
      </w:r>
      <w:r w:rsidR="000B755C" w:rsidRPr="00D233AE">
        <w:rPr>
          <w:rFonts w:cs="Arial"/>
          <w:sz w:val="24"/>
          <w:szCs w:val="24"/>
        </w:rPr>
        <w:t xml:space="preserve"> </w:t>
      </w:r>
      <w:r w:rsidRPr="00D233AE">
        <w:rPr>
          <w:rFonts w:cs="Arial"/>
          <w:sz w:val="24"/>
          <w:szCs w:val="24"/>
        </w:rPr>
        <w:t xml:space="preserve">quedó acreditado que no presentó la documentación que acreditara la residencia binacional, ni la calidad o condición de migrante de las personas que postuló el partido, calificando la falta como mediana e imponiendo una sanción económica de doscientas setenta </w:t>
      </w:r>
      <w:r w:rsidR="00C85EC2" w:rsidRPr="00D233AE">
        <w:rPr>
          <w:rFonts w:cs="Arial"/>
          <w:sz w:val="24"/>
          <w:szCs w:val="24"/>
        </w:rPr>
        <w:t xml:space="preserve">y una </w:t>
      </w:r>
      <w:r w:rsidRPr="00D233AE">
        <w:rPr>
          <w:rFonts w:cs="Arial"/>
          <w:sz w:val="24"/>
          <w:szCs w:val="24"/>
        </w:rPr>
        <w:t>veces el valor diario de la Unidad de Medida y Actualización, equivalente a $30,660.94 (treinta mil seiscientos sesenta pesos 94/100 M.N.).</w:t>
      </w:r>
    </w:p>
    <w:p w14:paraId="6980321E" w14:textId="77777777" w:rsidR="00FA5AAE" w:rsidRPr="00D233AE" w:rsidRDefault="00FA5AAE" w:rsidP="004A7315">
      <w:pPr>
        <w:pStyle w:val="Sinespaciado"/>
        <w:spacing w:line="360" w:lineRule="auto"/>
        <w:jc w:val="both"/>
        <w:rPr>
          <w:rFonts w:ascii="Arial" w:hAnsi="Arial" w:cs="Arial"/>
          <w:b/>
          <w:bCs/>
          <w:sz w:val="24"/>
          <w:szCs w:val="24"/>
        </w:rPr>
      </w:pPr>
    </w:p>
    <w:p w14:paraId="760F97F0" w14:textId="77777777" w:rsidR="004A7315" w:rsidRPr="00D233AE" w:rsidRDefault="00EC118C" w:rsidP="004A7315">
      <w:pPr>
        <w:pStyle w:val="Sinespaciado"/>
        <w:spacing w:line="360" w:lineRule="auto"/>
        <w:jc w:val="both"/>
        <w:rPr>
          <w:rFonts w:ascii="Arial" w:hAnsi="Arial" w:cs="Arial"/>
          <w:b/>
          <w:bCs/>
          <w:i/>
          <w:iCs/>
          <w:sz w:val="24"/>
          <w:szCs w:val="24"/>
        </w:rPr>
      </w:pPr>
      <w:r w:rsidRPr="00D233AE">
        <w:rPr>
          <w:rFonts w:ascii="Arial" w:hAnsi="Arial" w:cs="Arial"/>
          <w:b/>
          <w:bCs/>
          <w:sz w:val="24"/>
          <w:szCs w:val="24"/>
        </w:rPr>
        <w:t xml:space="preserve">Inconformidad del </w:t>
      </w:r>
      <w:r w:rsidRPr="00D233AE">
        <w:rPr>
          <w:rFonts w:ascii="Arial" w:hAnsi="Arial" w:cs="Arial"/>
          <w:b/>
          <w:bCs/>
          <w:i/>
          <w:iCs/>
          <w:sz w:val="24"/>
          <w:szCs w:val="24"/>
        </w:rPr>
        <w:t>PT</w:t>
      </w:r>
    </w:p>
    <w:p w14:paraId="4F44D9BB" w14:textId="77777777" w:rsidR="00EC118C" w:rsidRPr="00D233AE" w:rsidRDefault="00EC118C" w:rsidP="004A7315">
      <w:pPr>
        <w:pStyle w:val="Sinespaciado"/>
        <w:spacing w:line="360" w:lineRule="auto"/>
        <w:jc w:val="both"/>
        <w:rPr>
          <w:rFonts w:ascii="Arial" w:hAnsi="Arial" w:cs="Arial"/>
          <w:sz w:val="24"/>
          <w:szCs w:val="24"/>
        </w:rPr>
      </w:pPr>
    </w:p>
    <w:p w14:paraId="1F61CB67" w14:textId="77777777" w:rsidR="001823C1" w:rsidRPr="00D233AE" w:rsidRDefault="00A64ACE" w:rsidP="00FA5AAE">
      <w:pPr>
        <w:spacing w:line="360" w:lineRule="auto"/>
        <w:jc w:val="both"/>
        <w:textAlignment w:val="baseline"/>
        <w:rPr>
          <w:rFonts w:eastAsia="Calibri" w:cs="Arial"/>
          <w:sz w:val="24"/>
          <w:szCs w:val="24"/>
        </w:rPr>
      </w:pPr>
      <w:r w:rsidRPr="00D233AE">
        <w:rPr>
          <w:rFonts w:eastAsia="Calibri" w:cs="Arial"/>
          <w:sz w:val="24"/>
          <w:szCs w:val="24"/>
          <w:lang w:val="es-ES"/>
        </w:rPr>
        <w:lastRenderedPageBreak/>
        <w:t xml:space="preserve">El </w:t>
      </w:r>
      <w:r w:rsidRPr="00D233AE">
        <w:rPr>
          <w:rFonts w:eastAsia="Calibri" w:cs="Arial"/>
          <w:i/>
          <w:iCs/>
          <w:sz w:val="24"/>
          <w:szCs w:val="24"/>
          <w:lang w:val="es-ES"/>
        </w:rPr>
        <w:t>PT</w:t>
      </w:r>
      <w:r w:rsidRPr="00D233AE">
        <w:rPr>
          <w:rFonts w:eastAsia="Calibri" w:cs="Arial"/>
          <w:sz w:val="24"/>
          <w:szCs w:val="24"/>
          <w:lang w:val="es-ES"/>
        </w:rPr>
        <w:t xml:space="preserve"> interpone un recurso de apelación contra la resolución del </w:t>
      </w:r>
      <w:bookmarkStart w:id="6" w:name="_Hlk201781042"/>
      <w:r w:rsidRPr="00D233AE">
        <w:rPr>
          <w:rFonts w:eastAsia="Calibri" w:cs="Arial"/>
          <w:i/>
          <w:iCs/>
          <w:sz w:val="24"/>
          <w:szCs w:val="24"/>
          <w:lang w:val="es-ES"/>
        </w:rPr>
        <w:t xml:space="preserve">Consejo General </w:t>
      </w:r>
      <w:bookmarkEnd w:id="6"/>
      <w:r w:rsidRPr="00D233AE">
        <w:rPr>
          <w:rFonts w:eastAsia="Calibri" w:cs="Arial"/>
          <w:sz w:val="24"/>
          <w:szCs w:val="24"/>
          <w:lang w:val="es-ES"/>
        </w:rPr>
        <w:t xml:space="preserve">dictada el </w:t>
      </w:r>
      <w:r w:rsidR="00DD2CD0" w:rsidRPr="00D233AE">
        <w:rPr>
          <w:rFonts w:eastAsia="Calibri" w:cs="Arial"/>
          <w:sz w:val="24"/>
          <w:szCs w:val="24"/>
          <w:lang w:val="es-ES"/>
        </w:rPr>
        <w:t>veintisiete de agosto</w:t>
      </w:r>
      <w:r w:rsidRPr="00D233AE">
        <w:rPr>
          <w:rFonts w:eastAsia="Calibri" w:cs="Arial"/>
          <w:sz w:val="24"/>
          <w:szCs w:val="24"/>
          <w:lang w:val="es-ES"/>
        </w:rPr>
        <w:t xml:space="preserve">, </w:t>
      </w:r>
      <w:bookmarkStart w:id="7" w:name="_Hlk201780990"/>
      <w:r w:rsidRPr="00D233AE">
        <w:rPr>
          <w:rFonts w:eastAsia="Calibri" w:cs="Arial"/>
          <w:sz w:val="24"/>
          <w:szCs w:val="24"/>
          <w:lang w:val="es-ES"/>
        </w:rPr>
        <w:t>dentro del procedimiento ordinario sancionador IEM-POS-0</w:t>
      </w:r>
      <w:r w:rsidR="007A6A69" w:rsidRPr="00D233AE">
        <w:rPr>
          <w:rFonts w:eastAsia="Calibri" w:cs="Arial"/>
          <w:sz w:val="24"/>
          <w:szCs w:val="24"/>
          <w:lang w:val="es-ES"/>
        </w:rPr>
        <w:t>5</w:t>
      </w:r>
      <w:r w:rsidRPr="00D233AE">
        <w:rPr>
          <w:rFonts w:eastAsia="Calibri" w:cs="Arial"/>
          <w:sz w:val="24"/>
          <w:szCs w:val="24"/>
          <w:lang w:val="es-ES"/>
        </w:rPr>
        <w:t xml:space="preserve">/2025, mediante la cual se le impuso una </w:t>
      </w:r>
      <w:r w:rsidR="00BA24FA" w:rsidRPr="00D233AE">
        <w:rPr>
          <w:rFonts w:eastAsia="Calibri" w:cs="Arial"/>
          <w:sz w:val="24"/>
          <w:szCs w:val="24"/>
          <w:lang w:val="es-ES"/>
        </w:rPr>
        <w:t xml:space="preserve">multa de </w:t>
      </w:r>
      <w:r w:rsidR="00BA24FA" w:rsidRPr="00D233AE">
        <w:rPr>
          <w:rFonts w:cs="Arial"/>
          <w:sz w:val="24"/>
          <w:szCs w:val="24"/>
        </w:rPr>
        <w:t>$30,660.94 (treinta mil seiscientos sesenta pesos 94/100 M.N.)</w:t>
      </w:r>
      <w:bookmarkEnd w:id="7"/>
      <w:r w:rsidR="00BA24FA" w:rsidRPr="00D233AE">
        <w:rPr>
          <w:rFonts w:cs="Arial"/>
          <w:sz w:val="24"/>
          <w:szCs w:val="24"/>
        </w:rPr>
        <w:t xml:space="preserve">, </w:t>
      </w:r>
      <w:r w:rsidRPr="00D233AE">
        <w:rPr>
          <w:rFonts w:eastAsia="Calibri" w:cs="Arial"/>
          <w:sz w:val="24"/>
          <w:szCs w:val="24"/>
        </w:rPr>
        <w:t xml:space="preserve">ante la falta de la cuota mínima de postulación impuesta en la </w:t>
      </w:r>
      <w:r w:rsidR="00BA24FA" w:rsidRPr="00D233AE">
        <w:rPr>
          <w:rFonts w:eastAsia="Calibri" w:cs="Arial"/>
          <w:sz w:val="24"/>
          <w:szCs w:val="24"/>
        </w:rPr>
        <w:t>acción</w:t>
      </w:r>
      <w:r w:rsidRPr="00D233AE">
        <w:rPr>
          <w:rFonts w:eastAsia="Calibri" w:cs="Arial"/>
          <w:sz w:val="24"/>
          <w:szCs w:val="24"/>
        </w:rPr>
        <w:t xml:space="preserve"> afirmativa de personas </w:t>
      </w:r>
      <w:r w:rsidR="00BA24FA" w:rsidRPr="00D233AE">
        <w:rPr>
          <w:rFonts w:eastAsia="Calibri" w:cs="Arial"/>
          <w:sz w:val="24"/>
          <w:szCs w:val="24"/>
        </w:rPr>
        <w:t>migrantes</w:t>
      </w:r>
      <w:r w:rsidR="00312C82" w:rsidRPr="00D233AE">
        <w:rPr>
          <w:rFonts w:eastAsia="Calibri" w:cs="Arial"/>
          <w:sz w:val="24"/>
          <w:szCs w:val="24"/>
        </w:rPr>
        <w:t>, ya que en su consideración</w:t>
      </w:r>
      <w:r w:rsidR="00490B1E" w:rsidRPr="00D233AE">
        <w:rPr>
          <w:rFonts w:eastAsia="Calibri" w:cs="Arial"/>
          <w:sz w:val="24"/>
          <w:szCs w:val="24"/>
        </w:rPr>
        <w:t>,</w:t>
      </w:r>
      <w:r w:rsidR="00312C82" w:rsidRPr="00D233AE">
        <w:rPr>
          <w:rFonts w:eastAsia="Calibri" w:cs="Arial"/>
          <w:sz w:val="24"/>
          <w:szCs w:val="24"/>
        </w:rPr>
        <w:t xml:space="preserve"> la multa impuesta es excesiva, así como la calificación de </w:t>
      </w:r>
      <w:r w:rsidR="00521D79" w:rsidRPr="00D233AE">
        <w:rPr>
          <w:rFonts w:eastAsia="Calibri" w:cs="Arial"/>
          <w:sz w:val="24"/>
          <w:szCs w:val="24"/>
        </w:rPr>
        <w:t xml:space="preserve">la </w:t>
      </w:r>
      <w:r w:rsidR="00312C82" w:rsidRPr="00D233AE">
        <w:rPr>
          <w:rFonts w:eastAsia="Calibri" w:cs="Arial"/>
          <w:sz w:val="24"/>
          <w:szCs w:val="24"/>
        </w:rPr>
        <w:t>falta</w:t>
      </w:r>
      <w:r w:rsidR="00521D79" w:rsidRPr="00D233AE">
        <w:rPr>
          <w:rFonts w:eastAsia="Calibri" w:cs="Arial"/>
          <w:sz w:val="24"/>
          <w:szCs w:val="24"/>
        </w:rPr>
        <w:t xml:space="preserve"> como</w:t>
      </w:r>
      <w:r w:rsidR="00312C82" w:rsidRPr="00D233AE">
        <w:rPr>
          <w:rFonts w:eastAsia="Calibri" w:cs="Arial"/>
          <w:sz w:val="24"/>
          <w:szCs w:val="24"/>
        </w:rPr>
        <w:t xml:space="preserve"> </w:t>
      </w:r>
      <w:r w:rsidR="00312C82" w:rsidRPr="00D233AE">
        <w:rPr>
          <w:rFonts w:eastAsia="Calibri" w:cs="Arial"/>
          <w:b/>
          <w:bCs/>
          <w:sz w:val="24"/>
          <w:szCs w:val="24"/>
        </w:rPr>
        <w:t>MEDIANA,</w:t>
      </w:r>
      <w:r w:rsidR="00312C82" w:rsidRPr="00D233AE">
        <w:rPr>
          <w:rFonts w:eastAsia="Calibri" w:cs="Arial"/>
          <w:sz w:val="24"/>
          <w:szCs w:val="24"/>
        </w:rPr>
        <w:t xml:space="preserve"> </w:t>
      </w:r>
      <w:r w:rsidR="00490B1E" w:rsidRPr="00D233AE">
        <w:rPr>
          <w:rFonts w:eastAsia="Calibri" w:cs="Arial"/>
          <w:sz w:val="24"/>
          <w:szCs w:val="24"/>
        </w:rPr>
        <w:t xml:space="preserve">puesto que, la autoridad responsable tuvo que considerar las reglas previstas en el artículo 231 inciso a) fracción I del </w:t>
      </w:r>
      <w:r w:rsidR="00490B1E" w:rsidRPr="00D233AE">
        <w:rPr>
          <w:rFonts w:eastAsia="Calibri" w:cs="Arial"/>
          <w:i/>
          <w:iCs/>
          <w:sz w:val="24"/>
          <w:szCs w:val="24"/>
        </w:rPr>
        <w:t>Código Electoral</w:t>
      </w:r>
      <w:r w:rsidR="00521D79" w:rsidRPr="00D233AE">
        <w:rPr>
          <w:rFonts w:eastAsia="Calibri" w:cs="Arial"/>
          <w:i/>
          <w:iCs/>
          <w:sz w:val="24"/>
          <w:szCs w:val="24"/>
        </w:rPr>
        <w:t>,</w:t>
      </w:r>
      <w:r w:rsidR="00490B1E" w:rsidRPr="00D233AE">
        <w:rPr>
          <w:rFonts w:eastAsia="Calibri" w:cs="Arial"/>
          <w:i/>
          <w:iCs/>
          <w:sz w:val="24"/>
          <w:szCs w:val="24"/>
        </w:rPr>
        <w:t xml:space="preserve"> </w:t>
      </w:r>
      <w:r w:rsidR="00521D79" w:rsidRPr="00D233AE">
        <w:rPr>
          <w:rFonts w:eastAsia="Calibri" w:cs="Arial"/>
          <w:sz w:val="24"/>
          <w:szCs w:val="24"/>
        </w:rPr>
        <w:t xml:space="preserve">y aplicarle al </w:t>
      </w:r>
      <w:r w:rsidR="00521D79" w:rsidRPr="00D233AE">
        <w:rPr>
          <w:rFonts w:eastAsia="Calibri" w:cs="Arial"/>
          <w:i/>
          <w:iCs/>
          <w:sz w:val="24"/>
          <w:szCs w:val="24"/>
        </w:rPr>
        <w:t xml:space="preserve">PT </w:t>
      </w:r>
      <w:r w:rsidR="00521D79" w:rsidRPr="00D233AE">
        <w:rPr>
          <w:rFonts w:eastAsia="Calibri" w:cs="Arial"/>
          <w:sz w:val="24"/>
          <w:szCs w:val="24"/>
        </w:rPr>
        <w:t xml:space="preserve">una sanción mínima como lo es la </w:t>
      </w:r>
      <w:r w:rsidR="00521D79" w:rsidRPr="00D233AE">
        <w:rPr>
          <w:rFonts w:eastAsia="Calibri" w:cs="Arial"/>
          <w:b/>
          <w:bCs/>
          <w:sz w:val="24"/>
          <w:szCs w:val="24"/>
        </w:rPr>
        <w:t>AMONESTACIÓN PÚBLICA</w:t>
      </w:r>
      <w:r w:rsidR="00521D79" w:rsidRPr="00D233AE">
        <w:rPr>
          <w:rFonts w:eastAsia="Calibri" w:cs="Arial"/>
          <w:sz w:val="24"/>
          <w:szCs w:val="24"/>
        </w:rPr>
        <w:t xml:space="preserve"> al ser la infracción no grave. </w:t>
      </w:r>
    </w:p>
    <w:p w14:paraId="05C4FA8D" w14:textId="77777777" w:rsidR="00FA5AAE" w:rsidRPr="00D233AE" w:rsidRDefault="00FA5AAE" w:rsidP="00FA5AAE">
      <w:pPr>
        <w:spacing w:line="360" w:lineRule="auto"/>
        <w:jc w:val="both"/>
        <w:textAlignment w:val="baseline"/>
        <w:rPr>
          <w:rFonts w:eastAsia="Calibri" w:cs="Arial"/>
          <w:sz w:val="24"/>
          <w:szCs w:val="24"/>
        </w:rPr>
      </w:pPr>
    </w:p>
    <w:p w14:paraId="70CC9550" w14:textId="77777777" w:rsidR="00C209F0" w:rsidRPr="00D233AE" w:rsidRDefault="00C209F0" w:rsidP="00FA5AAE">
      <w:pPr>
        <w:spacing w:line="360" w:lineRule="auto"/>
        <w:jc w:val="both"/>
        <w:rPr>
          <w:rFonts w:cs="Arial"/>
          <w:b/>
          <w:bCs/>
          <w:sz w:val="24"/>
          <w:szCs w:val="24"/>
          <w:lang w:val="es-ES" w:eastAsia="es-ES"/>
        </w:rPr>
      </w:pPr>
      <w:r w:rsidRPr="00D233AE">
        <w:rPr>
          <w:rFonts w:cs="Arial"/>
          <w:b/>
          <w:bCs/>
          <w:sz w:val="24"/>
          <w:szCs w:val="24"/>
          <w:lang w:val="es-ES" w:eastAsia="es-ES"/>
        </w:rPr>
        <w:t xml:space="preserve">SEGUNDO. </w:t>
      </w:r>
      <w:r w:rsidR="000B755C" w:rsidRPr="00D233AE">
        <w:rPr>
          <w:rFonts w:cs="Arial"/>
          <w:b/>
          <w:bCs/>
          <w:sz w:val="24"/>
          <w:szCs w:val="24"/>
          <w:lang w:val="es-ES" w:eastAsia="es-ES"/>
        </w:rPr>
        <w:t>Precisión del acto impugnado</w:t>
      </w:r>
    </w:p>
    <w:p w14:paraId="738910B3" w14:textId="77777777" w:rsidR="00C209F0" w:rsidRPr="00D233AE" w:rsidRDefault="00C209F0" w:rsidP="00FA5AAE">
      <w:pPr>
        <w:spacing w:line="360" w:lineRule="auto"/>
        <w:jc w:val="both"/>
        <w:rPr>
          <w:rFonts w:cs="Arial"/>
          <w:b/>
          <w:bCs/>
          <w:sz w:val="24"/>
          <w:szCs w:val="24"/>
          <w:lang w:val="es-ES" w:eastAsia="es-ES"/>
        </w:rPr>
      </w:pPr>
    </w:p>
    <w:p w14:paraId="6C529FEE" w14:textId="77777777" w:rsidR="00CE4C14" w:rsidRPr="00D233AE" w:rsidRDefault="00C209F0" w:rsidP="00FA5AAE">
      <w:pPr>
        <w:spacing w:line="360" w:lineRule="auto"/>
        <w:jc w:val="both"/>
        <w:rPr>
          <w:rFonts w:cs="Arial"/>
          <w:sz w:val="24"/>
          <w:szCs w:val="24"/>
          <w:lang w:val="es-ES" w:eastAsia="es-ES"/>
        </w:rPr>
      </w:pPr>
      <w:r w:rsidRPr="00D233AE">
        <w:rPr>
          <w:rFonts w:cs="Arial"/>
          <w:sz w:val="24"/>
          <w:szCs w:val="24"/>
          <w:lang w:val="es-ES" w:eastAsia="es-ES"/>
        </w:rPr>
        <w:t xml:space="preserve">El </w:t>
      </w:r>
      <w:r w:rsidRPr="00D233AE">
        <w:rPr>
          <w:rFonts w:cs="Arial"/>
          <w:i/>
          <w:iCs/>
          <w:sz w:val="24"/>
          <w:szCs w:val="24"/>
          <w:lang w:val="es-ES" w:eastAsia="es-ES"/>
        </w:rPr>
        <w:t>PT</w:t>
      </w:r>
      <w:r w:rsidR="00F17316" w:rsidRPr="00D233AE">
        <w:rPr>
          <w:rFonts w:cs="Arial"/>
          <w:i/>
          <w:iCs/>
          <w:sz w:val="24"/>
          <w:szCs w:val="24"/>
          <w:lang w:val="es-ES" w:eastAsia="es-ES"/>
        </w:rPr>
        <w:t xml:space="preserve"> </w:t>
      </w:r>
      <w:r w:rsidR="00F17316" w:rsidRPr="00D233AE">
        <w:rPr>
          <w:rFonts w:cs="Arial"/>
          <w:sz w:val="24"/>
          <w:szCs w:val="24"/>
          <w:lang w:val="es-ES" w:eastAsia="es-ES"/>
        </w:rPr>
        <w:t>en su escrito de demanda señala como acto impugnado l</w:t>
      </w:r>
      <w:r w:rsidR="00CE4C14" w:rsidRPr="00D233AE">
        <w:rPr>
          <w:rFonts w:cs="Arial"/>
          <w:sz w:val="24"/>
          <w:szCs w:val="24"/>
          <w:lang w:val="es-ES" w:eastAsia="es-ES"/>
        </w:rPr>
        <w:t>o siguiente:</w:t>
      </w:r>
    </w:p>
    <w:p w14:paraId="38CE65DF" w14:textId="77777777" w:rsidR="00CE4C14" w:rsidRPr="00D233AE" w:rsidRDefault="00CE4C14" w:rsidP="00FA5AAE">
      <w:pPr>
        <w:spacing w:line="360" w:lineRule="auto"/>
        <w:jc w:val="both"/>
        <w:rPr>
          <w:rFonts w:cs="Arial"/>
          <w:sz w:val="24"/>
          <w:szCs w:val="24"/>
          <w:lang w:val="es-ES" w:eastAsia="es-ES"/>
        </w:rPr>
      </w:pPr>
    </w:p>
    <w:p w14:paraId="6126F1F4" w14:textId="77777777" w:rsidR="00C209F0" w:rsidRPr="00D233AE" w:rsidRDefault="00CE4C14" w:rsidP="00FA5AAE">
      <w:pPr>
        <w:spacing w:line="360" w:lineRule="auto"/>
        <w:jc w:val="both"/>
        <w:rPr>
          <w:rFonts w:cs="Arial"/>
          <w:sz w:val="24"/>
          <w:szCs w:val="24"/>
          <w:lang w:val="es-ES" w:eastAsia="es-ES"/>
        </w:rPr>
      </w:pPr>
      <w:r w:rsidRPr="00D233AE">
        <w:rPr>
          <w:rFonts w:cs="Arial"/>
          <w:b/>
          <w:bCs/>
          <w:sz w:val="24"/>
          <w:szCs w:val="24"/>
          <w:lang w:eastAsia="es-ES"/>
        </w:rPr>
        <w:t>a)</w:t>
      </w:r>
      <w:r w:rsidRPr="00D233AE">
        <w:rPr>
          <w:rFonts w:cs="Arial"/>
          <w:sz w:val="24"/>
          <w:szCs w:val="24"/>
          <w:lang w:eastAsia="es-ES"/>
        </w:rPr>
        <w:t>. El proyecto de resolución emitid</w:t>
      </w:r>
      <w:r w:rsidR="00C85EC2" w:rsidRPr="00D233AE">
        <w:rPr>
          <w:rFonts w:cs="Arial"/>
          <w:sz w:val="24"/>
          <w:szCs w:val="24"/>
          <w:lang w:eastAsia="es-ES"/>
        </w:rPr>
        <w:t>o</w:t>
      </w:r>
      <w:r w:rsidRPr="00D233AE">
        <w:rPr>
          <w:rFonts w:cs="Arial"/>
          <w:sz w:val="24"/>
          <w:szCs w:val="24"/>
          <w:lang w:eastAsia="es-ES"/>
        </w:rPr>
        <w:t xml:space="preserve"> por el </w:t>
      </w:r>
      <w:r w:rsidRPr="00D233AE">
        <w:rPr>
          <w:rFonts w:cs="Arial"/>
          <w:i/>
          <w:iCs/>
          <w:sz w:val="24"/>
          <w:szCs w:val="24"/>
          <w:lang w:eastAsia="es-ES"/>
        </w:rPr>
        <w:t>Consejo General</w:t>
      </w:r>
      <w:r w:rsidRPr="00D233AE">
        <w:rPr>
          <w:rFonts w:cs="Arial"/>
          <w:sz w:val="24"/>
          <w:szCs w:val="24"/>
          <w:lang w:eastAsia="es-ES"/>
        </w:rPr>
        <w:t xml:space="preserve">, </w:t>
      </w:r>
      <w:bookmarkStart w:id="8" w:name="_Hlk208706013"/>
      <w:r w:rsidRPr="00D233AE">
        <w:rPr>
          <w:rFonts w:cs="Arial"/>
          <w:sz w:val="24"/>
          <w:szCs w:val="24"/>
          <w:lang w:eastAsia="es-ES"/>
        </w:rPr>
        <w:t>del expediente lEM-POS-05/2025, el cual fue votado dentro de la sesión extraordinaria Urgente llevada a cabo el veintisiete de agosto</w:t>
      </w:r>
      <w:bookmarkEnd w:id="8"/>
      <w:r w:rsidRPr="00D233AE">
        <w:rPr>
          <w:rFonts w:cs="Arial"/>
          <w:sz w:val="24"/>
          <w:szCs w:val="24"/>
          <w:lang w:eastAsia="es-ES"/>
        </w:rPr>
        <w:t>, donde se votó por unanimidad dicho proyecto de resolución.</w:t>
      </w:r>
      <w:r w:rsidR="00F17316" w:rsidRPr="00D233AE">
        <w:rPr>
          <w:rFonts w:cs="Arial"/>
          <w:sz w:val="24"/>
          <w:szCs w:val="24"/>
          <w:lang w:val="es-ES" w:eastAsia="es-ES"/>
        </w:rPr>
        <w:t xml:space="preserve"> </w:t>
      </w:r>
    </w:p>
    <w:p w14:paraId="2E1D0498" w14:textId="77777777" w:rsidR="00C209F0" w:rsidRPr="00D233AE" w:rsidRDefault="00C209F0" w:rsidP="00FA5AAE">
      <w:pPr>
        <w:spacing w:line="360" w:lineRule="auto"/>
        <w:jc w:val="both"/>
        <w:rPr>
          <w:rFonts w:cs="Arial"/>
          <w:b/>
          <w:bCs/>
          <w:sz w:val="24"/>
          <w:szCs w:val="24"/>
          <w:lang w:val="es-ES" w:eastAsia="es-ES"/>
        </w:rPr>
      </w:pPr>
    </w:p>
    <w:p w14:paraId="2A4604BA" w14:textId="77777777" w:rsidR="00CE4C14" w:rsidRPr="00D233AE" w:rsidRDefault="00CE4C14" w:rsidP="00FA5AAE">
      <w:pPr>
        <w:spacing w:line="360" w:lineRule="auto"/>
        <w:jc w:val="both"/>
        <w:rPr>
          <w:rFonts w:cs="Arial"/>
          <w:b/>
          <w:bCs/>
          <w:sz w:val="24"/>
          <w:szCs w:val="24"/>
          <w:lang w:val="es-ES" w:eastAsia="es-ES"/>
        </w:rPr>
      </w:pPr>
      <w:r w:rsidRPr="00D233AE">
        <w:rPr>
          <w:rFonts w:cs="Arial"/>
          <w:b/>
          <w:bCs/>
          <w:sz w:val="24"/>
          <w:szCs w:val="24"/>
          <w:lang w:eastAsia="es-ES"/>
        </w:rPr>
        <w:t xml:space="preserve">b). </w:t>
      </w:r>
      <w:r w:rsidRPr="00D233AE">
        <w:rPr>
          <w:rFonts w:cs="Arial"/>
          <w:sz w:val="24"/>
          <w:szCs w:val="24"/>
          <w:lang w:eastAsia="es-ES"/>
        </w:rPr>
        <w:t xml:space="preserve">La resolución dictada por el </w:t>
      </w:r>
      <w:r w:rsidRPr="00D233AE">
        <w:rPr>
          <w:rFonts w:cs="Arial"/>
          <w:i/>
          <w:iCs/>
          <w:sz w:val="24"/>
          <w:szCs w:val="24"/>
          <w:lang w:eastAsia="es-ES"/>
        </w:rPr>
        <w:t>Consejo General,</w:t>
      </w:r>
      <w:r w:rsidRPr="00D233AE">
        <w:rPr>
          <w:rFonts w:cs="Arial"/>
          <w:sz w:val="24"/>
          <w:szCs w:val="24"/>
          <w:lang w:eastAsia="es-ES"/>
        </w:rPr>
        <w:t xml:space="preserve"> de veintisiete de agosto.</w:t>
      </w:r>
    </w:p>
    <w:p w14:paraId="5B300E50" w14:textId="77777777" w:rsidR="00C209F0" w:rsidRPr="00D233AE" w:rsidRDefault="00C209F0" w:rsidP="00FA5AAE">
      <w:pPr>
        <w:spacing w:line="360" w:lineRule="auto"/>
        <w:jc w:val="both"/>
        <w:rPr>
          <w:rFonts w:cs="Arial"/>
          <w:b/>
          <w:bCs/>
          <w:sz w:val="24"/>
          <w:szCs w:val="24"/>
          <w:lang w:val="es-ES" w:eastAsia="es-ES"/>
        </w:rPr>
      </w:pPr>
    </w:p>
    <w:p w14:paraId="5DA1FC7C" w14:textId="77777777" w:rsidR="00CE4C14" w:rsidRPr="00D233AE" w:rsidRDefault="00CE4C14" w:rsidP="00FA5AAE">
      <w:pPr>
        <w:spacing w:line="360" w:lineRule="auto"/>
        <w:jc w:val="both"/>
        <w:rPr>
          <w:rFonts w:cs="Arial"/>
          <w:sz w:val="24"/>
          <w:szCs w:val="24"/>
          <w:lang w:eastAsia="es-ES"/>
        </w:rPr>
      </w:pPr>
      <w:r w:rsidRPr="00D233AE">
        <w:rPr>
          <w:rFonts w:cs="Arial"/>
          <w:sz w:val="24"/>
          <w:szCs w:val="24"/>
          <w:lang w:val="es-ES" w:eastAsia="es-ES"/>
        </w:rPr>
        <w:t xml:space="preserve">En ese contexto, como se advierte en el apartado del acto impugnado si señala que se impugna el proyecto de resolución del </w:t>
      </w:r>
      <w:r w:rsidRPr="00D233AE">
        <w:rPr>
          <w:rFonts w:cs="Arial"/>
          <w:sz w:val="24"/>
          <w:szCs w:val="24"/>
          <w:lang w:eastAsia="es-ES"/>
        </w:rPr>
        <w:t xml:space="preserve">lEM-POS-05/2025, el que se votó por unanimidad, asimismo, refiere que se impugna la resolución dictada por el </w:t>
      </w:r>
      <w:r w:rsidRPr="00D233AE">
        <w:rPr>
          <w:rFonts w:cs="Arial"/>
          <w:i/>
          <w:iCs/>
          <w:sz w:val="24"/>
          <w:szCs w:val="24"/>
          <w:lang w:eastAsia="es-ES"/>
        </w:rPr>
        <w:t xml:space="preserve">Consejo General, </w:t>
      </w:r>
      <w:r w:rsidRPr="00D233AE">
        <w:rPr>
          <w:rFonts w:cs="Arial"/>
          <w:sz w:val="24"/>
          <w:szCs w:val="24"/>
          <w:lang w:eastAsia="es-ES"/>
        </w:rPr>
        <w:t>sin que precise datos de expediente o procedimiento.</w:t>
      </w:r>
    </w:p>
    <w:p w14:paraId="2A6010B1" w14:textId="77777777" w:rsidR="00CE4C14" w:rsidRPr="00D233AE" w:rsidRDefault="00CE4C14" w:rsidP="00FA5AAE">
      <w:pPr>
        <w:spacing w:line="360" w:lineRule="auto"/>
        <w:jc w:val="both"/>
        <w:rPr>
          <w:rFonts w:cs="Arial"/>
          <w:sz w:val="24"/>
          <w:szCs w:val="24"/>
          <w:lang w:eastAsia="es-ES"/>
        </w:rPr>
      </w:pPr>
    </w:p>
    <w:p w14:paraId="426D2281" w14:textId="77777777" w:rsidR="00756E28" w:rsidRPr="00D233AE" w:rsidRDefault="00CE4C14" w:rsidP="00FA5AAE">
      <w:pPr>
        <w:spacing w:line="360" w:lineRule="auto"/>
        <w:jc w:val="both"/>
        <w:rPr>
          <w:rFonts w:cs="Arial"/>
          <w:sz w:val="24"/>
          <w:szCs w:val="24"/>
          <w:lang w:eastAsia="es-ES"/>
        </w:rPr>
      </w:pPr>
      <w:r w:rsidRPr="00D233AE">
        <w:rPr>
          <w:rFonts w:cs="Arial"/>
          <w:sz w:val="24"/>
          <w:szCs w:val="24"/>
          <w:lang w:eastAsia="es-ES"/>
        </w:rPr>
        <w:t xml:space="preserve">De igual forma, dentro del cuerpo del escrito de demanda señala proyecto y resolución </w:t>
      </w:r>
      <w:r w:rsidR="00430E70" w:rsidRPr="00D233AE">
        <w:rPr>
          <w:rFonts w:cs="Arial"/>
          <w:sz w:val="24"/>
          <w:szCs w:val="24"/>
          <w:lang w:eastAsia="es-ES"/>
        </w:rPr>
        <w:t xml:space="preserve">del lEM-POS-05/2025, </w:t>
      </w:r>
      <w:r w:rsidR="00934C96" w:rsidRPr="00D233AE">
        <w:rPr>
          <w:rFonts w:cs="Arial"/>
          <w:sz w:val="24"/>
          <w:szCs w:val="24"/>
          <w:lang w:eastAsia="es-ES"/>
        </w:rPr>
        <w:t xml:space="preserve">si bien, el proyecto </w:t>
      </w:r>
      <w:r w:rsidR="001C540F" w:rsidRPr="00D233AE">
        <w:rPr>
          <w:rFonts w:cs="Arial"/>
          <w:sz w:val="24"/>
          <w:szCs w:val="24"/>
          <w:lang w:eastAsia="es-ES"/>
        </w:rPr>
        <w:t xml:space="preserve">de la resolución una vez aprobado constituye la sentencia, </w:t>
      </w:r>
      <w:r w:rsidR="00756E28" w:rsidRPr="00D233AE">
        <w:rPr>
          <w:rFonts w:cs="Arial"/>
          <w:sz w:val="24"/>
          <w:szCs w:val="24"/>
          <w:lang w:eastAsia="es-ES"/>
        </w:rPr>
        <w:t xml:space="preserve">empero, </w:t>
      </w:r>
      <w:r w:rsidR="00EF6735" w:rsidRPr="00D233AE">
        <w:rPr>
          <w:rFonts w:cs="Arial"/>
          <w:sz w:val="24"/>
          <w:szCs w:val="24"/>
          <w:lang w:eastAsia="es-ES"/>
        </w:rPr>
        <w:t>este</w:t>
      </w:r>
      <w:r w:rsidR="00756E28" w:rsidRPr="00D233AE">
        <w:rPr>
          <w:rFonts w:cs="Arial"/>
          <w:sz w:val="24"/>
          <w:szCs w:val="24"/>
          <w:lang w:eastAsia="es-ES"/>
        </w:rPr>
        <w:t xml:space="preserve"> es únicamente una propuesta de la resolución que es presentada a la autoridad competente, la cual analizará dicha propuesta y determinará si lo acepta en sus términos, si realiza cambios, si modifica el contenido o aspectos del contenido, por ello, el proyecto no constituye un acto definitivo. Así, el proyecto de sentencia no constituye una afectación a los derechos de los involucrados, ya que en esta etapa aun no surte</w:t>
      </w:r>
      <w:r w:rsidR="006F3CAE" w:rsidRPr="00D233AE">
        <w:rPr>
          <w:rFonts w:cs="Arial"/>
          <w:sz w:val="24"/>
          <w:szCs w:val="24"/>
          <w:lang w:eastAsia="es-ES"/>
        </w:rPr>
        <w:t xml:space="preserve"> sus</w:t>
      </w:r>
      <w:r w:rsidR="00756E28" w:rsidRPr="00D233AE">
        <w:rPr>
          <w:rFonts w:cs="Arial"/>
          <w:sz w:val="24"/>
          <w:szCs w:val="24"/>
          <w:lang w:eastAsia="es-ES"/>
        </w:rPr>
        <w:t xml:space="preserve"> efectos jurídicos.</w:t>
      </w:r>
    </w:p>
    <w:p w14:paraId="6FD17E49" w14:textId="77777777" w:rsidR="0017033C" w:rsidRPr="00D233AE" w:rsidRDefault="0017033C" w:rsidP="00FA5AAE">
      <w:pPr>
        <w:spacing w:line="360" w:lineRule="auto"/>
        <w:jc w:val="both"/>
        <w:rPr>
          <w:rFonts w:cs="Arial"/>
          <w:sz w:val="24"/>
          <w:szCs w:val="24"/>
          <w:lang w:eastAsia="es-ES"/>
        </w:rPr>
      </w:pPr>
      <w:r w:rsidRPr="00D233AE">
        <w:rPr>
          <w:rFonts w:cs="Arial"/>
          <w:sz w:val="24"/>
          <w:szCs w:val="24"/>
          <w:lang w:eastAsia="es-ES"/>
        </w:rPr>
        <w:lastRenderedPageBreak/>
        <w:t xml:space="preserve">Conforme </w:t>
      </w:r>
      <w:r w:rsidR="0078686B" w:rsidRPr="00D233AE">
        <w:rPr>
          <w:rFonts w:cs="Arial"/>
          <w:sz w:val="24"/>
          <w:szCs w:val="24"/>
          <w:lang w:eastAsia="es-ES"/>
        </w:rPr>
        <w:t xml:space="preserve">con </w:t>
      </w:r>
      <w:r w:rsidRPr="00D233AE">
        <w:rPr>
          <w:rFonts w:cs="Arial"/>
          <w:sz w:val="24"/>
          <w:szCs w:val="24"/>
          <w:lang w:eastAsia="es-ES"/>
        </w:rPr>
        <w:t>lo anterior, al ser la resolución la que resuelve sobre el fondo del asunto</w:t>
      </w:r>
      <w:r w:rsidR="00BC5EC5" w:rsidRPr="00D233AE">
        <w:rPr>
          <w:rFonts w:cs="Arial"/>
          <w:sz w:val="24"/>
          <w:szCs w:val="24"/>
          <w:lang w:eastAsia="es-ES"/>
        </w:rPr>
        <w:t xml:space="preserve"> y la que surte efectos jurídicos; en el presente asunto se tendrá como acto impugnado la resolución aprobada en el expediente lEM-POS-05/2025,</w:t>
      </w:r>
      <w:r w:rsidR="00155738" w:rsidRPr="00D233AE">
        <w:rPr>
          <w:rStyle w:val="Refdenotaalpie"/>
          <w:rFonts w:cs="Arial"/>
          <w:sz w:val="24"/>
          <w:szCs w:val="24"/>
          <w:lang w:eastAsia="es-ES"/>
        </w:rPr>
        <w:footnoteReference w:id="20"/>
      </w:r>
      <w:r w:rsidR="00BC5EC5" w:rsidRPr="00D233AE">
        <w:rPr>
          <w:rFonts w:cs="Arial"/>
          <w:sz w:val="24"/>
          <w:szCs w:val="24"/>
          <w:lang w:eastAsia="es-ES"/>
        </w:rPr>
        <w:t xml:space="preserve"> por el </w:t>
      </w:r>
      <w:r w:rsidR="00BC5EC5" w:rsidRPr="00D233AE">
        <w:rPr>
          <w:rFonts w:cs="Arial"/>
          <w:i/>
          <w:iCs/>
          <w:sz w:val="24"/>
          <w:szCs w:val="24"/>
          <w:lang w:eastAsia="es-ES"/>
        </w:rPr>
        <w:t xml:space="preserve">Consejo General </w:t>
      </w:r>
      <w:r w:rsidR="00BC5EC5" w:rsidRPr="00D233AE">
        <w:rPr>
          <w:rFonts w:cs="Arial"/>
          <w:sz w:val="24"/>
          <w:szCs w:val="24"/>
          <w:lang w:eastAsia="es-ES"/>
        </w:rPr>
        <w:t xml:space="preserve">en la sesión extraordinaria </w:t>
      </w:r>
      <w:r w:rsidR="006F3CAE" w:rsidRPr="00D233AE">
        <w:rPr>
          <w:rFonts w:cs="Arial"/>
          <w:sz w:val="24"/>
          <w:szCs w:val="24"/>
          <w:lang w:eastAsia="es-ES"/>
        </w:rPr>
        <w:t>u</w:t>
      </w:r>
      <w:r w:rsidR="00BC5EC5" w:rsidRPr="00D233AE">
        <w:rPr>
          <w:rFonts w:cs="Arial"/>
          <w:sz w:val="24"/>
          <w:szCs w:val="24"/>
          <w:lang w:eastAsia="es-ES"/>
        </w:rPr>
        <w:t>rgente llevada a cabo el veintisiete de agosto.</w:t>
      </w:r>
      <w:r w:rsidRPr="00D233AE">
        <w:rPr>
          <w:rFonts w:cs="Arial"/>
          <w:sz w:val="24"/>
          <w:szCs w:val="24"/>
          <w:lang w:eastAsia="es-ES"/>
        </w:rPr>
        <w:t xml:space="preserve">  </w:t>
      </w:r>
    </w:p>
    <w:p w14:paraId="52E6A50A" w14:textId="77777777" w:rsidR="00CE4C14" w:rsidRPr="00D233AE" w:rsidRDefault="00CE4C14" w:rsidP="00FA5AAE">
      <w:pPr>
        <w:spacing w:line="360" w:lineRule="auto"/>
        <w:jc w:val="both"/>
        <w:rPr>
          <w:rFonts w:cs="Arial"/>
          <w:b/>
          <w:bCs/>
          <w:sz w:val="24"/>
          <w:szCs w:val="24"/>
          <w:lang w:val="es-ES" w:eastAsia="es-ES"/>
        </w:rPr>
      </w:pPr>
    </w:p>
    <w:p w14:paraId="75564779" w14:textId="77777777" w:rsidR="00230F41" w:rsidRPr="00D233AE" w:rsidRDefault="00137F2E" w:rsidP="00FA5AAE">
      <w:pPr>
        <w:spacing w:line="360" w:lineRule="auto"/>
        <w:jc w:val="both"/>
        <w:rPr>
          <w:rFonts w:cs="Arial"/>
          <w:b/>
          <w:bCs/>
          <w:sz w:val="24"/>
          <w:szCs w:val="24"/>
          <w:lang w:val="es-ES" w:eastAsia="es-ES"/>
        </w:rPr>
      </w:pPr>
      <w:r w:rsidRPr="00D233AE">
        <w:rPr>
          <w:rFonts w:cs="Arial"/>
          <w:b/>
          <w:bCs/>
          <w:sz w:val="24"/>
          <w:szCs w:val="24"/>
          <w:lang w:val="es-ES" w:eastAsia="es-ES"/>
        </w:rPr>
        <w:t xml:space="preserve">TERCERO. </w:t>
      </w:r>
      <w:r w:rsidR="0078686B" w:rsidRPr="00D233AE">
        <w:rPr>
          <w:rFonts w:cs="Arial"/>
          <w:b/>
          <w:bCs/>
          <w:sz w:val="24"/>
          <w:szCs w:val="24"/>
          <w:lang w:val="es-ES" w:eastAsia="es-ES"/>
        </w:rPr>
        <w:t>Agravios</w:t>
      </w:r>
    </w:p>
    <w:p w14:paraId="0A00DACE" w14:textId="77777777" w:rsidR="00FF441C" w:rsidRPr="00D233AE" w:rsidRDefault="00FF441C" w:rsidP="00E820CE">
      <w:pPr>
        <w:spacing w:line="360" w:lineRule="auto"/>
        <w:jc w:val="both"/>
        <w:rPr>
          <w:rFonts w:cs="Arial"/>
          <w:b/>
          <w:bCs/>
          <w:sz w:val="24"/>
          <w:szCs w:val="24"/>
          <w:lang w:val="es-ES" w:eastAsia="es-ES"/>
        </w:rPr>
      </w:pPr>
    </w:p>
    <w:p w14:paraId="5DD6CF66" w14:textId="77777777" w:rsidR="00F77265" w:rsidRPr="00D233AE" w:rsidRDefault="00F77265" w:rsidP="00E820CE">
      <w:pPr>
        <w:spacing w:line="360" w:lineRule="auto"/>
        <w:jc w:val="both"/>
        <w:rPr>
          <w:rFonts w:cs="Arial"/>
          <w:bCs/>
          <w:sz w:val="24"/>
          <w:szCs w:val="24"/>
        </w:rPr>
      </w:pPr>
      <w:r w:rsidRPr="00D233AE">
        <w:rPr>
          <w:rFonts w:cs="Arial"/>
          <w:sz w:val="24"/>
          <w:szCs w:val="24"/>
        </w:rPr>
        <w:t>La Sala Superior del Tribunal Electoral del Poder Judicial de la Federación</w:t>
      </w:r>
      <w:r w:rsidRPr="00D233AE">
        <w:rPr>
          <w:rFonts w:cs="Arial"/>
          <w:sz w:val="24"/>
          <w:szCs w:val="24"/>
          <w:vertAlign w:val="superscript"/>
        </w:rPr>
        <w:footnoteReference w:id="21"/>
      </w:r>
      <w:r w:rsidRPr="00D233AE">
        <w:rPr>
          <w:rFonts w:cs="Arial"/>
          <w:sz w:val="24"/>
          <w:szCs w:val="24"/>
        </w:rPr>
        <w:t xml:space="preserve"> ha determinado que, tratándose de medios de impugnación en materia electoral, el juzgador debe leer de manera cuidadosa y detallada el contenido del escrito inicial, a fin de identificar la verdadera intención del promovente, asimismo, ha sostenido que se debe identificar su causa de pedir,</w:t>
      </w:r>
      <w:r w:rsidRPr="00D233AE">
        <w:rPr>
          <w:rFonts w:cs="Arial"/>
          <w:bCs/>
          <w:sz w:val="24"/>
          <w:szCs w:val="24"/>
          <w:vertAlign w:val="superscript"/>
        </w:rPr>
        <w:footnoteReference w:id="22"/>
      </w:r>
      <w:r w:rsidRPr="00D233AE">
        <w:rPr>
          <w:rFonts w:cs="Arial"/>
          <w:sz w:val="24"/>
          <w:szCs w:val="24"/>
        </w:rPr>
        <w:t xml:space="preserve"> </w:t>
      </w:r>
      <w:r w:rsidRPr="00D233AE">
        <w:rPr>
          <w:rFonts w:cs="Arial"/>
          <w:bCs/>
          <w:sz w:val="24"/>
          <w:szCs w:val="24"/>
        </w:rPr>
        <w:t>sin que el omitir su transcripción constituya una lesión a los principios de congruencia y exhaustividad por parte de este</w:t>
      </w:r>
      <w:r w:rsidRPr="00D233AE">
        <w:rPr>
          <w:rFonts w:cs="Arial"/>
          <w:bCs/>
          <w:i/>
          <w:iCs/>
          <w:sz w:val="24"/>
          <w:szCs w:val="24"/>
        </w:rPr>
        <w:t xml:space="preserve"> </w:t>
      </w:r>
      <w:r w:rsidRPr="00D233AE">
        <w:rPr>
          <w:rFonts w:cs="Arial"/>
          <w:bCs/>
          <w:sz w:val="24"/>
          <w:szCs w:val="24"/>
        </w:rPr>
        <w:t>Tribunal Electoral, dado que tales principios se satisfacen cuando se precisan los puntos sujetos a debate derivados de la demanda o escrito de expresión de agravios, se estudian y se da respuesta a éstos, sin introducir aspectos distintos a los que conforman la litis, lo anterior, sin perjuicio, de estimarlo necesario, realizar una síntesis de éstos.</w:t>
      </w:r>
    </w:p>
    <w:p w14:paraId="14DF6F99" w14:textId="77777777" w:rsidR="005E289F" w:rsidRPr="00D233AE" w:rsidRDefault="005E289F" w:rsidP="00E820CE">
      <w:pPr>
        <w:spacing w:line="360" w:lineRule="auto"/>
        <w:jc w:val="both"/>
        <w:rPr>
          <w:rFonts w:cs="Arial"/>
          <w:bCs/>
          <w:sz w:val="24"/>
          <w:szCs w:val="24"/>
        </w:rPr>
      </w:pPr>
    </w:p>
    <w:p w14:paraId="5AC8F781" w14:textId="77777777" w:rsidR="00A12A65" w:rsidRPr="00D233AE" w:rsidRDefault="00F77265" w:rsidP="00A12A65">
      <w:pPr>
        <w:tabs>
          <w:tab w:val="left" w:pos="1320"/>
          <w:tab w:val="center" w:pos="3853"/>
        </w:tabs>
        <w:spacing w:line="360" w:lineRule="auto"/>
        <w:jc w:val="both"/>
        <w:rPr>
          <w:rFonts w:cs="Arial"/>
          <w:b/>
          <w:i/>
          <w:iCs/>
          <w:sz w:val="24"/>
          <w:szCs w:val="24"/>
          <w:vertAlign w:val="superscript"/>
        </w:rPr>
      </w:pPr>
      <w:r w:rsidRPr="00D233AE">
        <w:rPr>
          <w:rFonts w:cs="Arial"/>
          <w:sz w:val="24"/>
          <w:szCs w:val="24"/>
        </w:rPr>
        <w:t xml:space="preserve">Al respecto, resulta ilustrativa, la jurisprudencia número 2ª./J.58/2010, sustentada por la Segunda Sala de la Suprema Corte de Justicia de la Nación, de rubro: </w:t>
      </w:r>
      <w:r w:rsidRPr="00D233AE">
        <w:rPr>
          <w:rFonts w:cs="Arial"/>
          <w:b/>
          <w:bCs/>
          <w:i/>
          <w:iCs/>
          <w:sz w:val="24"/>
          <w:szCs w:val="24"/>
        </w:rPr>
        <w:t>“CONCEPTOS DE VIOLACIÓN O AGRAVIOS. PARA CUMPLIR CON LOS PRINCIPIOS DE CONGRUENCIA Y EXHAUSTIVIDAD EN LAS SENTENCIAS DE AMPARO ES INNECESARIA SU TRANSCRIPCIÓN”.</w:t>
      </w:r>
      <w:r w:rsidRPr="00D233AE">
        <w:rPr>
          <w:rFonts w:cs="Arial"/>
          <w:b/>
          <w:i/>
          <w:iCs/>
          <w:sz w:val="24"/>
          <w:szCs w:val="24"/>
          <w:vertAlign w:val="superscript"/>
        </w:rPr>
        <w:t xml:space="preserve"> </w:t>
      </w:r>
      <w:r w:rsidRPr="00D233AE">
        <w:rPr>
          <w:rFonts w:cs="Arial"/>
          <w:bCs/>
          <w:sz w:val="24"/>
          <w:szCs w:val="24"/>
          <w:vertAlign w:val="superscript"/>
        </w:rPr>
        <w:footnoteReference w:id="23"/>
      </w:r>
    </w:p>
    <w:p w14:paraId="6ACBEF2B" w14:textId="77777777" w:rsidR="00A12A65" w:rsidRPr="00D233AE" w:rsidRDefault="00A12A65" w:rsidP="00A12A65">
      <w:pPr>
        <w:tabs>
          <w:tab w:val="left" w:pos="1320"/>
          <w:tab w:val="center" w:pos="3853"/>
        </w:tabs>
        <w:spacing w:line="360" w:lineRule="auto"/>
        <w:jc w:val="both"/>
        <w:rPr>
          <w:rFonts w:cs="Arial"/>
          <w:b/>
          <w:i/>
          <w:iCs/>
          <w:sz w:val="24"/>
          <w:szCs w:val="24"/>
          <w:vertAlign w:val="superscript"/>
        </w:rPr>
      </w:pPr>
    </w:p>
    <w:p w14:paraId="2CA346A0" w14:textId="77777777" w:rsidR="00F77265" w:rsidRPr="00D233AE" w:rsidRDefault="00F77265" w:rsidP="00A12A65">
      <w:pPr>
        <w:tabs>
          <w:tab w:val="left" w:pos="1320"/>
          <w:tab w:val="center" w:pos="3853"/>
        </w:tabs>
        <w:spacing w:line="360" w:lineRule="auto"/>
        <w:jc w:val="both"/>
        <w:rPr>
          <w:rFonts w:cs="Arial"/>
          <w:sz w:val="24"/>
          <w:szCs w:val="24"/>
        </w:rPr>
      </w:pPr>
      <w:r w:rsidRPr="00D233AE">
        <w:rPr>
          <w:rFonts w:cs="Arial"/>
          <w:sz w:val="24"/>
          <w:szCs w:val="24"/>
        </w:rPr>
        <w:t xml:space="preserve">En esa tesitura, de acuerdo con lo establecido en el artículo 32 fracción II de la </w:t>
      </w:r>
      <w:r w:rsidRPr="00D233AE">
        <w:rPr>
          <w:rFonts w:cs="Arial"/>
          <w:i/>
          <w:iCs/>
          <w:sz w:val="24"/>
          <w:szCs w:val="24"/>
        </w:rPr>
        <w:t>Ley de Justicia</w:t>
      </w:r>
      <w:r w:rsidRPr="00D233AE">
        <w:rPr>
          <w:rFonts w:cs="Arial"/>
          <w:sz w:val="24"/>
          <w:szCs w:val="24"/>
        </w:rPr>
        <w:t xml:space="preserve">, se hace una síntesis de los agravios expuestos por </w:t>
      </w:r>
      <w:r w:rsidR="00E820CE" w:rsidRPr="00D233AE">
        <w:rPr>
          <w:rFonts w:cs="Arial"/>
          <w:sz w:val="24"/>
          <w:szCs w:val="24"/>
        </w:rPr>
        <w:t xml:space="preserve">el </w:t>
      </w:r>
      <w:r w:rsidR="00E820CE" w:rsidRPr="00D233AE">
        <w:rPr>
          <w:rFonts w:cs="Arial"/>
          <w:i/>
          <w:iCs/>
          <w:sz w:val="24"/>
          <w:szCs w:val="24"/>
        </w:rPr>
        <w:t xml:space="preserve">PT </w:t>
      </w:r>
      <w:r w:rsidRPr="00D233AE">
        <w:rPr>
          <w:rFonts w:cs="Arial"/>
          <w:sz w:val="24"/>
          <w:szCs w:val="24"/>
        </w:rPr>
        <w:t>en su escrito de demanda.</w:t>
      </w:r>
    </w:p>
    <w:p w14:paraId="0ED9214C" w14:textId="77777777" w:rsidR="00A12A65" w:rsidRPr="00D233AE" w:rsidRDefault="00A12A65" w:rsidP="00A12A65">
      <w:pPr>
        <w:tabs>
          <w:tab w:val="left" w:pos="1320"/>
          <w:tab w:val="center" w:pos="3853"/>
        </w:tabs>
        <w:spacing w:line="360" w:lineRule="auto"/>
        <w:jc w:val="both"/>
        <w:rPr>
          <w:rFonts w:cs="Arial"/>
          <w:b/>
          <w:i/>
          <w:iCs/>
          <w:sz w:val="24"/>
          <w:szCs w:val="24"/>
          <w:vertAlign w:val="superscript"/>
        </w:rPr>
      </w:pPr>
    </w:p>
    <w:p w14:paraId="3ADF2ACA" w14:textId="77777777" w:rsidR="0057380A" w:rsidRPr="00D233AE" w:rsidRDefault="00F77265" w:rsidP="0057380A">
      <w:pPr>
        <w:tabs>
          <w:tab w:val="left" w:pos="1320"/>
          <w:tab w:val="center" w:pos="3853"/>
        </w:tabs>
        <w:spacing w:line="360" w:lineRule="auto"/>
        <w:jc w:val="both"/>
        <w:rPr>
          <w:rFonts w:cs="Arial"/>
          <w:sz w:val="24"/>
          <w:szCs w:val="24"/>
        </w:rPr>
      </w:pPr>
      <w:r w:rsidRPr="00D233AE">
        <w:rPr>
          <w:rFonts w:cs="Arial"/>
          <w:sz w:val="24"/>
          <w:szCs w:val="24"/>
        </w:rPr>
        <w:lastRenderedPageBreak/>
        <w:t xml:space="preserve">Lo anterior, sin soslayar el deber que tiene este Tribunal Electoral de examinar e interpretar íntegramente la demanda respectiva, a fin de identificar los agravios, con el objeto de llevar a cabo su análisis, pues de conformidad con el numeral 33 de la </w:t>
      </w:r>
      <w:r w:rsidRPr="00D233AE">
        <w:rPr>
          <w:rFonts w:cs="Arial"/>
          <w:i/>
          <w:iCs/>
          <w:sz w:val="24"/>
          <w:szCs w:val="24"/>
        </w:rPr>
        <w:t>Ley de Justicia</w:t>
      </w:r>
      <w:r w:rsidRPr="00D233AE">
        <w:rPr>
          <w:rFonts w:cs="Arial"/>
          <w:sz w:val="24"/>
          <w:szCs w:val="24"/>
        </w:rPr>
        <w:t>, al resolver los medios de impugnación, deberá suplir las deficiencias u omisiones en los agravios cuando los mismos puedan ser deducidos claramente de los hechos expuestos.</w:t>
      </w:r>
      <w:r w:rsidRPr="00D233AE">
        <w:rPr>
          <w:rFonts w:cs="Arial"/>
          <w:sz w:val="24"/>
          <w:szCs w:val="24"/>
          <w:vertAlign w:val="superscript"/>
          <w:lang w:val="es-ES_tradnl"/>
        </w:rPr>
        <w:footnoteReference w:id="24"/>
      </w:r>
    </w:p>
    <w:p w14:paraId="1E795A7B" w14:textId="77777777" w:rsidR="0057380A" w:rsidRPr="00D233AE" w:rsidRDefault="0057380A" w:rsidP="0057380A">
      <w:pPr>
        <w:tabs>
          <w:tab w:val="left" w:pos="1320"/>
          <w:tab w:val="center" w:pos="3853"/>
        </w:tabs>
        <w:spacing w:line="360" w:lineRule="auto"/>
        <w:jc w:val="both"/>
        <w:rPr>
          <w:rFonts w:cs="Arial"/>
          <w:sz w:val="24"/>
          <w:szCs w:val="24"/>
        </w:rPr>
      </w:pPr>
    </w:p>
    <w:p w14:paraId="3090E505" w14:textId="77777777" w:rsidR="00A73AD1" w:rsidRPr="00D233AE" w:rsidRDefault="00F77265" w:rsidP="00A73AD1">
      <w:pPr>
        <w:spacing w:line="360" w:lineRule="auto"/>
        <w:jc w:val="both"/>
        <w:rPr>
          <w:rFonts w:cs="Arial"/>
          <w:kern w:val="2"/>
          <w:sz w:val="24"/>
          <w:szCs w:val="24"/>
        </w:rPr>
      </w:pPr>
      <w:r w:rsidRPr="00D233AE">
        <w:rPr>
          <w:rFonts w:cs="Arial"/>
          <w:sz w:val="24"/>
          <w:szCs w:val="24"/>
        </w:rPr>
        <w:t xml:space="preserve">En ese sentido, a fin de controvertir </w:t>
      </w:r>
      <w:r w:rsidR="00155738" w:rsidRPr="00D233AE">
        <w:rPr>
          <w:rFonts w:cs="Arial"/>
          <w:sz w:val="24"/>
          <w:szCs w:val="24"/>
        </w:rPr>
        <w:t>el acto impugnado</w:t>
      </w:r>
      <w:r w:rsidRPr="00D233AE">
        <w:rPr>
          <w:rFonts w:cs="Arial"/>
          <w:sz w:val="24"/>
          <w:szCs w:val="24"/>
        </w:rPr>
        <w:t xml:space="preserve">, dictado por la autoridad </w:t>
      </w:r>
      <w:bookmarkStart w:id="9" w:name="_Hlk208770476"/>
      <w:r w:rsidRPr="00D233AE">
        <w:rPr>
          <w:rFonts w:cs="Arial"/>
          <w:sz w:val="24"/>
          <w:szCs w:val="24"/>
        </w:rPr>
        <w:t xml:space="preserve">responsable dentro del Procedimiento </w:t>
      </w:r>
      <w:r w:rsidR="00155738" w:rsidRPr="00D233AE">
        <w:rPr>
          <w:rFonts w:cs="Arial"/>
          <w:sz w:val="24"/>
          <w:szCs w:val="24"/>
        </w:rPr>
        <w:t>Ordinario</w:t>
      </w:r>
      <w:r w:rsidRPr="00D233AE">
        <w:rPr>
          <w:rFonts w:cs="Arial"/>
          <w:sz w:val="24"/>
          <w:szCs w:val="24"/>
        </w:rPr>
        <w:t xml:space="preserve"> Sancionador </w:t>
      </w:r>
      <w:r w:rsidR="00155738" w:rsidRPr="00D233AE">
        <w:rPr>
          <w:rFonts w:cs="Arial"/>
          <w:sz w:val="24"/>
          <w:szCs w:val="24"/>
          <w:lang w:eastAsia="es-ES"/>
        </w:rPr>
        <w:t>lEM-POS-05/2025</w:t>
      </w:r>
      <w:r w:rsidR="006F3CAE" w:rsidRPr="00D233AE">
        <w:rPr>
          <w:rFonts w:cs="Arial"/>
          <w:sz w:val="24"/>
          <w:szCs w:val="24"/>
        </w:rPr>
        <w:t xml:space="preserve">, </w:t>
      </w:r>
      <w:r w:rsidR="00A73AD1" w:rsidRPr="00D233AE">
        <w:rPr>
          <w:rFonts w:cs="Arial"/>
          <w:sz w:val="24"/>
          <w:szCs w:val="24"/>
        </w:rPr>
        <w:t>d</w:t>
      </w:r>
      <w:r w:rsidR="00A73AD1" w:rsidRPr="00D233AE">
        <w:rPr>
          <w:rFonts w:cs="Arial"/>
          <w:color w:val="000000"/>
          <w:kern w:val="2"/>
          <w:sz w:val="24"/>
          <w:szCs w:val="24"/>
          <w:shd w:val="clear" w:color="auto" w:fill="FFFFFF"/>
        </w:rPr>
        <w:t xml:space="preserve">e la lectura y análisis integral del escrito de demanda, se desprende que, el partido apelante hace depender </w:t>
      </w:r>
      <w:r w:rsidR="00A73AD1" w:rsidRPr="00D233AE">
        <w:rPr>
          <w:rFonts w:cs="Arial"/>
          <w:color w:val="000000"/>
          <w:kern w:val="2"/>
          <w:sz w:val="24"/>
          <w:szCs w:val="24"/>
        </w:rPr>
        <w:t>el concepto de su agravio</w:t>
      </w:r>
      <w:r w:rsidR="00A73AD1" w:rsidRPr="00D233AE">
        <w:rPr>
          <w:rFonts w:cs="Arial"/>
          <w:b/>
          <w:bCs/>
          <w:color w:val="000000"/>
          <w:kern w:val="2"/>
          <w:sz w:val="24"/>
          <w:szCs w:val="24"/>
        </w:rPr>
        <w:t xml:space="preserve"> </w:t>
      </w:r>
      <w:r w:rsidR="00A73AD1" w:rsidRPr="00D233AE">
        <w:rPr>
          <w:rFonts w:cs="Arial"/>
          <w:color w:val="000000"/>
          <w:kern w:val="2"/>
          <w:sz w:val="24"/>
          <w:szCs w:val="24"/>
          <w:shd w:val="clear" w:color="auto" w:fill="FFFFFF"/>
        </w:rPr>
        <w:t xml:space="preserve">de que, la </w:t>
      </w:r>
      <w:r w:rsidR="00A73AD1" w:rsidRPr="00D233AE">
        <w:rPr>
          <w:rFonts w:cs="Arial"/>
          <w:color w:val="000000"/>
          <w:kern w:val="2"/>
          <w:sz w:val="24"/>
          <w:szCs w:val="24"/>
        </w:rPr>
        <w:t>autoridad responsable trans</w:t>
      </w:r>
      <w:r w:rsidR="00A73AD1" w:rsidRPr="00D233AE">
        <w:rPr>
          <w:rFonts w:cs="Arial"/>
          <w:kern w:val="2"/>
          <w:sz w:val="24"/>
          <w:szCs w:val="24"/>
        </w:rPr>
        <w:t xml:space="preserve">gredió los artículos 1, 14 y 16 de la </w:t>
      </w:r>
      <w:r w:rsidR="00A73AD1" w:rsidRPr="00D233AE">
        <w:rPr>
          <w:rFonts w:cs="Arial"/>
          <w:i/>
          <w:iCs/>
          <w:kern w:val="2"/>
          <w:sz w:val="24"/>
          <w:szCs w:val="24"/>
        </w:rPr>
        <w:t>Constitución Federal</w:t>
      </w:r>
      <w:r w:rsidR="00A73AD1" w:rsidRPr="00D233AE">
        <w:rPr>
          <w:rFonts w:cs="Arial"/>
          <w:kern w:val="2"/>
          <w:sz w:val="24"/>
          <w:szCs w:val="24"/>
        </w:rPr>
        <w:t xml:space="preserve"> y el 231 y 244 del </w:t>
      </w:r>
      <w:r w:rsidR="00A73AD1" w:rsidRPr="00D233AE">
        <w:rPr>
          <w:rFonts w:cs="Arial"/>
          <w:i/>
          <w:iCs/>
          <w:kern w:val="2"/>
          <w:sz w:val="24"/>
          <w:szCs w:val="24"/>
        </w:rPr>
        <w:t>Código Electoral</w:t>
      </w:r>
      <w:r w:rsidR="00A73AD1" w:rsidRPr="00D233AE">
        <w:rPr>
          <w:rFonts w:cs="Arial"/>
          <w:kern w:val="2"/>
          <w:sz w:val="24"/>
          <w:szCs w:val="24"/>
        </w:rPr>
        <w:t xml:space="preserve">, ya que, para imponer la sanción, debió analizar, valorar y tomar en cuenta las diversas atenuantes que tuvo el partido en el registro de todos sus candidatos. </w:t>
      </w:r>
    </w:p>
    <w:p w14:paraId="41AEBD78" w14:textId="77777777" w:rsidR="00A73AD1" w:rsidRPr="00D233AE" w:rsidRDefault="00A73AD1" w:rsidP="00A73AD1">
      <w:pPr>
        <w:spacing w:line="360" w:lineRule="auto"/>
        <w:jc w:val="both"/>
        <w:rPr>
          <w:rFonts w:cs="Arial"/>
          <w:kern w:val="2"/>
          <w:sz w:val="24"/>
          <w:szCs w:val="24"/>
        </w:rPr>
      </w:pPr>
    </w:p>
    <w:p w14:paraId="67A77776" w14:textId="77777777" w:rsidR="00A73AD1" w:rsidRPr="00D233AE" w:rsidRDefault="00A73AD1" w:rsidP="00A73AD1">
      <w:pPr>
        <w:spacing w:line="360" w:lineRule="auto"/>
        <w:jc w:val="both"/>
        <w:rPr>
          <w:rFonts w:cs="Arial"/>
          <w:kern w:val="2"/>
          <w:sz w:val="24"/>
          <w:szCs w:val="24"/>
        </w:rPr>
      </w:pPr>
      <w:r w:rsidRPr="00D233AE">
        <w:rPr>
          <w:rFonts w:cs="Arial"/>
          <w:kern w:val="2"/>
          <w:sz w:val="24"/>
          <w:szCs w:val="24"/>
        </w:rPr>
        <w:t xml:space="preserve">Y lo sustenta en las siguientes premisas: </w:t>
      </w:r>
    </w:p>
    <w:p w14:paraId="1E9EE607" w14:textId="77777777" w:rsidR="0057380A" w:rsidRPr="00D233AE" w:rsidRDefault="0057380A" w:rsidP="00A73AD1">
      <w:pPr>
        <w:spacing w:line="360" w:lineRule="auto"/>
        <w:jc w:val="both"/>
        <w:rPr>
          <w:rFonts w:cs="Arial"/>
          <w:kern w:val="2"/>
          <w:sz w:val="24"/>
          <w:szCs w:val="24"/>
        </w:rPr>
      </w:pPr>
    </w:p>
    <w:p w14:paraId="50EB4D32" w14:textId="77777777" w:rsidR="00A73AD1" w:rsidRPr="00D233AE" w:rsidRDefault="00A73AD1" w:rsidP="00A73AD1">
      <w:pPr>
        <w:numPr>
          <w:ilvl w:val="0"/>
          <w:numId w:val="9"/>
        </w:numPr>
        <w:spacing w:after="160" w:line="360" w:lineRule="auto"/>
        <w:contextualSpacing/>
        <w:jc w:val="both"/>
        <w:rPr>
          <w:rFonts w:cs="Arial"/>
          <w:kern w:val="2"/>
          <w:sz w:val="24"/>
          <w:szCs w:val="24"/>
        </w:rPr>
      </w:pPr>
      <w:r w:rsidRPr="00D233AE">
        <w:rPr>
          <w:rFonts w:cs="Arial"/>
          <w:kern w:val="2"/>
          <w:sz w:val="24"/>
          <w:szCs w:val="24"/>
        </w:rPr>
        <w:t xml:space="preserve">El partido registró a sus candidatos en las demás acciones afirmativas que postuló, como por ejemplo en grupos de atención prioritaria, discapacidad, LGBTQ+ e indígenas. </w:t>
      </w:r>
    </w:p>
    <w:p w14:paraId="6DFD48E9" w14:textId="77777777" w:rsidR="00A73AD1" w:rsidRPr="00D233AE" w:rsidRDefault="00A73AD1" w:rsidP="00A73AD1">
      <w:pPr>
        <w:spacing w:line="360" w:lineRule="auto"/>
        <w:jc w:val="both"/>
        <w:rPr>
          <w:rFonts w:cs="Arial"/>
          <w:kern w:val="2"/>
          <w:sz w:val="24"/>
          <w:szCs w:val="24"/>
        </w:rPr>
      </w:pPr>
    </w:p>
    <w:p w14:paraId="28E2F301" w14:textId="77777777" w:rsidR="00A73AD1" w:rsidRPr="00D233AE" w:rsidRDefault="00A73AD1" w:rsidP="00A73AD1">
      <w:pPr>
        <w:numPr>
          <w:ilvl w:val="0"/>
          <w:numId w:val="9"/>
        </w:numPr>
        <w:spacing w:after="160" w:line="360" w:lineRule="auto"/>
        <w:contextualSpacing/>
        <w:jc w:val="both"/>
        <w:rPr>
          <w:rFonts w:cs="Arial"/>
          <w:kern w:val="2"/>
          <w:sz w:val="24"/>
          <w:szCs w:val="24"/>
        </w:rPr>
      </w:pPr>
      <w:r w:rsidRPr="00D233AE">
        <w:rPr>
          <w:rFonts w:cs="Arial"/>
          <w:kern w:val="2"/>
          <w:sz w:val="24"/>
          <w:szCs w:val="24"/>
        </w:rPr>
        <w:t xml:space="preserve">La autoridad responsable, debió analizar que el partido no es reincidente de la conducta que le atribuyó en la resolución impugnada, toda vez que no tuvo omisión en el registro de otros grupos prioritarios en el proceso electoral </w:t>
      </w:r>
      <w:r w:rsidR="00FE6A59" w:rsidRPr="00D233AE">
        <w:rPr>
          <w:rFonts w:cs="Arial"/>
          <w:kern w:val="2"/>
          <w:sz w:val="24"/>
          <w:szCs w:val="24"/>
        </w:rPr>
        <w:t xml:space="preserve">ordinario </w:t>
      </w:r>
      <w:r w:rsidRPr="00D233AE">
        <w:rPr>
          <w:rFonts w:cs="Arial"/>
          <w:kern w:val="2"/>
          <w:sz w:val="24"/>
          <w:szCs w:val="24"/>
        </w:rPr>
        <w:t xml:space="preserve">local 2023-2024, ni en los procesos anteriores al no existir antecedentes en los archivos del Instituto de haber sido omiso en el registro de otras acciones afirmativas. </w:t>
      </w:r>
    </w:p>
    <w:p w14:paraId="2591379F" w14:textId="77777777" w:rsidR="00A73AD1" w:rsidRPr="00D233AE" w:rsidRDefault="00A73AD1" w:rsidP="00A73AD1">
      <w:pPr>
        <w:spacing w:line="360" w:lineRule="auto"/>
        <w:jc w:val="both"/>
        <w:rPr>
          <w:rFonts w:cs="Arial"/>
          <w:kern w:val="2"/>
          <w:sz w:val="24"/>
          <w:szCs w:val="24"/>
        </w:rPr>
      </w:pPr>
    </w:p>
    <w:p w14:paraId="4F0F8276" w14:textId="77777777" w:rsidR="00A73AD1" w:rsidRPr="00D233AE" w:rsidRDefault="00A73AD1" w:rsidP="00A73AD1">
      <w:pPr>
        <w:numPr>
          <w:ilvl w:val="0"/>
          <w:numId w:val="9"/>
        </w:numPr>
        <w:spacing w:after="160" w:line="360" w:lineRule="auto"/>
        <w:contextualSpacing/>
        <w:jc w:val="both"/>
        <w:rPr>
          <w:rFonts w:cs="Arial"/>
          <w:kern w:val="2"/>
          <w:sz w:val="24"/>
          <w:szCs w:val="24"/>
        </w:rPr>
      </w:pPr>
      <w:r w:rsidRPr="00D233AE">
        <w:rPr>
          <w:rFonts w:cs="Arial"/>
          <w:kern w:val="2"/>
          <w:sz w:val="24"/>
          <w:szCs w:val="24"/>
        </w:rPr>
        <w:lastRenderedPageBreak/>
        <w:t xml:space="preserve">La autoridad responsable omitió fundar y motivar la calificación de la falta como mediana, ya que únicamente se limita a señalar que la comisión de esta fue intencional dado que se tuvo conocimiento de los </w:t>
      </w:r>
      <w:r w:rsidRPr="00D233AE">
        <w:rPr>
          <w:rFonts w:cs="Arial"/>
          <w:i/>
          <w:iCs/>
          <w:sz w:val="24"/>
          <w:szCs w:val="24"/>
        </w:rPr>
        <w:t>Lineamientos en materia de Acciones Afirmativas</w:t>
      </w:r>
      <w:r w:rsidRPr="00D233AE">
        <w:rPr>
          <w:rFonts w:cs="Arial"/>
          <w:kern w:val="2"/>
          <w:sz w:val="24"/>
          <w:szCs w:val="24"/>
        </w:rPr>
        <w:t xml:space="preserve"> y por la falta de documentación de personas con calidad de migrantes en las candidaturas para integrar la Diputación por el principio de representación proporcional en el proceso electoral 2023-2024</w:t>
      </w:r>
    </w:p>
    <w:p w14:paraId="210CCF72" w14:textId="77777777" w:rsidR="00A73AD1" w:rsidRPr="00D233AE" w:rsidRDefault="00A73AD1" w:rsidP="00A73AD1">
      <w:pPr>
        <w:spacing w:line="360" w:lineRule="auto"/>
        <w:jc w:val="both"/>
        <w:rPr>
          <w:rFonts w:cs="Arial"/>
          <w:kern w:val="2"/>
          <w:sz w:val="24"/>
          <w:szCs w:val="24"/>
        </w:rPr>
      </w:pPr>
    </w:p>
    <w:p w14:paraId="037F1572" w14:textId="77777777" w:rsidR="00A73AD1" w:rsidRPr="00D233AE" w:rsidRDefault="00A73AD1" w:rsidP="00F55D96">
      <w:pPr>
        <w:numPr>
          <w:ilvl w:val="0"/>
          <w:numId w:val="9"/>
        </w:numPr>
        <w:spacing w:after="160" w:line="360" w:lineRule="auto"/>
        <w:contextualSpacing/>
        <w:jc w:val="both"/>
        <w:rPr>
          <w:rFonts w:cs="Arial"/>
          <w:kern w:val="2"/>
          <w:sz w:val="24"/>
          <w:szCs w:val="24"/>
        </w:rPr>
      </w:pPr>
      <w:r w:rsidRPr="00D233AE">
        <w:rPr>
          <w:rFonts w:cs="Arial"/>
          <w:kern w:val="2"/>
          <w:sz w:val="24"/>
          <w:szCs w:val="24"/>
        </w:rPr>
        <w:t xml:space="preserve">La multa impuesta en la resolución impugnada resulta excesiva, lo cual vulnera el principio de congruencia y certeza jurídica, ya que la autoridad responsable debía considerar las reglas que establece el artículo 231 inciso a) fracción I del </w:t>
      </w:r>
      <w:r w:rsidRPr="00D233AE">
        <w:rPr>
          <w:rFonts w:cs="Arial"/>
          <w:i/>
          <w:iCs/>
          <w:kern w:val="2"/>
          <w:sz w:val="24"/>
          <w:szCs w:val="24"/>
        </w:rPr>
        <w:t xml:space="preserve">Código Electoral </w:t>
      </w:r>
      <w:r w:rsidRPr="00D233AE">
        <w:rPr>
          <w:rFonts w:cs="Arial"/>
          <w:kern w:val="2"/>
          <w:sz w:val="24"/>
          <w:szCs w:val="24"/>
        </w:rPr>
        <w:t>y aplicarle al partido una sanción mínima consistente en una amonestación pública</w:t>
      </w:r>
      <w:r w:rsidR="00F55D96" w:rsidRPr="00D233AE">
        <w:rPr>
          <w:rFonts w:cs="Arial"/>
          <w:kern w:val="2"/>
          <w:sz w:val="24"/>
          <w:szCs w:val="24"/>
        </w:rPr>
        <w:t xml:space="preserve"> y por ende, </w:t>
      </w:r>
      <w:r w:rsidRPr="00D233AE">
        <w:rPr>
          <w:rFonts w:cs="Arial"/>
          <w:kern w:val="2"/>
          <w:sz w:val="24"/>
          <w:szCs w:val="24"/>
        </w:rPr>
        <w:t xml:space="preserve">considerar la infracción como no grave, ya que el partido no transgredió el artículo 244 incisos e), f) y g) del </w:t>
      </w:r>
      <w:r w:rsidRPr="00D233AE">
        <w:rPr>
          <w:rFonts w:cs="Arial"/>
          <w:i/>
          <w:iCs/>
          <w:kern w:val="2"/>
          <w:sz w:val="24"/>
          <w:szCs w:val="24"/>
        </w:rPr>
        <w:t>Código Electoral</w:t>
      </w:r>
      <w:r w:rsidRPr="00D233AE">
        <w:rPr>
          <w:rFonts w:cs="Arial"/>
          <w:kern w:val="2"/>
          <w:sz w:val="24"/>
          <w:szCs w:val="24"/>
        </w:rPr>
        <w:t>, pues no fue reincidente en la conducta de omisión en el registro de otros candidatos en las acciones afirmativas y no lacera a terceros una afectación económica</w:t>
      </w:r>
      <w:r w:rsidR="00F55D96" w:rsidRPr="00D233AE">
        <w:rPr>
          <w:rFonts w:cs="Arial"/>
          <w:kern w:val="2"/>
          <w:sz w:val="24"/>
          <w:szCs w:val="24"/>
        </w:rPr>
        <w:t xml:space="preserve">. </w:t>
      </w:r>
      <w:r w:rsidRPr="00D233AE">
        <w:rPr>
          <w:rFonts w:cs="Arial"/>
          <w:kern w:val="2"/>
          <w:sz w:val="24"/>
          <w:szCs w:val="24"/>
        </w:rPr>
        <w:t xml:space="preserve"> </w:t>
      </w:r>
    </w:p>
    <w:bookmarkEnd w:id="9"/>
    <w:p w14:paraId="3D665F66" w14:textId="77777777" w:rsidR="00FF441C" w:rsidRPr="00D233AE" w:rsidRDefault="00FF441C" w:rsidP="00230F41">
      <w:pPr>
        <w:spacing w:line="360" w:lineRule="auto"/>
        <w:jc w:val="both"/>
        <w:rPr>
          <w:rFonts w:cs="Arial"/>
          <w:b/>
          <w:bCs/>
          <w:sz w:val="24"/>
          <w:szCs w:val="24"/>
          <w:lang w:val="es-ES" w:eastAsia="es-ES"/>
        </w:rPr>
      </w:pPr>
    </w:p>
    <w:p w14:paraId="1B66B39C" w14:textId="77777777" w:rsidR="00B441C5" w:rsidRPr="00D233AE" w:rsidRDefault="00B441C5" w:rsidP="00B441C5">
      <w:pPr>
        <w:spacing w:line="360" w:lineRule="auto"/>
        <w:jc w:val="both"/>
        <w:rPr>
          <w:rFonts w:eastAsia="Calibri" w:cs="Arial"/>
          <w:b/>
          <w:sz w:val="24"/>
          <w:szCs w:val="24"/>
          <w:lang w:val="es-ES_tradnl" w:eastAsia="en-US"/>
        </w:rPr>
      </w:pPr>
      <w:r w:rsidRPr="00D233AE">
        <w:rPr>
          <w:rFonts w:eastAsia="Calibri" w:cs="Arial"/>
          <w:b/>
          <w:sz w:val="24"/>
          <w:szCs w:val="24"/>
          <w:lang w:val="es-ES_tradnl" w:eastAsia="es-ES"/>
        </w:rPr>
        <w:t xml:space="preserve">CUARTO. </w:t>
      </w:r>
      <w:r w:rsidR="00FE6A59" w:rsidRPr="00D233AE">
        <w:rPr>
          <w:rFonts w:eastAsia="Calibri" w:cs="Arial"/>
          <w:b/>
          <w:sz w:val="24"/>
          <w:szCs w:val="24"/>
          <w:lang w:val="es-ES_tradnl" w:eastAsia="en-US"/>
        </w:rPr>
        <w:t>Metodología</w:t>
      </w:r>
    </w:p>
    <w:p w14:paraId="4E051C32" w14:textId="77777777" w:rsidR="00B441C5" w:rsidRPr="00D233AE" w:rsidRDefault="00B441C5" w:rsidP="00B441C5">
      <w:pPr>
        <w:spacing w:line="360" w:lineRule="auto"/>
        <w:jc w:val="both"/>
        <w:rPr>
          <w:rFonts w:eastAsia="Calibri" w:cs="Arial"/>
          <w:bCs/>
          <w:sz w:val="24"/>
          <w:szCs w:val="24"/>
          <w:lang w:val="es-ES_tradnl" w:eastAsia="en-US"/>
        </w:rPr>
      </w:pPr>
    </w:p>
    <w:p w14:paraId="351790AB" w14:textId="77777777" w:rsidR="006B5C39" w:rsidRPr="00D233AE" w:rsidRDefault="00196F9F" w:rsidP="00230F41">
      <w:pPr>
        <w:spacing w:line="360" w:lineRule="auto"/>
        <w:jc w:val="both"/>
        <w:rPr>
          <w:rFonts w:eastAsia="Calibri" w:cs="Arial"/>
          <w:bCs/>
          <w:sz w:val="24"/>
          <w:szCs w:val="24"/>
          <w:lang w:val="es-ES_tradnl" w:eastAsia="en-US"/>
        </w:rPr>
      </w:pPr>
      <w:r w:rsidRPr="00D233AE">
        <w:rPr>
          <w:rFonts w:eastAsia="Calibri" w:cs="Arial"/>
          <w:bCs/>
          <w:sz w:val="24"/>
          <w:szCs w:val="24"/>
          <w:lang w:val="es-ES_tradnl" w:eastAsia="en-US"/>
        </w:rPr>
        <w:t xml:space="preserve">Por cuestión de método, primeramente, se efectuará, el estudio del agravio identificado con el número </w:t>
      </w:r>
      <w:r w:rsidR="00FD1DE9" w:rsidRPr="00D233AE">
        <w:rPr>
          <w:rFonts w:eastAsia="Calibri" w:cs="Arial"/>
          <w:b/>
          <w:sz w:val="24"/>
          <w:szCs w:val="24"/>
          <w:lang w:val="es-ES_tradnl" w:eastAsia="en-US"/>
        </w:rPr>
        <w:t>3</w:t>
      </w:r>
      <w:r w:rsidRPr="00D233AE">
        <w:rPr>
          <w:rFonts w:eastAsia="Calibri" w:cs="Arial"/>
          <w:bCs/>
          <w:sz w:val="24"/>
          <w:szCs w:val="24"/>
          <w:lang w:val="es-ES_tradnl" w:eastAsia="en-US"/>
        </w:rPr>
        <w:t xml:space="preserve">, posteriormente, </w:t>
      </w:r>
      <w:r w:rsidR="00FD1DE9" w:rsidRPr="00D233AE">
        <w:rPr>
          <w:rFonts w:eastAsia="Calibri" w:cs="Arial"/>
          <w:bCs/>
          <w:sz w:val="24"/>
          <w:szCs w:val="24"/>
          <w:lang w:val="es-ES_tradnl" w:eastAsia="en-US"/>
        </w:rPr>
        <w:t xml:space="preserve">se realizará el análisis del agravio </w:t>
      </w:r>
      <w:r w:rsidR="00FD1DE9" w:rsidRPr="00D233AE">
        <w:rPr>
          <w:rFonts w:eastAsia="Calibri" w:cs="Arial"/>
          <w:b/>
          <w:sz w:val="24"/>
          <w:szCs w:val="24"/>
          <w:lang w:val="es-ES_tradnl" w:eastAsia="en-US"/>
        </w:rPr>
        <w:t xml:space="preserve">1 </w:t>
      </w:r>
      <w:r w:rsidR="00FD1DE9" w:rsidRPr="00D233AE">
        <w:rPr>
          <w:rFonts w:eastAsia="Calibri" w:cs="Arial"/>
          <w:bCs/>
          <w:sz w:val="24"/>
          <w:szCs w:val="24"/>
          <w:lang w:val="es-ES_tradnl" w:eastAsia="en-US"/>
        </w:rPr>
        <w:t>y finalmente</w:t>
      </w:r>
      <w:r w:rsidR="00FD1DE9" w:rsidRPr="00D233AE">
        <w:rPr>
          <w:rFonts w:eastAsia="Calibri" w:cs="Arial"/>
          <w:b/>
          <w:sz w:val="24"/>
          <w:szCs w:val="24"/>
          <w:lang w:val="es-ES_tradnl" w:eastAsia="en-US"/>
        </w:rPr>
        <w:t xml:space="preserve">, </w:t>
      </w:r>
      <w:r w:rsidRPr="00D233AE">
        <w:rPr>
          <w:rFonts w:eastAsia="Calibri" w:cs="Arial"/>
          <w:bCs/>
          <w:sz w:val="24"/>
          <w:szCs w:val="24"/>
          <w:lang w:val="es-ES_tradnl" w:eastAsia="en-US"/>
        </w:rPr>
        <w:t xml:space="preserve">dada su estrecha relación se realizará de manera conjunta el estudio de los agravios identificados con los números </w:t>
      </w:r>
      <w:r w:rsidRPr="00D233AE">
        <w:rPr>
          <w:rFonts w:eastAsia="Calibri" w:cs="Arial"/>
          <w:b/>
          <w:sz w:val="24"/>
          <w:szCs w:val="24"/>
          <w:lang w:val="es-ES_tradnl" w:eastAsia="en-US"/>
        </w:rPr>
        <w:t>2</w:t>
      </w:r>
      <w:r w:rsidR="00F55D96" w:rsidRPr="00D233AE">
        <w:rPr>
          <w:rFonts w:eastAsia="Calibri" w:cs="Arial"/>
          <w:bCs/>
          <w:sz w:val="24"/>
          <w:szCs w:val="24"/>
          <w:lang w:val="es-ES_tradnl" w:eastAsia="en-US"/>
        </w:rPr>
        <w:t xml:space="preserve"> y </w:t>
      </w:r>
      <w:r w:rsidRPr="00D233AE">
        <w:rPr>
          <w:rFonts w:eastAsia="Calibri" w:cs="Arial"/>
          <w:b/>
          <w:sz w:val="24"/>
          <w:szCs w:val="24"/>
          <w:lang w:val="es-ES_tradnl" w:eastAsia="en-US"/>
        </w:rPr>
        <w:t>4</w:t>
      </w:r>
      <w:r w:rsidR="00B441C5" w:rsidRPr="00D233AE">
        <w:rPr>
          <w:rFonts w:eastAsia="Calibri" w:cs="Arial"/>
          <w:bCs/>
          <w:sz w:val="24"/>
          <w:szCs w:val="24"/>
          <w:lang w:val="es-ES_tradnl" w:eastAsia="en-US"/>
        </w:rPr>
        <w:t>.</w:t>
      </w:r>
      <w:r w:rsidR="00FD1DE9" w:rsidRPr="00D233AE">
        <w:rPr>
          <w:rFonts w:eastAsia="Calibri" w:cs="Arial"/>
          <w:bCs/>
          <w:sz w:val="24"/>
          <w:szCs w:val="24"/>
          <w:lang w:val="es-ES_tradnl" w:eastAsia="en-US"/>
        </w:rPr>
        <w:t xml:space="preserve"> </w:t>
      </w:r>
      <w:r w:rsidR="00B441C5" w:rsidRPr="00D233AE">
        <w:rPr>
          <w:rStyle w:val="Refdenotaalpie"/>
          <w:rFonts w:eastAsia="Calibri" w:cs="Arial"/>
          <w:bCs/>
          <w:sz w:val="24"/>
          <w:szCs w:val="24"/>
          <w:lang w:val="es-ES_tradnl" w:eastAsia="en-US"/>
        </w:rPr>
        <w:footnoteReference w:id="25"/>
      </w:r>
    </w:p>
    <w:p w14:paraId="6415B62D" w14:textId="77777777" w:rsidR="006B5C39" w:rsidRPr="00D233AE" w:rsidRDefault="006B5C39" w:rsidP="00230F41">
      <w:pPr>
        <w:spacing w:line="360" w:lineRule="auto"/>
        <w:jc w:val="both"/>
        <w:rPr>
          <w:rFonts w:eastAsia="Calibri" w:cs="Arial"/>
          <w:bCs/>
          <w:sz w:val="24"/>
          <w:szCs w:val="24"/>
          <w:lang w:val="es-ES_tradnl" w:eastAsia="en-US"/>
        </w:rPr>
      </w:pPr>
    </w:p>
    <w:p w14:paraId="2FFAD62F" w14:textId="77777777" w:rsidR="00230F41" w:rsidRPr="00D233AE" w:rsidRDefault="00B441C5" w:rsidP="00230F41">
      <w:pPr>
        <w:spacing w:line="360" w:lineRule="auto"/>
        <w:jc w:val="both"/>
        <w:rPr>
          <w:rFonts w:eastAsia="Calibri" w:cs="Arial"/>
          <w:bCs/>
          <w:sz w:val="24"/>
          <w:szCs w:val="24"/>
          <w:vertAlign w:val="superscript"/>
          <w:lang w:val="es-ES_tradnl" w:eastAsia="en-US"/>
        </w:rPr>
      </w:pPr>
      <w:r w:rsidRPr="00D233AE">
        <w:rPr>
          <w:rFonts w:eastAsia="Calibri" w:cs="Arial"/>
          <w:b/>
          <w:sz w:val="24"/>
          <w:szCs w:val="24"/>
          <w:lang w:val="es-ES_tradnl" w:eastAsia="es-ES"/>
        </w:rPr>
        <w:t>QUINTO</w:t>
      </w:r>
      <w:r w:rsidR="00FE6A59" w:rsidRPr="00D233AE">
        <w:rPr>
          <w:rFonts w:eastAsia="Calibri" w:cs="Arial"/>
          <w:b/>
          <w:sz w:val="24"/>
          <w:szCs w:val="24"/>
          <w:lang w:val="es-ES_tradnl" w:eastAsia="es-ES"/>
        </w:rPr>
        <w:t>. Pretensión</w:t>
      </w:r>
    </w:p>
    <w:p w14:paraId="44F789E3" w14:textId="77777777" w:rsidR="006B5C39" w:rsidRPr="00D233AE" w:rsidRDefault="006B5C39" w:rsidP="00230F41">
      <w:pPr>
        <w:spacing w:line="360" w:lineRule="auto"/>
        <w:jc w:val="both"/>
        <w:rPr>
          <w:rFonts w:eastAsia="Calibri" w:cs="Arial"/>
          <w:b/>
          <w:sz w:val="24"/>
          <w:szCs w:val="24"/>
          <w:lang w:val="es-ES_tradnl" w:eastAsia="es-ES"/>
        </w:rPr>
      </w:pPr>
    </w:p>
    <w:p w14:paraId="6771A7DF" w14:textId="77777777" w:rsidR="007A1294" w:rsidRPr="00D233AE" w:rsidRDefault="007A1294" w:rsidP="007A1294">
      <w:pPr>
        <w:spacing w:line="360" w:lineRule="auto"/>
        <w:jc w:val="both"/>
        <w:rPr>
          <w:rFonts w:eastAsia="Calibri" w:cs="Arial"/>
          <w:bCs/>
          <w:color w:val="000000"/>
          <w:sz w:val="24"/>
          <w:szCs w:val="24"/>
          <w:lang w:val="es-ES_tradnl"/>
        </w:rPr>
      </w:pPr>
      <w:r w:rsidRPr="00D233AE">
        <w:rPr>
          <w:rFonts w:eastAsia="Calibri" w:cs="Arial"/>
          <w:bCs/>
          <w:color w:val="000000"/>
          <w:sz w:val="24"/>
          <w:szCs w:val="24"/>
          <w:lang w:val="es-ES_tradnl"/>
        </w:rPr>
        <w:t xml:space="preserve">Del escrito de impugnación se advierte que le </w:t>
      </w:r>
      <w:r w:rsidRPr="00D233AE">
        <w:rPr>
          <w:rFonts w:eastAsia="Calibri" w:cs="Arial"/>
          <w:bCs/>
          <w:i/>
          <w:iCs/>
          <w:color w:val="000000"/>
          <w:sz w:val="24"/>
          <w:szCs w:val="24"/>
          <w:lang w:val="es-ES_tradnl"/>
        </w:rPr>
        <w:t>PT</w:t>
      </w:r>
      <w:r w:rsidRPr="00D233AE">
        <w:rPr>
          <w:rFonts w:eastAsia="Calibri" w:cs="Arial"/>
          <w:bCs/>
          <w:color w:val="000000"/>
          <w:sz w:val="24"/>
          <w:szCs w:val="24"/>
          <w:lang w:val="es-ES_tradnl"/>
        </w:rPr>
        <w:t xml:space="preserve"> </w:t>
      </w:r>
      <w:r w:rsidRPr="00D233AE">
        <w:rPr>
          <w:rFonts w:eastAsia="Calibri" w:cs="Arial"/>
          <w:b/>
          <w:color w:val="000000"/>
          <w:sz w:val="24"/>
          <w:szCs w:val="24"/>
          <w:lang w:val="es-ES_tradnl"/>
        </w:rPr>
        <w:t xml:space="preserve">pretende </w:t>
      </w:r>
      <w:r w:rsidRPr="00D233AE">
        <w:rPr>
          <w:rFonts w:eastAsia="Calibri" w:cs="Arial"/>
          <w:bCs/>
          <w:color w:val="000000"/>
          <w:sz w:val="24"/>
          <w:szCs w:val="24"/>
          <w:lang w:val="es-ES_tradnl"/>
        </w:rPr>
        <w:t xml:space="preserve">que la </w:t>
      </w:r>
      <w:r w:rsidRPr="00D233AE">
        <w:rPr>
          <w:rFonts w:eastAsia="Calibri" w:cs="Arial"/>
          <w:bCs/>
          <w:i/>
          <w:iCs/>
          <w:color w:val="000000"/>
          <w:sz w:val="24"/>
          <w:szCs w:val="24"/>
          <w:lang w:val="es-ES_tradnl"/>
        </w:rPr>
        <w:t xml:space="preserve">Resolución Impugnada </w:t>
      </w:r>
      <w:r w:rsidRPr="00D233AE">
        <w:rPr>
          <w:rFonts w:eastAsia="Calibri" w:cs="Arial"/>
          <w:bCs/>
          <w:color w:val="000000"/>
          <w:sz w:val="24"/>
          <w:szCs w:val="24"/>
          <w:lang w:val="es-ES_tradnl"/>
        </w:rPr>
        <w:t xml:space="preserve">sea revocada y, en consecuencia, se determine que la </w:t>
      </w:r>
      <w:r w:rsidR="00C85EC2" w:rsidRPr="00D233AE">
        <w:rPr>
          <w:rFonts w:eastAsia="Calibri" w:cs="Arial"/>
          <w:bCs/>
          <w:color w:val="000000"/>
          <w:sz w:val="24"/>
          <w:szCs w:val="24"/>
          <w:lang w:val="es-ES_tradnl"/>
        </w:rPr>
        <w:t xml:space="preserve">conducta </w:t>
      </w:r>
      <w:r w:rsidRPr="00D233AE">
        <w:rPr>
          <w:rFonts w:eastAsia="Calibri" w:cs="Arial"/>
          <w:bCs/>
          <w:color w:val="000000"/>
          <w:sz w:val="24"/>
          <w:szCs w:val="24"/>
          <w:lang w:val="es-ES_tradnl"/>
        </w:rPr>
        <w:t xml:space="preserve">no es grave y se le imponga una </w:t>
      </w:r>
      <w:r w:rsidRPr="00D233AE">
        <w:rPr>
          <w:rFonts w:eastAsia="Calibri" w:cs="Arial"/>
          <w:b/>
          <w:color w:val="000000"/>
          <w:sz w:val="24"/>
          <w:szCs w:val="24"/>
          <w:lang w:val="es-ES_tradnl"/>
        </w:rPr>
        <w:t>amonestación pública.</w:t>
      </w:r>
    </w:p>
    <w:p w14:paraId="0E42111F" w14:textId="77777777" w:rsidR="006B5C39" w:rsidRPr="00D233AE" w:rsidRDefault="006B5C39" w:rsidP="007A1294">
      <w:pPr>
        <w:spacing w:line="360" w:lineRule="auto"/>
        <w:jc w:val="both"/>
        <w:rPr>
          <w:rFonts w:cs="Arial"/>
          <w:b/>
          <w:color w:val="000000"/>
          <w:sz w:val="24"/>
          <w:szCs w:val="24"/>
          <w:lang w:val="es-ES_tradnl" w:eastAsia="es-ES"/>
        </w:rPr>
      </w:pPr>
    </w:p>
    <w:p w14:paraId="17979673" w14:textId="77777777" w:rsidR="00004F10" w:rsidRPr="00D233AE" w:rsidRDefault="007A1294" w:rsidP="00004F10">
      <w:pPr>
        <w:spacing w:line="360" w:lineRule="auto"/>
        <w:jc w:val="both"/>
        <w:textAlignment w:val="baseline"/>
        <w:rPr>
          <w:rFonts w:cs="Arial"/>
          <w:b/>
          <w:bCs/>
          <w:sz w:val="24"/>
          <w:szCs w:val="24"/>
          <w:lang w:val="es-ES" w:eastAsia="es-ES"/>
        </w:rPr>
      </w:pPr>
      <w:r w:rsidRPr="00D233AE">
        <w:rPr>
          <w:rFonts w:cs="Arial"/>
          <w:kern w:val="2"/>
          <w:sz w:val="24"/>
          <w:szCs w:val="24"/>
          <w:lang w:eastAsia="es-ES"/>
        </w:rPr>
        <w:t xml:space="preserve">En consecuencia, la </w:t>
      </w:r>
      <w:r w:rsidRPr="00D233AE">
        <w:rPr>
          <w:rFonts w:cs="Arial"/>
          <w:b/>
          <w:bCs/>
          <w:kern w:val="2"/>
          <w:sz w:val="24"/>
          <w:szCs w:val="24"/>
          <w:lang w:eastAsia="es-ES"/>
        </w:rPr>
        <w:t>cuestión jurídica</w:t>
      </w:r>
      <w:r w:rsidRPr="00D233AE">
        <w:rPr>
          <w:rFonts w:cs="Arial"/>
          <w:kern w:val="2"/>
          <w:sz w:val="24"/>
          <w:szCs w:val="24"/>
          <w:lang w:eastAsia="es-ES"/>
        </w:rPr>
        <w:t xml:space="preserve"> a resolver en el presente asunto consiste en analizar si la sanción impuesta se encuentra</w:t>
      </w:r>
      <w:r w:rsidR="00004F10" w:rsidRPr="00D233AE">
        <w:rPr>
          <w:rFonts w:cs="Arial"/>
          <w:kern w:val="2"/>
          <w:sz w:val="24"/>
          <w:szCs w:val="24"/>
          <w:lang w:eastAsia="es-ES"/>
        </w:rPr>
        <w:t xml:space="preserve"> debidamente fundada y motivada, asimismo, si se encuentra</w:t>
      </w:r>
      <w:r w:rsidRPr="00D233AE">
        <w:rPr>
          <w:rFonts w:cs="Arial"/>
          <w:kern w:val="2"/>
          <w:sz w:val="24"/>
          <w:szCs w:val="24"/>
          <w:lang w:eastAsia="es-ES"/>
        </w:rPr>
        <w:t xml:space="preserve"> apegada a</w:t>
      </w:r>
      <w:r w:rsidR="00004F10" w:rsidRPr="00D233AE">
        <w:rPr>
          <w:rFonts w:cs="Arial"/>
          <w:kern w:val="2"/>
          <w:sz w:val="24"/>
          <w:szCs w:val="24"/>
          <w:lang w:eastAsia="es-ES"/>
        </w:rPr>
        <w:t xml:space="preserve"> derecho, ante el incumplimiento de </w:t>
      </w:r>
      <w:r w:rsidR="00004F10" w:rsidRPr="00D233AE">
        <w:rPr>
          <w:rFonts w:cs="Arial"/>
          <w:sz w:val="24"/>
          <w:szCs w:val="24"/>
        </w:rPr>
        <w:t xml:space="preserve">la cuota </w:t>
      </w:r>
      <w:r w:rsidR="00004F10" w:rsidRPr="00D233AE">
        <w:rPr>
          <w:rFonts w:cs="Arial"/>
          <w:sz w:val="24"/>
          <w:szCs w:val="24"/>
        </w:rPr>
        <w:lastRenderedPageBreak/>
        <w:t>mínima de postulación de candidaturas, mediante acción afirmativa de migrantes, para los cargos de diputaciones de Mayoría Relativa y Representación Proporcional en el Proceso Electoral 2023-2024.</w:t>
      </w:r>
    </w:p>
    <w:p w14:paraId="2D73787E" w14:textId="77777777" w:rsidR="00230F41" w:rsidRPr="00D233AE" w:rsidRDefault="00230F41" w:rsidP="00230F41">
      <w:pPr>
        <w:spacing w:line="360" w:lineRule="auto"/>
        <w:jc w:val="both"/>
        <w:rPr>
          <w:rFonts w:cs="Arial"/>
          <w:b/>
          <w:color w:val="000000"/>
          <w:sz w:val="24"/>
          <w:szCs w:val="24"/>
          <w:lang w:val="es-ES_tradnl" w:eastAsia="es-ES"/>
        </w:rPr>
      </w:pPr>
    </w:p>
    <w:p w14:paraId="41E254E3" w14:textId="77777777" w:rsidR="0090658F" w:rsidRPr="00D233AE" w:rsidRDefault="00B441C5" w:rsidP="00230F41">
      <w:pPr>
        <w:spacing w:line="360" w:lineRule="auto"/>
        <w:jc w:val="both"/>
        <w:rPr>
          <w:rFonts w:cs="Arial"/>
          <w:b/>
          <w:color w:val="000000"/>
          <w:sz w:val="24"/>
          <w:szCs w:val="24"/>
          <w:lang w:val="es-ES_tradnl" w:eastAsia="es-ES"/>
        </w:rPr>
      </w:pPr>
      <w:r w:rsidRPr="00D233AE">
        <w:rPr>
          <w:rFonts w:cs="Arial"/>
          <w:b/>
          <w:color w:val="000000"/>
          <w:sz w:val="24"/>
          <w:szCs w:val="24"/>
          <w:lang w:val="es-ES_tradnl" w:eastAsia="es-ES"/>
        </w:rPr>
        <w:t>SEXTO</w:t>
      </w:r>
      <w:r w:rsidR="007A1294" w:rsidRPr="00D233AE">
        <w:rPr>
          <w:rFonts w:cs="Arial"/>
          <w:b/>
          <w:color w:val="000000"/>
          <w:sz w:val="24"/>
          <w:szCs w:val="24"/>
          <w:lang w:val="es-ES_tradnl" w:eastAsia="es-ES"/>
        </w:rPr>
        <w:t xml:space="preserve">. </w:t>
      </w:r>
      <w:r w:rsidR="00FE6A59" w:rsidRPr="00D233AE">
        <w:rPr>
          <w:rFonts w:cs="Arial"/>
          <w:b/>
          <w:color w:val="000000"/>
          <w:sz w:val="24"/>
          <w:szCs w:val="24"/>
          <w:lang w:val="es-ES_tradnl" w:eastAsia="es-ES"/>
        </w:rPr>
        <w:t>Marco normativo</w:t>
      </w:r>
    </w:p>
    <w:p w14:paraId="22DF5D83" w14:textId="77777777" w:rsidR="0090658F" w:rsidRPr="00D233AE" w:rsidRDefault="0090658F" w:rsidP="00230F41">
      <w:pPr>
        <w:spacing w:line="360" w:lineRule="auto"/>
        <w:jc w:val="both"/>
        <w:rPr>
          <w:rFonts w:cs="Arial"/>
          <w:b/>
          <w:color w:val="000000"/>
          <w:sz w:val="24"/>
          <w:szCs w:val="24"/>
          <w:lang w:val="es-ES_tradnl" w:eastAsia="es-ES"/>
        </w:rPr>
      </w:pPr>
    </w:p>
    <w:p w14:paraId="6E132448" w14:textId="77777777" w:rsidR="00230F41" w:rsidRPr="00D233AE" w:rsidRDefault="00230F41" w:rsidP="00230F41">
      <w:pPr>
        <w:spacing w:line="360" w:lineRule="auto"/>
        <w:jc w:val="both"/>
        <w:rPr>
          <w:rFonts w:cs="Arial"/>
          <w:iCs/>
          <w:sz w:val="24"/>
          <w:szCs w:val="24"/>
          <w:lang w:val="es-ES" w:eastAsia="es-ES"/>
        </w:rPr>
      </w:pPr>
      <w:r w:rsidRPr="00D233AE">
        <w:rPr>
          <w:rFonts w:cs="Arial"/>
          <w:iCs/>
          <w:sz w:val="24"/>
          <w:szCs w:val="24"/>
          <w:lang w:val="es-ES" w:eastAsia="es-ES"/>
        </w:rPr>
        <w:t>En ese sentido, previo a abordar los agravios esgrimidos, resulta importante referir las disposiciones constitucionales y legales aplicables.</w:t>
      </w:r>
    </w:p>
    <w:p w14:paraId="6F63D91C" w14:textId="77777777" w:rsidR="007930F1" w:rsidRPr="00D233AE" w:rsidRDefault="007930F1" w:rsidP="00230F41">
      <w:pPr>
        <w:spacing w:line="360" w:lineRule="auto"/>
        <w:jc w:val="both"/>
        <w:rPr>
          <w:rFonts w:cs="Arial"/>
          <w:iCs/>
          <w:sz w:val="24"/>
          <w:szCs w:val="24"/>
          <w:lang w:val="es-ES" w:eastAsia="es-ES"/>
        </w:rPr>
      </w:pPr>
    </w:p>
    <w:p w14:paraId="648D0A38" w14:textId="77777777" w:rsidR="007930F1" w:rsidRPr="00D233AE" w:rsidRDefault="007930F1" w:rsidP="007930F1">
      <w:pPr>
        <w:adjustRightInd w:val="0"/>
        <w:spacing w:line="360" w:lineRule="auto"/>
        <w:jc w:val="both"/>
        <w:rPr>
          <w:rFonts w:cs="Arial"/>
          <w:b/>
          <w:bCs/>
          <w:sz w:val="24"/>
          <w:szCs w:val="24"/>
          <w:lang w:val="es-ES_tradnl"/>
        </w:rPr>
      </w:pPr>
      <w:r w:rsidRPr="00D233AE">
        <w:rPr>
          <w:rFonts w:cs="Arial"/>
          <w:b/>
          <w:bCs/>
          <w:sz w:val="24"/>
          <w:szCs w:val="24"/>
          <w:lang w:val="es-ES_tradnl"/>
        </w:rPr>
        <w:t xml:space="preserve">Fundamentación y Motivación </w:t>
      </w:r>
    </w:p>
    <w:p w14:paraId="11CDFAB6" w14:textId="77777777" w:rsidR="007930F1" w:rsidRPr="00D233AE" w:rsidRDefault="007930F1" w:rsidP="007930F1">
      <w:pPr>
        <w:adjustRightInd w:val="0"/>
        <w:spacing w:line="360" w:lineRule="auto"/>
        <w:jc w:val="both"/>
        <w:rPr>
          <w:rFonts w:cs="Arial"/>
          <w:b/>
          <w:bCs/>
          <w:sz w:val="24"/>
          <w:szCs w:val="24"/>
          <w:lang w:val="es-ES_tradnl"/>
        </w:rPr>
      </w:pPr>
    </w:p>
    <w:p w14:paraId="2617CEF7" w14:textId="77777777" w:rsidR="007930F1" w:rsidRPr="00D233AE" w:rsidRDefault="007930F1" w:rsidP="007930F1">
      <w:pPr>
        <w:adjustRightInd w:val="0"/>
        <w:spacing w:line="360" w:lineRule="auto"/>
        <w:jc w:val="both"/>
        <w:rPr>
          <w:rFonts w:cs="Arial"/>
          <w:sz w:val="24"/>
          <w:szCs w:val="24"/>
          <w:lang w:val="es-ES_tradnl"/>
        </w:rPr>
      </w:pPr>
      <w:r w:rsidRPr="00D233AE">
        <w:rPr>
          <w:rFonts w:cs="Arial"/>
          <w:sz w:val="24"/>
          <w:szCs w:val="24"/>
          <w:lang w:val="es-ES_tradnl"/>
        </w:rPr>
        <w:t xml:space="preserve">De la lectura de los artículos 14, 16 y 17 de la </w:t>
      </w:r>
      <w:r w:rsidRPr="00D233AE">
        <w:rPr>
          <w:rFonts w:cs="Arial"/>
          <w:i/>
          <w:iCs/>
          <w:sz w:val="24"/>
          <w:szCs w:val="24"/>
          <w:lang w:val="es-ES_tradnl"/>
        </w:rPr>
        <w:t>Constitución Federal</w:t>
      </w:r>
      <w:r w:rsidRPr="00D233AE">
        <w:rPr>
          <w:rFonts w:cs="Arial"/>
          <w:sz w:val="24"/>
          <w:szCs w:val="24"/>
          <w:lang w:val="es-ES_tradnl"/>
        </w:rPr>
        <w:t xml:space="preserve">, se advierte que el derecho de acceso a la justicia implica, entre otros aspectos, el deber de las autoridades de ser exhaustivas, así como de exponer las razones de hecho y de derecho para sustentar una determinación y </w:t>
      </w:r>
      <w:r w:rsidRPr="00D233AE">
        <w:rPr>
          <w:rFonts w:eastAsia="Aptos" w:cs="Arial"/>
          <w:bCs/>
          <w:sz w:val="24"/>
          <w:szCs w:val="24"/>
          <w:lang w:val="es-ES_tradnl" w:eastAsia="es-ES"/>
        </w:rPr>
        <w:t>brindar una seguridad jurídica a las personas en el goce y ejercicio de sus derechos</w:t>
      </w:r>
      <w:r w:rsidRPr="00D233AE">
        <w:rPr>
          <w:rFonts w:cs="Arial"/>
          <w:sz w:val="24"/>
          <w:szCs w:val="24"/>
          <w:lang w:val="es-ES_tradnl"/>
        </w:rPr>
        <w:t>.</w:t>
      </w:r>
      <w:r w:rsidRPr="00D233AE">
        <w:rPr>
          <w:rFonts w:eastAsia="Aptos" w:cs="Arial"/>
          <w:sz w:val="24"/>
          <w:szCs w:val="24"/>
          <w:vertAlign w:val="superscript"/>
          <w:lang w:val="es-ES_tradnl" w:eastAsia="es-ES"/>
        </w:rPr>
        <w:footnoteReference w:id="26"/>
      </w:r>
    </w:p>
    <w:p w14:paraId="7A6BB211" w14:textId="77777777" w:rsidR="007930F1" w:rsidRPr="00D233AE" w:rsidRDefault="007930F1" w:rsidP="007930F1">
      <w:pPr>
        <w:adjustRightInd w:val="0"/>
        <w:spacing w:line="360" w:lineRule="auto"/>
        <w:jc w:val="both"/>
        <w:rPr>
          <w:rFonts w:cs="Arial"/>
          <w:sz w:val="24"/>
          <w:szCs w:val="24"/>
          <w:lang w:val="es-ES_tradnl"/>
        </w:rPr>
      </w:pPr>
    </w:p>
    <w:p w14:paraId="109B3C4D" w14:textId="77777777" w:rsidR="007930F1" w:rsidRPr="00D233AE" w:rsidRDefault="007930F1" w:rsidP="007930F1">
      <w:pPr>
        <w:adjustRightInd w:val="0"/>
        <w:spacing w:line="360" w:lineRule="auto"/>
        <w:jc w:val="both"/>
        <w:rPr>
          <w:rFonts w:eastAsia="Aptos" w:cs="Arial"/>
          <w:bCs/>
          <w:sz w:val="24"/>
          <w:szCs w:val="24"/>
          <w:lang w:val="es-ES_tradnl" w:eastAsia="es-ES"/>
        </w:rPr>
      </w:pPr>
      <w:r w:rsidRPr="00D233AE">
        <w:rPr>
          <w:rFonts w:cs="Arial"/>
          <w:sz w:val="24"/>
          <w:szCs w:val="24"/>
          <w:lang w:val="es-ES_tradnl"/>
        </w:rPr>
        <w:t xml:space="preserve">En </w:t>
      </w:r>
      <w:r w:rsidRPr="00D233AE">
        <w:rPr>
          <w:rFonts w:eastAsia="Aptos" w:cs="Arial"/>
          <w:bCs/>
          <w:sz w:val="24"/>
          <w:szCs w:val="24"/>
          <w:lang w:val="es-ES_tradnl" w:eastAsia="es-ES"/>
        </w:rPr>
        <w:t>este sentido, siguiendo la jurisprudencia de la Suprema Corte de Justicia de la Nación, para satisfacer esos parámetros debe “expresarse con precisión el precepto legal aplicable al caso” (fundamentación) y “deben señalarse, con precisión, las circunstancias especiales, razones particulares o causas inmediatas que se hayan tenido en consideración para la emisión del acto” (motivación).</w:t>
      </w:r>
      <w:r w:rsidRPr="00D233AE">
        <w:rPr>
          <w:rFonts w:eastAsia="Aptos" w:cs="Arial"/>
          <w:sz w:val="24"/>
          <w:szCs w:val="24"/>
          <w:vertAlign w:val="superscript"/>
          <w:lang w:val="es-ES_tradnl"/>
        </w:rPr>
        <w:footnoteReference w:id="27"/>
      </w:r>
    </w:p>
    <w:p w14:paraId="2E650ED8" w14:textId="77777777" w:rsidR="007930F1" w:rsidRPr="00D233AE" w:rsidRDefault="007930F1" w:rsidP="007930F1">
      <w:pPr>
        <w:adjustRightInd w:val="0"/>
        <w:spacing w:line="360" w:lineRule="auto"/>
        <w:jc w:val="both"/>
        <w:rPr>
          <w:rFonts w:eastAsia="Aptos" w:cs="Arial"/>
          <w:bCs/>
          <w:sz w:val="24"/>
          <w:szCs w:val="24"/>
          <w:lang w:val="es-ES_tradnl" w:eastAsia="es-ES"/>
        </w:rPr>
      </w:pPr>
    </w:p>
    <w:p w14:paraId="75F74922" w14:textId="77777777" w:rsidR="007930F1" w:rsidRPr="00D233AE" w:rsidRDefault="007930F1" w:rsidP="007930F1">
      <w:pPr>
        <w:adjustRightInd w:val="0"/>
        <w:spacing w:line="360" w:lineRule="auto"/>
        <w:jc w:val="both"/>
        <w:rPr>
          <w:rFonts w:cs="Arial"/>
          <w:sz w:val="24"/>
          <w:szCs w:val="24"/>
          <w:lang w:val="es-ES_tradnl"/>
        </w:rPr>
      </w:pPr>
      <w:r w:rsidRPr="00D233AE">
        <w:rPr>
          <w:rFonts w:cs="Arial"/>
          <w:sz w:val="24"/>
          <w:szCs w:val="24"/>
          <w:lang w:val="es-ES_tradnl"/>
        </w:rPr>
        <w:t xml:space="preserve">Así, tal como lo ha sostenido la </w:t>
      </w:r>
      <w:r w:rsidRPr="00D233AE">
        <w:rPr>
          <w:rFonts w:cs="Arial"/>
          <w:i/>
          <w:iCs/>
          <w:sz w:val="24"/>
          <w:szCs w:val="24"/>
          <w:lang w:val="es-ES_tradnl"/>
        </w:rPr>
        <w:t>Sala Superior</w:t>
      </w:r>
      <w:r w:rsidRPr="00D233AE">
        <w:rPr>
          <w:rFonts w:cs="Arial"/>
          <w:i/>
          <w:iCs/>
          <w:sz w:val="24"/>
          <w:szCs w:val="24"/>
          <w:vertAlign w:val="superscript"/>
          <w:lang w:val="es-ES_tradnl"/>
        </w:rPr>
        <w:footnoteReference w:id="28"/>
      </w:r>
      <w:r w:rsidRPr="00D233AE">
        <w:rPr>
          <w:rFonts w:cs="Arial"/>
          <w:sz w:val="24"/>
          <w:szCs w:val="24"/>
          <w:lang w:val="es-ES_tradnl"/>
        </w:rPr>
        <w:t xml:space="preserve">, existe una falta de fundamentación y motivación, cuando la autoridad u órgano partidista omite citar el o los preceptos jurídicos aplicables al caso, así como los razonamientos lógico-jurídicos que hacen evidente la aplicación de las normas jurídicas. </w:t>
      </w:r>
    </w:p>
    <w:p w14:paraId="2ABDA74C" w14:textId="77777777" w:rsidR="00A12A65" w:rsidRPr="00D233AE" w:rsidRDefault="00A12A65" w:rsidP="007930F1">
      <w:pPr>
        <w:adjustRightInd w:val="0"/>
        <w:spacing w:line="360" w:lineRule="auto"/>
        <w:jc w:val="both"/>
        <w:rPr>
          <w:rFonts w:cs="Arial"/>
          <w:sz w:val="24"/>
          <w:szCs w:val="24"/>
          <w:lang w:val="es-ES_tradnl"/>
        </w:rPr>
      </w:pPr>
    </w:p>
    <w:p w14:paraId="48C7D185" w14:textId="77777777" w:rsidR="007930F1" w:rsidRPr="00D233AE" w:rsidRDefault="007930F1" w:rsidP="007930F1">
      <w:pPr>
        <w:adjustRightInd w:val="0"/>
        <w:spacing w:line="360" w:lineRule="auto"/>
        <w:jc w:val="both"/>
        <w:rPr>
          <w:rFonts w:cs="Arial"/>
          <w:sz w:val="24"/>
          <w:szCs w:val="24"/>
          <w:lang w:val="es-ES_tradnl"/>
        </w:rPr>
      </w:pPr>
      <w:r w:rsidRPr="00D233AE">
        <w:rPr>
          <w:rFonts w:cs="Arial"/>
          <w:sz w:val="24"/>
          <w:szCs w:val="24"/>
          <w:lang w:val="es-ES_tradnl"/>
        </w:rPr>
        <w:lastRenderedPageBreak/>
        <w:t>Por otra parte, subsiste una fundamentación indebida de las determinaciones, si se invocan preceptos legales que no son aplicables al caso y existe una motivación indebida, cuando se expresan razones que difieren de lo probado en el expediente y del contenido de las normas jurídicas aplicables.</w:t>
      </w:r>
      <w:r w:rsidRPr="00D233AE">
        <w:rPr>
          <w:rFonts w:cs="Arial"/>
          <w:sz w:val="24"/>
          <w:szCs w:val="24"/>
          <w:vertAlign w:val="superscript"/>
          <w:lang w:val="es-ES_tradnl"/>
        </w:rPr>
        <w:footnoteReference w:id="29"/>
      </w:r>
    </w:p>
    <w:p w14:paraId="34BDBD06" w14:textId="77777777" w:rsidR="007930F1" w:rsidRPr="00D233AE" w:rsidRDefault="007930F1" w:rsidP="007930F1">
      <w:pPr>
        <w:spacing w:line="360" w:lineRule="auto"/>
        <w:jc w:val="both"/>
        <w:rPr>
          <w:rFonts w:cs="Arial"/>
          <w:sz w:val="24"/>
          <w:szCs w:val="24"/>
          <w:lang w:eastAsia="es-ES"/>
        </w:rPr>
      </w:pPr>
    </w:p>
    <w:p w14:paraId="6E09639F" w14:textId="77777777" w:rsidR="00A52627" w:rsidRPr="00D233AE" w:rsidRDefault="00A52627" w:rsidP="007930F1">
      <w:pPr>
        <w:pBdr>
          <w:top w:val="nil"/>
          <w:left w:val="nil"/>
          <w:bottom w:val="nil"/>
          <w:right w:val="nil"/>
          <w:between w:val="nil"/>
        </w:pBdr>
        <w:spacing w:line="360" w:lineRule="auto"/>
        <w:jc w:val="both"/>
        <w:rPr>
          <w:rFonts w:eastAsia="Arial" w:cs="Arial"/>
          <w:b/>
          <w:color w:val="000000"/>
          <w:sz w:val="24"/>
          <w:szCs w:val="24"/>
          <w:lang w:val="es-ES"/>
        </w:rPr>
      </w:pPr>
      <w:r w:rsidRPr="00D233AE">
        <w:rPr>
          <w:rFonts w:eastAsia="Arial" w:cs="Arial"/>
          <w:b/>
          <w:color w:val="000000"/>
          <w:sz w:val="24"/>
          <w:szCs w:val="24"/>
          <w:lang w:val="es-ES"/>
        </w:rPr>
        <w:t>De los partidos políticos</w:t>
      </w:r>
    </w:p>
    <w:p w14:paraId="793FBFCC" w14:textId="77777777" w:rsidR="0057380A" w:rsidRPr="00D233AE" w:rsidRDefault="0057380A" w:rsidP="007930F1">
      <w:pPr>
        <w:pBdr>
          <w:top w:val="nil"/>
          <w:left w:val="nil"/>
          <w:bottom w:val="nil"/>
          <w:right w:val="nil"/>
          <w:between w:val="nil"/>
        </w:pBdr>
        <w:spacing w:line="360" w:lineRule="auto"/>
        <w:jc w:val="both"/>
        <w:rPr>
          <w:rFonts w:eastAsia="Arial" w:cs="Arial"/>
          <w:color w:val="000000"/>
          <w:sz w:val="24"/>
          <w:szCs w:val="24"/>
          <w:lang w:val="es-ES"/>
        </w:rPr>
      </w:pPr>
    </w:p>
    <w:p w14:paraId="1DADEAD3" w14:textId="77777777" w:rsidR="00A52627" w:rsidRPr="00D233AE" w:rsidRDefault="00A52627" w:rsidP="0057380A">
      <w:pPr>
        <w:pBdr>
          <w:top w:val="nil"/>
          <w:left w:val="nil"/>
          <w:bottom w:val="nil"/>
          <w:right w:val="nil"/>
          <w:between w:val="nil"/>
        </w:pBdr>
        <w:spacing w:line="360" w:lineRule="auto"/>
        <w:jc w:val="both"/>
        <w:rPr>
          <w:rFonts w:eastAsia="Arial" w:cs="Arial"/>
          <w:color w:val="000000"/>
          <w:sz w:val="24"/>
          <w:szCs w:val="24"/>
          <w:lang w:val="es-ES"/>
        </w:rPr>
      </w:pPr>
      <w:r w:rsidRPr="00D233AE">
        <w:rPr>
          <w:rFonts w:eastAsia="Arial" w:cs="Arial"/>
          <w:color w:val="000000"/>
          <w:sz w:val="24"/>
          <w:szCs w:val="24"/>
          <w:lang w:val="es-ES"/>
        </w:rPr>
        <w:t xml:space="preserve">De conformidad con lo dispuesto en el artículo 41 de la </w:t>
      </w:r>
      <w:r w:rsidRPr="00D233AE">
        <w:rPr>
          <w:rFonts w:eastAsia="Arial" w:cs="Arial"/>
          <w:i/>
          <w:color w:val="000000"/>
          <w:sz w:val="24"/>
          <w:szCs w:val="24"/>
          <w:lang w:val="es-ES"/>
        </w:rPr>
        <w:t>Constitución</w:t>
      </w:r>
      <w:r w:rsidR="00C5590B" w:rsidRPr="00D233AE">
        <w:rPr>
          <w:rFonts w:eastAsia="Arial" w:cs="Arial"/>
          <w:i/>
          <w:color w:val="000000"/>
          <w:sz w:val="24"/>
          <w:szCs w:val="24"/>
          <w:lang w:val="es-ES"/>
        </w:rPr>
        <w:t xml:space="preserve"> Federal</w:t>
      </w:r>
      <w:r w:rsidRPr="00D233AE">
        <w:rPr>
          <w:rFonts w:eastAsia="Arial" w:cs="Arial"/>
          <w:i/>
          <w:color w:val="000000"/>
          <w:sz w:val="24"/>
          <w:szCs w:val="24"/>
          <w:lang w:val="es-ES"/>
        </w:rPr>
        <w:t>,</w:t>
      </w:r>
      <w:r w:rsidRPr="00D233AE">
        <w:rPr>
          <w:rFonts w:eastAsia="Arial" w:cs="Arial"/>
          <w:color w:val="000000"/>
          <w:sz w:val="24"/>
          <w:szCs w:val="24"/>
          <w:lang w:val="es-ES"/>
        </w:rPr>
        <w:t xml:space="preserve"> el artículo 13 de la </w:t>
      </w:r>
      <w:r w:rsidRPr="00D233AE">
        <w:rPr>
          <w:rFonts w:eastAsia="Arial" w:cs="Arial"/>
          <w:i/>
          <w:iCs/>
          <w:color w:val="000000"/>
          <w:sz w:val="24"/>
          <w:szCs w:val="24"/>
          <w:lang w:val="es-ES"/>
        </w:rPr>
        <w:t>Constitución Local</w:t>
      </w:r>
      <w:r w:rsidRPr="00D233AE">
        <w:rPr>
          <w:rFonts w:eastAsia="Arial" w:cs="Arial"/>
          <w:color w:val="000000"/>
          <w:sz w:val="24"/>
          <w:szCs w:val="24"/>
          <w:lang w:val="es-ES"/>
        </w:rPr>
        <w:t xml:space="preserve"> y el artículo 4 del </w:t>
      </w:r>
      <w:r w:rsidRPr="00D233AE">
        <w:rPr>
          <w:rFonts w:eastAsia="Arial" w:cs="Arial"/>
          <w:i/>
          <w:iCs/>
          <w:color w:val="000000"/>
          <w:sz w:val="24"/>
          <w:szCs w:val="24"/>
          <w:lang w:val="es-ES"/>
        </w:rPr>
        <w:t>Código Electoral</w:t>
      </w:r>
      <w:r w:rsidRPr="00D233AE">
        <w:rPr>
          <w:rFonts w:eastAsia="Arial" w:cs="Arial"/>
          <w:color w:val="000000"/>
          <w:sz w:val="24"/>
          <w:szCs w:val="24"/>
          <w:lang w:val="es-ES"/>
        </w:rPr>
        <w:t xml:space="preserve">, los partidos políticos, en su calidad de entidades de interés público, deben promover la participación de la ciudadanía en la vida democrática, contribuir a la integración de los órganos de representación estatal y municipal y facilitar el acceso de las y los ciudadanos al ejercicio del poder público. </w:t>
      </w:r>
    </w:p>
    <w:p w14:paraId="341661EA" w14:textId="77777777" w:rsidR="0057380A" w:rsidRPr="00D233AE" w:rsidRDefault="0057380A" w:rsidP="0057380A">
      <w:pPr>
        <w:pBdr>
          <w:top w:val="nil"/>
          <w:left w:val="nil"/>
          <w:bottom w:val="nil"/>
          <w:right w:val="nil"/>
          <w:between w:val="nil"/>
        </w:pBdr>
        <w:spacing w:line="360" w:lineRule="auto"/>
        <w:jc w:val="both"/>
        <w:rPr>
          <w:rFonts w:eastAsia="Arial" w:cs="Arial"/>
          <w:color w:val="000000"/>
          <w:sz w:val="24"/>
          <w:szCs w:val="24"/>
          <w:lang w:val="es-ES"/>
        </w:rPr>
      </w:pPr>
    </w:p>
    <w:p w14:paraId="59B72FDD" w14:textId="77777777" w:rsidR="0057380A" w:rsidRPr="00D233AE" w:rsidRDefault="00A52627" w:rsidP="0057380A">
      <w:pPr>
        <w:pBdr>
          <w:top w:val="nil"/>
          <w:left w:val="nil"/>
          <w:bottom w:val="nil"/>
          <w:right w:val="nil"/>
          <w:between w:val="nil"/>
        </w:pBdr>
        <w:spacing w:line="360" w:lineRule="auto"/>
        <w:jc w:val="both"/>
        <w:rPr>
          <w:rFonts w:eastAsia="Arial" w:cs="Arial"/>
          <w:color w:val="000000"/>
          <w:sz w:val="24"/>
          <w:szCs w:val="24"/>
          <w:lang w:val="es-ES"/>
        </w:rPr>
      </w:pPr>
      <w:r w:rsidRPr="00D233AE">
        <w:rPr>
          <w:rFonts w:eastAsia="Arial" w:cs="Arial"/>
          <w:color w:val="000000"/>
          <w:sz w:val="24"/>
          <w:szCs w:val="24"/>
          <w:lang w:val="es-ES"/>
        </w:rPr>
        <w:t>Asimismo, tienen el mandato expreso de impulsar la igualdad de oportunidades y la paridad entre mujeres y hombres en el acceso a los cargos de elección popular, así como de generar las condiciones necesarias para que las mujeres y los grupos en situación de vulnerabilidad ejerzan plena y libremente sus derechos político-electorales.</w:t>
      </w:r>
    </w:p>
    <w:p w14:paraId="63B413AA" w14:textId="77777777" w:rsidR="00A12A65" w:rsidRPr="00D233AE" w:rsidRDefault="00A12A65" w:rsidP="0057380A">
      <w:pPr>
        <w:pBdr>
          <w:top w:val="nil"/>
          <w:left w:val="nil"/>
          <w:bottom w:val="nil"/>
          <w:right w:val="nil"/>
          <w:between w:val="nil"/>
        </w:pBdr>
        <w:spacing w:line="360" w:lineRule="auto"/>
        <w:jc w:val="both"/>
        <w:rPr>
          <w:rFonts w:eastAsia="Arial" w:cs="Arial"/>
          <w:color w:val="000000"/>
          <w:sz w:val="24"/>
          <w:szCs w:val="24"/>
          <w:lang w:val="es-ES"/>
        </w:rPr>
      </w:pPr>
    </w:p>
    <w:p w14:paraId="0E634D8F" w14:textId="77777777" w:rsidR="00A52627" w:rsidRPr="00D233AE" w:rsidRDefault="00A52627" w:rsidP="0057380A">
      <w:pPr>
        <w:pBdr>
          <w:top w:val="nil"/>
          <w:left w:val="nil"/>
          <w:bottom w:val="nil"/>
          <w:right w:val="nil"/>
          <w:between w:val="nil"/>
        </w:pBdr>
        <w:spacing w:line="360" w:lineRule="auto"/>
        <w:jc w:val="both"/>
        <w:rPr>
          <w:rFonts w:eastAsia="Arial" w:cs="Arial"/>
          <w:b/>
          <w:i/>
          <w:iCs/>
          <w:color w:val="000000"/>
          <w:sz w:val="24"/>
          <w:szCs w:val="24"/>
          <w:lang w:val="es-ES"/>
        </w:rPr>
      </w:pPr>
      <w:r w:rsidRPr="00D233AE">
        <w:rPr>
          <w:rFonts w:eastAsia="Arial" w:cs="Arial"/>
          <w:b/>
          <w:i/>
          <w:iCs/>
          <w:color w:val="000000"/>
          <w:sz w:val="24"/>
          <w:szCs w:val="24"/>
          <w:lang w:val="es-ES"/>
        </w:rPr>
        <w:t>Lineamientos en materia de acciones afirmativas</w:t>
      </w:r>
    </w:p>
    <w:p w14:paraId="12A3108A" w14:textId="77777777" w:rsidR="0057380A" w:rsidRPr="00D233AE" w:rsidRDefault="0057380A" w:rsidP="0057380A">
      <w:pPr>
        <w:pBdr>
          <w:top w:val="nil"/>
          <w:left w:val="nil"/>
          <w:bottom w:val="nil"/>
          <w:right w:val="nil"/>
          <w:between w:val="nil"/>
        </w:pBdr>
        <w:spacing w:line="360" w:lineRule="auto"/>
        <w:jc w:val="both"/>
        <w:rPr>
          <w:rFonts w:eastAsia="Arial" w:cs="Arial"/>
          <w:color w:val="000000"/>
          <w:sz w:val="24"/>
          <w:szCs w:val="24"/>
          <w:lang w:val="es-ES"/>
        </w:rPr>
      </w:pPr>
    </w:p>
    <w:p w14:paraId="14BE2A58" w14:textId="77777777" w:rsidR="00A52627" w:rsidRPr="00D233AE" w:rsidRDefault="00A52627" w:rsidP="0057380A">
      <w:pPr>
        <w:pBdr>
          <w:top w:val="nil"/>
          <w:left w:val="nil"/>
          <w:bottom w:val="nil"/>
          <w:right w:val="nil"/>
          <w:between w:val="nil"/>
        </w:pBdr>
        <w:spacing w:line="360" w:lineRule="auto"/>
        <w:jc w:val="both"/>
        <w:rPr>
          <w:rFonts w:eastAsia="Arial" w:cs="Arial"/>
          <w:color w:val="000000"/>
          <w:sz w:val="24"/>
          <w:szCs w:val="24"/>
          <w:lang w:val="es-ES"/>
        </w:rPr>
      </w:pPr>
      <w:r w:rsidRPr="00D233AE">
        <w:rPr>
          <w:rFonts w:eastAsia="Arial" w:cs="Arial"/>
          <w:color w:val="000000"/>
          <w:sz w:val="24"/>
          <w:szCs w:val="24"/>
          <w:lang w:val="es-ES"/>
        </w:rPr>
        <w:t>Los Lineamientos tiene</w:t>
      </w:r>
      <w:r w:rsidR="00912238" w:rsidRPr="00D233AE">
        <w:rPr>
          <w:rFonts w:eastAsia="Arial" w:cs="Arial"/>
          <w:color w:val="000000"/>
          <w:sz w:val="24"/>
          <w:szCs w:val="24"/>
          <w:lang w:val="es-ES"/>
        </w:rPr>
        <w:t>n</w:t>
      </w:r>
      <w:r w:rsidRPr="00D233AE">
        <w:rPr>
          <w:rFonts w:eastAsia="Arial" w:cs="Arial"/>
          <w:color w:val="000000"/>
          <w:sz w:val="24"/>
          <w:szCs w:val="24"/>
          <w:lang w:val="es-ES"/>
        </w:rPr>
        <w:t xml:space="preserve"> por objeto fijar las reglas que deben seguirse para configurar acciones afirmativas a favor de personas con discapacidad, integrantes de la población LGBTIQA+, pueblos y comunidades indígenas y personas migrantes, a fin de garantizar su postulación y registro como candidatas y candidatos a diputaciones y ayuntamientos en el Estado de Michoacán de Ocampo durante el Proceso Electoral Local Ordinario 2023-2024 y, en su caso, en las elecciones extraordinarias que de él se deriven.</w:t>
      </w:r>
    </w:p>
    <w:p w14:paraId="5E6B2BE3" w14:textId="77777777" w:rsidR="0057380A" w:rsidRPr="00D233AE" w:rsidRDefault="0057380A" w:rsidP="0057380A">
      <w:pPr>
        <w:pBdr>
          <w:top w:val="nil"/>
          <w:left w:val="nil"/>
          <w:bottom w:val="nil"/>
          <w:right w:val="nil"/>
          <w:between w:val="nil"/>
        </w:pBdr>
        <w:spacing w:line="360" w:lineRule="auto"/>
        <w:jc w:val="both"/>
        <w:rPr>
          <w:rFonts w:eastAsia="Arial" w:cs="Arial"/>
          <w:color w:val="000000"/>
          <w:sz w:val="24"/>
          <w:szCs w:val="24"/>
          <w:lang w:val="es-ES"/>
        </w:rPr>
      </w:pPr>
    </w:p>
    <w:p w14:paraId="507F8CF7" w14:textId="77777777" w:rsidR="00A52627" w:rsidRPr="00D233AE" w:rsidRDefault="00A52627" w:rsidP="0057380A">
      <w:pPr>
        <w:pBdr>
          <w:top w:val="nil"/>
          <w:left w:val="nil"/>
          <w:bottom w:val="nil"/>
          <w:right w:val="nil"/>
          <w:between w:val="nil"/>
        </w:pBdr>
        <w:spacing w:line="360" w:lineRule="auto"/>
        <w:jc w:val="both"/>
        <w:rPr>
          <w:rFonts w:eastAsia="Arial" w:cs="Arial"/>
          <w:color w:val="000000"/>
          <w:sz w:val="24"/>
          <w:szCs w:val="24"/>
          <w:lang w:val="es-ES"/>
        </w:rPr>
      </w:pPr>
      <w:r w:rsidRPr="00D233AE">
        <w:rPr>
          <w:rFonts w:eastAsia="Arial" w:cs="Arial"/>
          <w:color w:val="000000"/>
          <w:sz w:val="24"/>
          <w:szCs w:val="24"/>
          <w:lang w:val="es-ES"/>
        </w:rPr>
        <w:t xml:space="preserve">Resultan obligatorios para todos los partidos políticos nacionales o locales acreditados ante el </w:t>
      </w:r>
      <w:r w:rsidRPr="00D233AE">
        <w:rPr>
          <w:rFonts w:eastAsia="Arial" w:cs="Arial"/>
          <w:i/>
          <w:iCs/>
          <w:color w:val="000000"/>
          <w:sz w:val="24"/>
          <w:szCs w:val="24"/>
          <w:lang w:val="es-ES"/>
        </w:rPr>
        <w:t>IEM</w:t>
      </w:r>
      <w:r w:rsidRPr="00D233AE">
        <w:rPr>
          <w:rFonts w:eastAsia="Arial" w:cs="Arial"/>
          <w:color w:val="000000"/>
          <w:sz w:val="24"/>
          <w:szCs w:val="24"/>
          <w:lang w:val="es-ES"/>
        </w:rPr>
        <w:t xml:space="preserve">, así como para las coaliciones y las candidaturas comunes que participen en dicho proceso electoral (y en las eventuales elecciones </w:t>
      </w:r>
      <w:r w:rsidRPr="00D233AE">
        <w:rPr>
          <w:rFonts w:eastAsia="Arial" w:cs="Arial"/>
          <w:color w:val="000000"/>
          <w:sz w:val="24"/>
          <w:szCs w:val="24"/>
          <w:lang w:val="es-ES"/>
        </w:rPr>
        <w:lastRenderedPageBreak/>
        <w:t>extraordinarias). En consecuencia, estos sujetos quedan jurídicamente vinculados a cumplir las cuotas y requisitos que los Lineamientos establecen.</w:t>
      </w:r>
    </w:p>
    <w:p w14:paraId="484FAFFA" w14:textId="77777777" w:rsidR="00A12A65" w:rsidRPr="00D233AE" w:rsidRDefault="00A12A65" w:rsidP="0057380A">
      <w:pPr>
        <w:pBdr>
          <w:top w:val="nil"/>
          <w:left w:val="nil"/>
          <w:bottom w:val="nil"/>
          <w:right w:val="nil"/>
          <w:between w:val="nil"/>
        </w:pBdr>
        <w:spacing w:line="360" w:lineRule="auto"/>
        <w:jc w:val="both"/>
        <w:rPr>
          <w:rFonts w:eastAsia="Arial" w:cs="Arial"/>
          <w:color w:val="000000"/>
          <w:sz w:val="24"/>
          <w:szCs w:val="24"/>
          <w:lang w:val="es-ES"/>
        </w:rPr>
      </w:pPr>
    </w:p>
    <w:p w14:paraId="341EF844" w14:textId="77777777" w:rsidR="003C2E23" w:rsidRPr="00D233AE" w:rsidRDefault="006F3CAE" w:rsidP="00A12A65">
      <w:pPr>
        <w:pBdr>
          <w:top w:val="nil"/>
          <w:left w:val="nil"/>
          <w:bottom w:val="nil"/>
          <w:right w:val="nil"/>
          <w:between w:val="nil"/>
        </w:pBdr>
        <w:spacing w:line="360" w:lineRule="auto"/>
        <w:jc w:val="both"/>
        <w:rPr>
          <w:sz w:val="24"/>
          <w:szCs w:val="24"/>
        </w:rPr>
      </w:pPr>
      <w:r w:rsidRPr="00D233AE">
        <w:rPr>
          <w:rFonts w:eastAsia="Arial" w:cs="Arial"/>
          <w:color w:val="000000"/>
          <w:sz w:val="24"/>
          <w:szCs w:val="24"/>
          <w:lang w:val="es-ES"/>
        </w:rPr>
        <w:t xml:space="preserve">En el caso particular, el artículo </w:t>
      </w:r>
      <w:r w:rsidR="003C2E23" w:rsidRPr="00D233AE">
        <w:rPr>
          <w:rFonts w:eastAsia="Arial" w:cs="Arial"/>
          <w:color w:val="000000"/>
          <w:sz w:val="24"/>
          <w:szCs w:val="24"/>
          <w:lang w:val="es-ES"/>
        </w:rPr>
        <w:t xml:space="preserve">18 de los presentes lineamientos, establecieron que </w:t>
      </w:r>
      <w:r w:rsidR="003C2E23" w:rsidRPr="00D233AE">
        <w:rPr>
          <w:sz w:val="24"/>
          <w:szCs w:val="24"/>
        </w:rPr>
        <w:t>los partidos políticos, coaliciones o candidaturas comunes deberían postular al menos una fórmula integrada por personas migrantes a la candidatura de diputación por el principio de mayoría relativa o bien al menos una fórmula a la candidatura por la vía de representación proporcional, la cual tendría que estar ubicada dentro de los seis primeros lugares de prelación en la lista correspondiente.</w:t>
      </w:r>
    </w:p>
    <w:p w14:paraId="23271881" w14:textId="77777777" w:rsidR="00A12A65" w:rsidRPr="00D233AE" w:rsidRDefault="00A12A65" w:rsidP="00A12A65">
      <w:pPr>
        <w:pBdr>
          <w:top w:val="nil"/>
          <w:left w:val="nil"/>
          <w:bottom w:val="nil"/>
          <w:right w:val="nil"/>
          <w:between w:val="nil"/>
        </w:pBdr>
        <w:spacing w:line="360" w:lineRule="auto"/>
        <w:jc w:val="both"/>
        <w:rPr>
          <w:sz w:val="24"/>
          <w:szCs w:val="24"/>
        </w:rPr>
      </w:pPr>
    </w:p>
    <w:p w14:paraId="2DE3D180" w14:textId="77777777" w:rsidR="003C2E23" w:rsidRPr="00D233AE" w:rsidRDefault="003C2E23" w:rsidP="00A12A65">
      <w:pPr>
        <w:pBdr>
          <w:top w:val="nil"/>
          <w:left w:val="nil"/>
          <w:bottom w:val="nil"/>
          <w:right w:val="nil"/>
          <w:between w:val="nil"/>
        </w:pBdr>
        <w:spacing w:line="360" w:lineRule="auto"/>
        <w:jc w:val="both"/>
        <w:rPr>
          <w:sz w:val="24"/>
          <w:szCs w:val="24"/>
        </w:rPr>
      </w:pPr>
      <w:r w:rsidRPr="00D233AE">
        <w:rPr>
          <w:sz w:val="24"/>
          <w:szCs w:val="24"/>
        </w:rPr>
        <w:t>De igual forma, se estableció en el artículo 20 los requisitos para acreditar la autoadscripción, entre los que se señaló acreditar la residencia binacional y acreditar la calidad o condición de migrante, en los que se puntualizó cual sería el documento idóneo que confirmara tal condición.</w:t>
      </w:r>
    </w:p>
    <w:p w14:paraId="17E8DDAA" w14:textId="77777777" w:rsidR="00A12A65" w:rsidRPr="00D233AE" w:rsidRDefault="00A12A65" w:rsidP="00A12A65">
      <w:pPr>
        <w:pBdr>
          <w:top w:val="nil"/>
          <w:left w:val="nil"/>
          <w:bottom w:val="nil"/>
          <w:right w:val="nil"/>
          <w:between w:val="nil"/>
        </w:pBdr>
        <w:spacing w:line="360" w:lineRule="auto"/>
        <w:jc w:val="both"/>
        <w:rPr>
          <w:sz w:val="24"/>
          <w:szCs w:val="24"/>
        </w:rPr>
      </w:pPr>
    </w:p>
    <w:p w14:paraId="5B8C8525" w14:textId="77777777" w:rsidR="003C2E23" w:rsidRPr="00D233AE" w:rsidRDefault="003C2E23" w:rsidP="00A12A65">
      <w:pPr>
        <w:pBdr>
          <w:top w:val="nil"/>
          <w:left w:val="nil"/>
          <w:bottom w:val="nil"/>
          <w:right w:val="nil"/>
          <w:between w:val="nil"/>
        </w:pBdr>
        <w:spacing w:line="360" w:lineRule="auto"/>
        <w:jc w:val="both"/>
        <w:rPr>
          <w:b/>
          <w:bCs/>
          <w:sz w:val="24"/>
          <w:szCs w:val="24"/>
        </w:rPr>
      </w:pPr>
      <w:r w:rsidRPr="00D233AE">
        <w:rPr>
          <w:sz w:val="24"/>
          <w:szCs w:val="24"/>
        </w:rPr>
        <w:t xml:space="preserve">Por lo que, al no cumplirse con las exigencias en su artículo 23 de previo que, en caso de que no se modifique la postulación o se corrijan los errores u omisiones o dicha modificación no cumpla con las reglas establecidas, </w:t>
      </w:r>
      <w:r w:rsidRPr="00D233AE">
        <w:rPr>
          <w:b/>
          <w:bCs/>
          <w:sz w:val="24"/>
          <w:szCs w:val="24"/>
        </w:rPr>
        <w:t>se tendrá por no presentada</w:t>
      </w:r>
      <w:r w:rsidRPr="00D233AE">
        <w:rPr>
          <w:sz w:val="24"/>
          <w:szCs w:val="24"/>
        </w:rPr>
        <w:t xml:space="preserve">, y en su caso, </w:t>
      </w:r>
      <w:r w:rsidRPr="00D233AE">
        <w:rPr>
          <w:b/>
          <w:bCs/>
          <w:sz w:val="24"/>
          <w:szCs w:val="24"/>
        </w:rPr>
        <w:t>se iniciará el procedimiento que corresponda.</w:t>
      </w:r>
    </w:p>
    <w:p w14:paraId="38DCB3BC" w14:textId="77777777" w:rsidR="00A12A65" w:rsidRPr="00D233AE" w:rsidRDefault="00A12A65" w:rsidP="00A12A65">
      <w:pPr>
        <w:pBdr>
          <w:top w:val="nil"/>
          <w:left w:val="nil"/>
          <w:bottom w:val="nil"/>
          <w:right w:val="nil"/>
          <w:between w:val="nil"/>
        </w:pBdr>
        <w:spacing w:line="360" w:lineRule="auto"/>
        <w:jc w:val="both"/>
        <w:rPr>
          <w:sz w:val="24"/>
          <w:szCs w:val="24"/>
        </w:rPr>
      </w:pPr>
    </w:p>
    <w:p w14:paraId="05E7FE3B" w14:textId="77777777" w:rsidR="00A52627" w:rsidRPr="00D233AE" w:rsidRDefault="00A52627" w:rsidP="00A12A65">
      <w:pPr>
        <w:pBdr>
          <w:top w:val="nil"/>
          <w:left w:val="nil"/>
          <w:bottom w:val="nil"/>
          <w:right w:val="nil"/>
          <w:between w:val="nil"/>
        </w:pBdr>
        <w:spacing w:line="360" w:lineRule="auto"/>
        <w:jc w:val="both"/>
        <w:rPr>
          <w:rFonts w:eastAsia="Arial" w:cs="Arial"/>
          <w:b/>
          <w:color w:val="000000"/>
          <w:sz w:val="24"/>
          <w:szCs w:val="24"/>
          <w:lang w:val="es-ES"/>
        </w:rPr>
      </w:pPr>
      <w:r w:rsidRPr="00D233AE">
        <w:rPr>
          <w:rFonts w:eastAsia="Arial" w:cs="Arial"/>
          <w:b/>
          <w:color w:val="000000"/>
          <w:sz w:val="24"/>
          <w:szCs w:val="24"/>
          <w:lang w:val="es-ES"/>
        </w:rPr>
        <w:t>Procedimiento ordinario sancionador</w:t>
      </w:r>
    </w:p>
    <w:p w14:paraId="3010C320" w14:textId="77777777" w:rsidR="00A12A65" w:rsidRPr="00D233AE" w:rsidRDefault="00A12A65" w:rsidP="00A12A65">
      <w:pPr>
        <w:pBdr>
          <w:top w:val="nil"/>
          <w:left w:val="nil"/>
          <w:bottom w:val="nil"/>
          <w:right w:val="nil"/>
          <w:between w:val="nil"/>
        </w:pBdr>
        <w:spacing w:line="360" w:lineRule="auto"/>
        <w:jc w:val="both"/>
        <w:rPr>
          <w:rFonts w:eastAsia="Arial" w:cs="Arial"/>
          <w:color w:val="000000"/>
          <w:sz w:val="24"/>
          <w:szCs w:val="24"/>
          <w:lang w:val="es-ES"/>
        </w:rPr>
      </w:pPr>
    </w:p>
    <w:p w14:paraId="0E1A641E" w14:textId="77777777" w:rsidR="0099678C" w:rsidRPr="00D233AE" w:rsidRDefault="004B717B" w:rsidP="00A52627">
      <w:pPr>
        <w:spacing w:line="360" w:lineRule="auto"/>
        <w:jc w:val="both"/>
        <w:rPr>
          <w:rFonts w:eastAsia="Arial" w:cs="Arial"/>
          <w:color w:val="000000"/>
          <w:sz w:val="24"/>
          <w:szCs w:val="24"/>
          <w:lang w:val="es-ES" w:eastAsia="es-ES"/>
        </w:rPr>
      </w:pPr>
      <w:r w:rsidRPr="00D233AE">
        <w:rPr>
          <w:rFonts w:eastAsia="Arial" w:cs="Arial"/>
          <w:color w:val="000000"/>
          <w:sz w:val="24"/>
          <w:szCs w:val="24"/>
          <w:lang w:val="es-ES" w:eastAsia="es-ES"/>
        </w:rPr>
        <w:t xml:space="preserve">El </w:t>
      </w:r>
      <w:r w:rsidRPr="00D233AE">
        <w:rPr>
          <w:rFonts w:eastAsia="Arial" w:cs="Arial"/>
          <w:i/>
          <w:iCs/>
          <w:color w:val="000000"/>
          <w:sz w:val="24"/>
          <w:szCs w:val="24"/>
          <w:lang w:val="es-ES" w:eastAsia="es-ES"/>
        </w:rPr>
        <w:t xml:space="preserve">Código Electoral </w:t>
      </w:r>
      <w:r w:rsidRPr="00D233AE">
        <w:rPr>
          <w:rFonts w:eastAsia="Arial" w:cs="Arial"/>
          <w:color w:val="000000"/>
          <w:sz w:val="24"/>
          <w:szCs w:val="24"/>
          <w:lang w:val="es-ES" w:eastAsia="es-ES"/>
        </w:rPr>
        <w:t xml:space="preserve">en su numeral </w:t>
      </w:r>
      <w:r w:rsidR="0099678C" w:rsidRPr="00D233AE">
        <w:rPr>
          <w:rFonts w:eastAsia="Arial" w:cs="Arial"/>
          <w:color w:val="000000"/>
          <w:sz w:val="24"/>
          <w:szCs w:val="24"/>
          <w:lang w:val="es-ES" w:eastAsia="es-ES"/>
        </w:rPr>
        <w:t xml:space="preserve">246 primer párrafo, señala que </w:t>
      </w:r>
      <w:r w:rsidR="0099678C" w:rsidRPr="00D233AE">
        <w:rPr>
          <w:rFonts w:eastAsia="Arial" w:cs="Arial"/>
          <w:color w:val="000000"/>
          <w:sz w:val="24"/>
          <w:szCs w:val="24"/>
          <w:lang w:eastAsia="es-ES"/>
        </w:rPr>
        <w:t>el procedimiento para el conocimiento de las faltas y aplicación de sanciones administrativas podrá iniciar a instancia de parte o de oficio, cuando cualquier órgano del Instituto tenga conocimiento de la comisión de conductas infractoras.</w:t>
      </w:r>
    </w:p>
    <w:p w14:paraId="257F7CEF" w14:textId="77777777" w:rsidR="004B717B" w:rsidRPr="00D233AE" w:rsidRDefault="004B717B" w:rsidP="00A52627">
      <w:pPr>
        <w:spacing w:line="360" w:lineRule="auto"/>
        <w:jc w:val="both"/>
        <w:rPr>
          <w:rFonts w:eastAsia="Arial" w:cs="Arial"/>
          <w:color w:val="000000"/>
          <w:sz w:val="24"/>
          <w:szCs w:val="24"/>
          <w:lang w:val="es-ES" w:eastAsia="es-ES"/>
        </w:rPr>
      </w:pPr>
    </w:p>
    <w:p w14:paraId="26E8B2D8" w14:textId="77777777" w:rsidR="00A52627" w:rsidRPr="00D233AE" w:rsidRDefault="00A52627" w:rsidP="00230F41">
      <w:pPr>
        <w:spacing w:line="360" w:lineRule="auto"/>
        <w:jc w:val="both"/>
        <w:rPr>
          <w:rFonts w:cs="Arial"/>
          <w:sz w:val="24"/>
          <w:szCs w:val="24"/>
          <w:lang w:eastAsia="es-ES"/>
        </w:rPr>
      </w:pPr>
      <w:r w:rsidRPr="00D233AE">
        <w:rPr>
          <w:rFonts w:eastAsia="Arial" w:cs="Arial"/>
          <w:color w:val="000000"/>
          <w:sz w:val="24"/>
          <w:szCs w:val="24"/>
          <w:lang w:val="es-ES" w:eastAsia="es-ES"/>
        </w:rPr>
        <w:t xml:space="preserve">Conforme </w:t>
      </w:r>
      <w:r w:rsidRPr="00D233AE">
        <w:rPr>
          <w:rFonts w:cs="Arial"/>
          <w:sz w:val="24"/>
          <w:szCs w:val="24"/>
          <w:lang w:eastAsia="es-ES"/>
        </w:rPr>
        <w:t xml:space="preserve">al artículo 23 de los </w:t>
      </w:r>
      <w:r w:rsidR="00512E5D" w:rsidRPr="00D233AE">
        <w:rPr>
          <w:rFonts w:eastAsia="Arial" w:cs="Arial"/>
          <w:bCs/>
          <w:i/>
          <w:iCs/>
          <w:color w:val="000000"/>
          <w:sz w:val="24"/>
          <w:szCs w:val="24"/>
          <w:lang w:val="es-ES"/>
        </w:rPr>
        <w:t>Lineamientos en materia de acciones afirmativas</w:t>
      </w:r>
      <w:r w:rsidR="00E06B44" w:rsidRPr="00D233AE">
        <w:rPr>
          <w:rFonts w:eastAsia="Arial" w:cs="Arial"/>
          <w:bCs/>
          <w:i/>
          <w:iCs/>
          <w:color w:val="000000"/>
          <w:sz w:val="24"/>
          <w:szCs w:val="24"/>
          <w:lang w:val="es-ES"/>
        </w:rPr>
        <w:t>,</w:t>
      </w:r>
      <w:r w:rsidRPr="00D233AE">
        <w:rPr>
          <w:rFonts w:cs="Arial"/>
          <w:sz w:val="24"/>
          <w:szCs w:val="24"/>
          <w:lang w:eastAsia="es-ES"/>
        </w:rPr>
        <w:t xml:space="preserve"> una vez verificada la documentación de diputaciones y planillas para ayuntamientos, si el </w:t>
      </w:r>
      <w:r w:rsidRPr="00D233AE">
        <w:rPr>
          <w:rFonts w:cs="Arial"/>
          <w:i/>
          <w:iCs/>
          <w:sz w:val="24"/>
          <w:szCs w:val="24"/>
          <w:lang w:eastAsia="es-ES"/>
        </w:rPr>
        <w:t>IEM</w:t>
      </w:r>
      <w:r w:rsidRPr="00D233AE">
        <w:rPr>
          <w:rFonts w:cs="Arial"/>
          <w:sz w:val="24"/>
          <w:szCs w:val="24"/>
          <w:lang w:eastAsia="es-ES"/>
        </w:rPr>
        <w:t xml:space="preserve"> detecta que un partido, coalición o candidatura común omitió incluir a los grupos de atención prioritaria —o presenta errores u omisiones— deberá notificarlo de inmediato a la representación correspondiente. El partido dispone de 48 horas para subsanar, y en caso de no hacerlo, la postulación se tendrá por no presentada y se iniciará el procedimiento sancionador que resulte procedente</w:t>
      </w:r>
      <w:r w:rsidR="00A12A65" w:rsidRPr="00D233AE">
        <w:rPr>
          <w:rFonts w:cs="Arial"/>
          <w:sz w:val="24"/>
          <w:szCs w:val="24"/>
          <w:lang w:eastAsia="es-ES"/>
        </w:rPr>
        <w:t>.</w:t>
      </w:r>
    </w:p>
    <w:p w14:paraId="4821D006" w14:textId="77777777" w:rsidR="00D258F4" w:rsidRPr="00D233AE" w:rsidRDefault="00415239" w:rsidP="00D258F4">
      <w:pPr>
        <w:spacing w:line="360" w:lineRule="auto"/>
        <w:jc w:val="both"/>
        <w:rPr>
          <w:rFonts w:cs="Arial"/>
          <w:b/>
          <w:bCs/>
          <w:sz w:val="24"/>
          <w:szCs w:val="24"/>
          <w:lang w:val="es-ES"/>
        </w:rPr>
      </w:pPr>
      <w:r w:rsidRPr="00D233AE">
        <w:rPr>
          <w:rFonts w:cs="Arial"/>
          <w:b/>
          <w:bCs/>
          <w:sz w:val="24"/>
          <w:szCs w:val="24"/>
          <w:lang w:val="es-ES"/>
        </w:rPr>
        <w:lastRenderedPageBreak/>
        <w:t>S</w:t>
      </w:r>
      <w:r w:rsidR="00CE1506" w:rsidRPr="00D233AE">
        <w:rPr>
          <w:rFonts w:cs="Arial"/>
          <w:b/>
          <w:bCs/>
          <w:sz w:val="24"/>
          <w:szCs w:val="24"/>
          <w:lang w:val="es-ES"/>
        </w:rPr>
        <w:t>ÉPTIMO</w:t>
      </w:r>
      <w:r w:rsidRPr="00D233AE">
        <w:rPr>
          <w:rFonts w:cs="Arial"/>
          <w:b/>
          <w:bCs/>
          <w:sz w:val="24"/>
          <w:szCs w:val="24"/>
          <w:lang w:val="es-ES"/>
        </w:rPr>
        <w:t xml:space="preserve">. </w:t>
      </w:r>
      <w:r w:rsidR="00C9194F" w:rsidRPr="00D233AE">
        <w:rPr>
          <w:rFonts w:cs="Arial"/>
          <w:b/>
          <w:bCs/>
          <w:sz w:val="24"/>
          <w:szCs w:val="24"/>
          <w:lang w:val="es-ES"/>
        </w:rPr>
        <w:t>Caso concreto</w:t>
      </w:r>
    </w:p>
    <w:p w14:paraId="543661ED" w14:textId="77777777" w:rsidR="00D258F4" w:rsidRPr="00D233AE" w:rsidRDefault="00D258F4" w:rsidP="00D258F4">
      <w:pPr>
        <w:spacing w:line="360" w:lineRule="auto"/>
        <w:jc w:val="both"/>
        <w:rPr>
          <w:rFonts w:cs="Arial"/>
          <w:b/>
          <w:bCs/>
          <w:sz w:val="24"/>
          <w:szCs w:val="24"/>
          <w:lang w:val="es-ES"/>
        </w:rPr>
      </w:pPr>
    </w:p>
    <w:p w14:paraId="4557A294" w14:textId="77777777" w:rsidR="00D258F4" w:rsidRPr="00D233AE" w:rsidRDefault="00D258F4" w:rsidP="00D258F4">
      <w:pPr>
        <w:spacing w:line="360" w:lineRule="auto"/>
        <w:jc w:val="both"/>
        <w:rPr>
          <w:rFonts w:cs="Arial"/>
          <w:b/>
          <w:bCs/>
          <w:sz w:val="24"/>
          <w:szCs w:val="24"/>
          <w:lang w:val="es-ES"/>
        </w:rPr>
      </w:pPr>
      <w:r w:rsidRPr="00D233AE">
        <w:rPr>
          <w:rFonts w:cs="Arial"/>
          <w:bCs/>
          <w:sz w:val="24"/>
          <w:szCs w:val="24"/>
          <w:lang w:val="es-ES" w:eastAsia="es-ES"/>
        </w:rPr>
        <w:t xml:space="preserve">El apelante refiere en primer término que, </w:t>
      </w:r>
      <w:r w:rsidRPr="00D233AE">
        <w:rPr>
          <w:rFonts w:cs="Arial"/>
          <w:color w:val="000000"/>
          <w:sz w:val="24"/>
          <w:szCs w:val="24"/>
          <w:shd w:val="clear" w:color="auto" w:fill="FFFFFF"/>
        </w:rPr>
        <w:t xml:space="preserve">la </w:t>
      </w:r>
      <w:r w:rsidRPr="00D233AE">
        <w:rPr>
          <w:rFonts w:cs="Arial"/>
          <w:color w:val="000000"/>
          <w:sz w:val="24"/>
          <w:szCs w:val="24"/>
        </w:rPr>
        <w:t>autoridad responsable trans</w:t>
      </w:r>
      <w:r w:rsidRPr="00D233AE">
        <w:rPr>
          <w:rFonts w:cs="Arial"/>
          <w:sz w:val="24"/>
          <w:szCs w:val="24"/>
        </w:rPr>
        <w:t xml:space="preserve">gredió los artículos 1, 14 y 16 de la </w:t>
      </w:r>
      <w:r w:rsidRPr="00D233AE">
        <w:rPr>
          <w:rFonts w:cs="Arial"/>
          <w:i/>
          <w:iCs/>
          <w:sz w:val="24"/>
          <w:szCs w:val="24"/>
        </w:rPr>
        <w:t>Constitución Federal</w:t>
      </w:r>
      <w:r w:rsidRPr="00D233AE">
        <w:rPr>
          <w:rFonts w:cs="Arial"/>
          <w:sz w:val="24"/>
          <w:szCs w:val="24"/>
        </w:rPr>
        <w:t xml:space="preserve"> y el 231 y 244 del </w:t>
      </w:r>
      <w:r w:rsidRPr="00D233AE">
        <w:rPr>
          <w:rFonts w:cs="Arial"/>
          <w:i/>
          <w:iCs/>
          <w:sz w:val="24"/>
          <w:szCs w:val="24"/>
        </w:rPr>
        <w:t>Código Electoral</w:t>
      </w:r>
      <w:r w:rsidRPr="00D233AE">
        <w:rPr>
          <w:rFonts w:cs="Arial"/>
          <w:sz w:val="24"/>
          <w:szCs w:val="24"/>
        </w:rPr>
        <w:t>, ya que, para imponer la sanción, debió analizar, valorar y tomar en cuenta las diversas atenuantes que tuvo el partido en el registro de todos sus candidatos, como lo es que, postuló candidatos en las demás acciones afirmativas y que no es reincidente en las conductas que se le atribuyeron.</w:t>
      </w:r>
    </w:p>
    <w:p w14:paraId="4E04EDAB" w14:textId="77777777" w:rsidR="00F55D96" w:rsidRPr="00D233AE" w:rsidRDefault="00F55D96" w:rsidP="00F55D96">
      <w:pPr>
        <w:spacing w:line="360" w:lineRule="auto"/>
        <w:jc w:val="both"/>
        <w:rPr>
          <w:rFonts w:cs="Arial"/>
          <w:b/>
          <w:bCs/>
          <w:sz w:val="24"/>
          <w:szCs w:val="24"/>
        </w:rPr>
      </w:pPr>
    </w:p>
    <w:p w14:paraId="2E1E9429" w14:textId="77777777" w:rsidR="00FD1DE9" w:rsidRPr="00D233AE" w:rsidRDefault="00FD1DE9" w:rsidP="00C85EC2">
      <w:pPr>
        <w:pStyle w:val="Default"/>
        <w:spacing w:line="360" w:lineRule="auto"/>
        <w:jc w:val="both"/>
        <w:rPr>
          <w:b/>
          <w:color w:val="auto"/>
        </w:rPr>
      </w:pPr>
      <w:r w:rsidRPr="00D233AE">
        <w:rPr>
          <w:b/>
          <w:color w:val="auto"/>
        </w:rPr>
        <w:t>Análisis del agravio identificado con el número 3</w:t>
      </w:r>
    </w:p>
    <w:p w14:paraId="6626B6F8" w14:textId="77777777" w:rsidR="00FD1DE9" w:rsidRPr="00D233AE" w:rsidRDefault="00FD1DE9" w:rsidP="00C85EC2">
      <w:pPr>
        <w:spacing w:after="160" w:line="360" w:lineRule="auto"/>
        <w:contextualSpacing/>
        <w:jc w:val="both"/>
        <w:rPr>
          <w:rFonts w:cs="Arial"/>
          <w:kern w:val="2"/>
          <w:sz w:val="24"/>
          <w:szCs w:val="24"/>
        </w:rPr>
      </w:pPr>
    </w:p>
    <w:p w14:paraId="76462C45" w14:textId="77777777" w:rsidR="00FD1DE9" w:rsidRPr="00D233AE" w:rsidRDefault="00FD1DE9" w:rsidP="00C85EC2">
      <w:pPr>
        <w:spacing w:line="360" w:lineRule="auto"/>
        <w:contextualSpacing/>
        <w:jc w:val="both"/>
        <w:rPr>
          <w:rFonts w:cs="Arial"/>
          <w:kern w:val="2"/>
          <w:sz w:val="24"/>
          <w:szCs w:val="24"/>
        </w:rPr>
      </w:pPr>
      <w:r w:rsidRPr="00D233AE">
        <w:rPr>
          <w:rFonts w:cs="Arial"/>
          <w:kern w:val="2"/>
          <w:sz w:val="24"/>
          <w:szCs w:val="24"/>
        </w:rPr>
        <w:t xml:space="preserve">El partido apelante, manifiesta que la autoridad responsable omitió fundar y motivar la calificación de la falta como mediana, ya que únicamente se limitó a señalar que la comisión de esta fue intencional dado que se tuvo conocimiento de los </w:t>
      </w:r>
      <w:r w:rsidRPr="00D233AE">
        <w:rPr>
          <w:rFonts w:cs="Arial"/>
          <w:i/>
          <w:iCs/>
          <w:sz w:val="24"/>
          <w:szCs w:val="24"/>
        </w:rPr>
        <w:t>Lineamientos en materia de Acciones Afirmativas</w:t>
      </w:r>
      <w:r w:rsidRPr="00D233AE">
        <w:rPr>
          <w:rFonts w:cs="Arial"/>
          <w:kern w:val="2"/>
          <w:sz w:val="24"/>
          <w:szCs w:val="24"/>
        </w:rPr>
        <w:t xml:space="preserve"> y por la falta de documentación de personas con calidad de migrantes en las candidaturas para integrar la Diputación por el principio de representación proporcional en el proceso electoral 2023-2024.</w:t>
      </w:r>
    </w:p>
    <w:p w14:paraId="7D1D4DA5" w14:textId="77777777" w:rsidR="00FD1DE9" w:rsidRPr="00D233AE" w:rsidRDefault="00FD1DE9" w:rsidP="00C85EC2">
      <w:pPr>
        <w:spacing w:line="360" w:lineRule="auto"/>
        <w:contextualSpacing/>
        <w:jc w:val="both"/>
        <w:rPr>
          <w:rFonts w:cs="Arial"/>
          <w:kern w:val="2"/>
          <w:sz w:val="24"/>
          <w:szCs w:val="24"/>
        </w:rPr>
      </w:pPr>
    </w:p>
    <w:p w14:paraId="6838B970" w14:textId="77777777" w:rsidR="00FD1DE9" w:rsidRPr="00D233AE" w:rsidRDefault="00FD1DE9" w:rsidP="00C85EC2">
      <w:pPr>
        <w:pStyle w:val="Default"/>
        <w:spacing w:line="360" w:lineRule="auto"/>
        <w:jc w:val="both"/>
        <w:rPr>
          <w:bCs/>
          <w:color w:val="auto"/>
        </w:rPr>
      </w:pPr>
      <w:r w:rsidRPr="00D233AE">
        <w:rPr>
          <w:bCs/>
          <w:color w:val="auto"/>
        </w:rPr>
        <w:t xml:space="preserve">Este Órgano jurisdiccional considera dicho agravio como </w:t>
      </w:r>
      <w:r w:rsidRPr="00D233AE">
        <w:rPr>
          <w:b/>
          <w:color w:val="auto"/>
        </w:rPr>
        <w:t>infundado</w:t>
      </w:r>
      <w:r w:rsidRPr="00D233AE">
        <w:rPr>
          <w:bCs/>
          <w:color w:val="auto"/>
        </w:rPr>
        <w:t>, en base a las siguientes consideraciones.</w:t>
      </w:r>
    </w:p>
    <w:p w14:paraId="632ED953" w14:textId="77777777" w:rsidR="00FD1DE9" w:rsidRPr="00D233AE" w:rsidRDefault="00FD1DE9" w:rsidP="00C85EC2">
      <w:pPr>
        <w:autoSpaceDE w:val="0"/>
        <w:autoSpaceDN w:val="0"/>
        <w:adjustRightInd w:val="0"/>
        <w:spacing w:line="360" w:lineRule="auto"/>
        <w:ind w:right="334"/>
        <w:rPr>
          <w:rFonts w:eastAsia="Calibri" w:cs="Arial"/>
          <w:color w:val="000000"/>
          <w:sz w:val="24"/>
          <w:szCs w:val="24"/>
          <w:lang w:eastAsia="en-US"/>
        </w:rPr>
      </w:pPr>
    </w:p>
    <w:p w14:paraId="1754249D" w14:textId="77777777" w:rsidR="00FD1DE9" w:rsidRPr="00D233AE" w:rsidRDefault="00FD1DE9" w:rsidP="00C85EC2">
      <w:pPr>
        <w:spacing w:line="360" w:lineRule="auto"/>
        <w:jc w:val="both"/>
        <w:rPr>
          <w:rFonts w:eastAsia="Calibri" w:cs="Arial"/>
          <w:sz w:val="24"/>
          <w:szCs w:val="24"/>
          <w:lang w:val="es-ES"/>
        </w:rPr>
      </w:pPr>
      <w:r w:rsidRPr="00D233AE">
        <w:rPr>
          <w:rFonts w:cs="Arial"/>
          <w:sz w:val="24"/>
          <w:szCs w:val="24"/>
        </w:rPr>
        <w:t>Ahora, r</w:t>
      </w:r>
      <w:r w:rsidRPr="00D233AE">
        <w:rPr>
          <w:rFonts w:eastAsia="Calibri" w:cs="Arial"/>
          <w:sz w:val="24"/>
          <w:szCs w:val="24"/>
          <w:lang w:eastAsia="en-US"/>
        </w:rPr>
        <w:t xml:space="preserve">especto </w:t>
      </w:r>
      <w:r w:rsidRPr="00D233AE">
        <w:rPr>
          <w:rFonts w:cs="Arial"/>
          <w:sz w:val="24"/>
          <w:szCs w:val="24"/>
        </w:rPr>
        <w:t>a</w:t>
      </w:r>
      <w:r w:rsidRPr="00D233AE">
        <w:rPr>
          <w:rFonts w:eastAsia="Calibri" w:cs="Arial"/>
          <w:sz w:val="24"/>
          <w:szCs w:val="24"/>
          <w:lang w:eastAsia="en-US"/>
        </w:rPr>
        <w:t xml:space="preserve"> que en la sanción impuesta se omitió fundamentar y motivar, es esencial destacar que por fundamentación y motivación </w:t>
      </w:r>
      <w:r w:rsidRPr="00D233AE">
        <w:rPr>
          <w:rFonts w:eastAsia="Calibri" w:cs="Arial"/>
          <w:sz w:val="24"/>
          <w:szCs w:val="24"/>
          <w:lang w:val="es-ES"/>
        </w:rPr>
        <w:t>debe entenderse que la autoridad debe expresar los fundamentos jurídicos y razonamientos lógico-jurídicos que sirvan de base para la resolución o sentencia, de lo que se deduce que es la sentencia, resolución o acuerdo, entendido como un acto jurídico completo y no en una de sus partes, por lo que para que cumplan con las exigencias constitucionales y legales de la debida</w:t>
      </w:r>
      <w:bookmarkStart w:id="10" w:name="LPHit2"/>
      <w:bookmarkEnd w:id="10"/>
      <w:r w:rsidRPr="00D233AE">
        <w:rPr>
          <w:rFonts w:eastAsia="Calibri" w:cs="Arial"/>
          <w:sz w:val="24"/>
          <w:szCs w:val="24"/>
          <w:lang w:val="es-ES"/>
        </w:rPr>
        <w:t xml:space="preserve"> fundamentación y motivación, previstas en los artículos 14 y 16 de la </w:t>
      </w:r>
      <w:r w:rsidRPr="00D233AE">
        <w:rPr>
          <w:rFonts w:eastAsia="Calibri" w:cs="Arial"/>
          <w:i/>
          <w:iCs/>
          <w:sz w:val="24"/>
          <w:szCs w:val="24"/>
          <w:lang w:val="es-ES"/>
        </w:rPr>
        <w:t>Constitución Federal</w:t>
      </w:r>
      <w:r w:rsidRPr="00D233AE">
        <w:rPr>
          <w:rFonts w:eastAsia="Calibri" w:cs="Arial"/>
          <w:sz w:val="24"/>
          <w:szCs w:val="24"/>
          <w:lang w:val="es-ES"/>
        </w:rPr>
        <w:t>, basta que a lo largo de la misma se expresen las razones y motivos que conducen a la autoridad emisora a adoptar determinada solución jurídica a un caso sometido a su competencia o jurisdicción y que señale con precisión los preceptos constitucionales y legales que sustenten la determinación que adopta.</w:t>
      </w:r>
    </w:p>
    <w:p w14:paraId="120D5E40" w14:textId="77777777" w:rsidR="00FD1DE9" w:rsidRPr="00D233AE" w:rsidRDefault="00FD1DE9" w:rsidP="00C85EC2">
      <w:pPr>
        <w:spacing w:line="360" w:lineRule="auto"/>
        <w:jc w:val="both"/>
        <w:rPr>
          <w:rFonts w:eastAsia="Calibri" w:cs="Arial"/>
          <w:sz w:val="24"/>
          <w:szCs w:val="24"/>
          <w:lang w:val="es-ES"/>
        </w:rPr>
      </w:pPr>
    </w:p>
    <w:p w14:paraId="25E56E1B" w14:textId="77777777" w:rsidR="00FD1DE9" w:rsidRPr="00D233AE" w:rsidRDefault="00FD1DE9" w:rsidP="00C85EC2">
      <w:pPr>
        <w:spacing w:line="360" w:lineRule="auto"/>
        <w:jc w:val="both"/>
        <w:rPr>
          <w:rFonts w:eastAsia="Calibri" w:cs="Arial"/>
          <w:sz w:val="24"/>
          <w:szCs w:val="24"/>
          <w:lang w:val="es-ES"/>
        </w:rPr>
      </w:pPr>
      <w:r w:rsidRPr="00D233AE">
        <w:rPr>
          <w:rFonts w:eastAsia="Calibri" w:cs="Arial"/>
          <w:sz w:val="24"/>
          <w:szCs w:val="24"/>
          <w:lang w:val="es-ES"/>
        </w:rPr>
        <w:lastRenderedPageBreak/>
        <w:t>Así, la obligación constitucional de fundar y motivar es exigible respecto a todos los actos de autoridad, obligación que se vuelve un deber reforzado en el sistema sancionatorio. Su ausencia o deficiencia conlleva colocar a los sancionados en estado de indefensión, así como no generar un estado de predictibilidad y certeza en las acciones de la autoridad.</w:t>
      </w:r>
    </w:p>
    <w:p w14:paraId="6DBDC5C4" w14:textId="77777777" w:rsidR="00FD1DE9" w:rsidRPr="00D233AE" w:rsidRDefault="00FD1DE9" w:rsidP="00C85EC2">
      <w:pPr>
        <w:spacing w:line="360" w:lineRule="auto"/>
        <w:jc w:val="both"/>
        <w:rPr>
          <w:rFonts w:eastAsia="Calibri" w:cs="Arial"/>
          <w:sz w:val="24"/>
          <w:szCs w:val="24"/>
          <w:lang w:val="es-ES"/>
        </w:rPr>
      </w:pPr>
    </w:p>
    <w:p w14:paraId="2458E6BE" w14:textId="77777777" w:rsidR="00FD1DE9" w:rsidRPr="00D233AE" w:rsidRDefault="00FD1DE9" w:rsidP="00C85EC2">
      <w:pPr>
        <w:spacing w:line="360" w:lineRule="auto"/>
        <w:jc w:val="both"/>
        <w:rPr>
          <w:rFonts w:eastAsia="Calibri" w:cs="Arial"/>
          <w:sz w:val="24"/>
          <w:szCs w:val="24"/>
          <w:lang w:val="es-ES"/>
        </w:rPr>
      </w:pPr>
      <w:r w:rsidRPr="00D233AE">
        <w:rPr>
          <w:rFonts w:eastAsia="Calibri" w:cs="Arial"/>
          <w:sz w:val="24"/>
          <w:szCs w:val="24"/>
          <w:lang w:val="es-ES"/>
        </w:rPr>
        <w:t>Esto es, el ejercicio de la potestad sancionadora de la autoridad electoral que derive de la acreditación de una infracción no es irrestricto ni arbitrario, sino que está condicionado a la ponderación de determinadas condiciones objetivas y subjetivas atinentes a la conducta irregular en que se incurre y a las particularidades del infractor, las que le deben permitir individualizar una sanción bajo parámetros de equidad, proporcionalidad y legalidad, de tal suerte que no resulte desproporcionada ni gravosa, pero sí eficaz para disuadir al infractor de volver a incurrir en una conducta similar.</w:t>
      </w:r>
    </w:p>
    <w:p w14:paraId="0198C84A" w14:textId="77777777" w:rsidR="00FD1DE9" w:rsidRPr="00D233AE" w:rsidRDefault="00FD1DE9" w:rsidP="00C85EC2">
      <w:pPr>
        <w:spacing w:line="360" w:lineRule="auto"/>
        <w:jc w:val="both"/>
        <w:rPr>
          <w:rFonts w:eastAsia="Calibri" w:cs="Arial"/>
          <w:sz w:val="24"/>
          <w:szCs w:val="24"/>
          <w:lang w:val="es-ES"/>
        </w:rPr>
      </w:pPr>
    </w:p>
    <w:p w14:paraId="5D487A60" w14:textId="77777777" w:rsidR="00FD1DE9" w:rsidRPr="00D233AE" w:rsidRDefault="00FD1DE9" w:rsidP="00C85EC2">
      <w:pPr>
        <w:spacing w:line="360" w:lineRule="auto"/>
        <w:jc w:val="both"/>
        <w:rPr>
          <w:rFonts w:eastAsia="Calibri" w:cs="Arial"/>
          <w:sz w:val="24"/>
          <w:szCs w:val="24"/>
          <w:lang w:val="es-ES"/>
        </w:rPr>
      </w:pPr>
      <w:r w:rsidRPr="00D233AE">
        <w:rPr>
          <w:rFonts w:eastAsia="Calibri" w:cs="Arial"/>
          <w:sz w:val="24"/>
          <w:szCs w:val="24"/>
          <w:lang w:val="es-ES"/>
        </w:rPr>
        <w:t>Destacando que tales razonamientos y conclusiones deben plasmarse en el propio acto de autoridad a efecto de que el justiciable los conozca y, en su caso, controvertirlos.</w:t>
      </w:r>
    </w:p>
    <w:p w14:paraId="408B9742" w14:textId="77777777" w:rsidR="00FD1DE9" w:rsidRPr="00D233AE" w:rsidRDefault="00FD1DE9" w:rsidP="00C85EC2">
      <w:pPr>
        <w:spacing w:line="360" w:lineRule="auto"/>
        <w:jc w:val="both"/>
        <w:rPr>
          <w:rFonts w:eastAsia="Calibri" w:cs="Arial"/>
          <w:sz w:val="24"/>
          <w:szCs w:val="24"/>
          <w:lang w:val="es-ES"/>
        </w:rPr>
      </w:pPr>
    </w:p>
    <w:p w14:paraId="463690E0" w14:textId="77777777" w:rsidR="00FD1DE9" w:rsidRPr="00D233AE" w:rsidRDefault="00FD1DE9" w:rsidP="00C85EC2">
      <w:pPr>
        <w:spacing w:line="360" w:lineRule="auto"/>
        <w:jc w:val="both"/>
        <w:rPr>
          <w:rFonts w:eastAsia="Calibri" w:cs="Arial"/>
          <w:sz w:val="24"/>
          <w:szCs w:val="24"/>
          <w:lang w:val="es-ES"/>
        </w:rPr>
      </w:pPr>
      <w:r w:rsidRPr="00D233AE">
        <w:rPr>
          <w:rFonts w:eastAsia="Calibri" w:cs="Arial"/>
          <w:sz w:val="24"/>
          <w:szCs w:val="24"/>
          <w:lang w:val="es-ES"/>
        </w:rPr>
        <w:t xml:space="preserve">En efecto, la </w:t>
      </w:r>
      <w:r w:rsidRPr="00D233AE">
        <w:rPr>
          <w:rFonts w:eastAsia="Calibri" w:cs="Arial"/>
          <w:i/>
          <w:sz w:val="24"/>
          <w:szCs w:val="24"/>
          <w:lang w:val="es-ES"/>
        </w:rPr>
        <w:t>resolución impugnada</w:t>
      </w:r>
      <w:r w:rsidRPr="00D233AE">
        <w:rPr>
          <w:rFonts w:eastAsia="Calibri" w:cs="Arial"/>
          <w:sz w:val="24"/>
          <w:szCs w:val="24"/>
          <w:lang w:val="es-ES"/>
        </w:rPr>
        <w:t xml:space="preserve"> no se limita a citar el artículo 244 del </w:t>
      </w:r>
      <w:r w:rsidRPr="00D233AE">
        <w:rPr>
          <w:rFonts w:eastAsia="Calibri" w:cs="Arial"/>
          <w:i/>
          <w:iCs/>
          <w:sz w:val="24"/>
          <w:szCs w:val="24"/>
          <w:lang w:val="es-ES"/>
        </w:rPr>
        <w:t>Código Electoral</w:t>
      </w:r>
      <w:r w:rsidRPr="00D233AE">
        <w:rPr>
          <w:rFonts w:eastAsia="Calibri" w:cs="Arial"/>
          <w:sz w:val="24"/>
          <w:szCs w:val="24"/>
          <w:lang w:val="es-ES"/>
        </w:rPr>
        <w:t xml:space="preserve">, sino que desarrolla de manera expresa y diferenciada cada uno de los elementos que dicho precepto exige ponderar para graduar la sanción atendiendo a las circunstancias particulares del caso, de conformidad con el principio de proporcionalidad derivado de los artículos 14 y 16 constitucionales. </w:t>
      </w:r>
    </w:p>
    <w:p w14:paraId="3660A94F" w14:textId="77777777" w:rsidR="00FD1DE9" w:rsidRPr="00D233AE" w:rsidRDefault="00FD1DE9" w:rsidP="00C85EC2">
      <w:pPr>
        <w:spacing w:line="360" w:lineRule="auto"/>
        <w:jc w:val="both"/>
        <w:rPr>
          <w:rFonts w:eastAsia="Calibri" w:cs="Arial"/>
          <w:sz w:val="24"/>
          <w:szCs w:val="24"/>
          <w:lang w:val="es-ES"/>
        </w:rPr>
      </w:pPr>
    </w:p>
    <w:p w14:paraId="354BFD90" w14:textId="77777777" w:rsidR="00FD1DE9" w:rsidRPr="00D233AE" w:rsidRDefault="00FD1DE9" w:rsidP="00C85EC2">
      <w:pPr>
        <w:spacing w:line="360" w:lineRule="auto"/>
        <w:jc w:val="both"/>
        <w:rPr>
          <w:rFonts w:eastAsia="Calibri" w:cs="Arial"/>
          <w:sz w:val="24"/>
          <w:szCs w:val="24"/>
          <w:lang w:val="es-ES"/>
        </w:rPr>
      </w:pPr>
      <w:r w:rsidRPr="00D233AE">
        <w:rPr>
          <w:rFonts w:cs="Arial"/>
          <w:sz w:val="24"/>
          <w:szCs w:val="24"/>
          <w:lang w:val="es-ES"/>
        </w:rPr>
        <w:t>En esa lógica, la propia norma no fija montos invariables, abre un rango que faculta a la autoridad a modular la respuesta punitiva conforme a las circunstancias objetivas y subjetivas comprobadas en cada expediente</w:t>
      </w:r>
    </w:p>
    <w:p w14:paraId="3F4B4A30" w14:textId="77777777" w:rsidR="00FD1DE9" w:rsidRPr="00D233AE" w:rsidRDefault="00FD1DE9" w:rsidP="00C85EC2">
      <w:pPr>
        <w:tabs>
          <w:tab w:val="left" w:pos="2770"/>
        </w:tabs>
        <w:spacing w:line="360" w:lineRule="auto"/>
        <w:jc w:val="both"/>
        <w:rPr>
          <w:rFonts w:eastAsia="Calibri" w:cs="Arial"/>
          <w:sz w:val="24"/>
          <w:szCs w:val="24"/>
          <w:lang w:val="es-ES"/>
        </w:rPr>
      </w:pPr>
    </w:p>
    <w:p w14:paraId="4669FB37" w14:textId="77777777" w:rsidR="00FD1DE9" w:rsidRPr="00D233AE" w:rsidRDefault="00FD1DE9" w:rsidP="00C85EC2">
      <w:pPr>
        <w:tabs>
          <w:tab w:val="left" w:pos="2770"/>
        </w:tabs>
        <w:spacing w:line="360" w:lineRule="auto"/>
        <w:jc w:val="both"/>
        <w:rPr>
          <w:rFonts w:eastAsia="Calibri" w:cs="Arial"/>
          <w:sz w:val="24"/>
          <w:szCs w:val="24"/>
        </w:rPr>
      </w:pPr>
      <w:r w:rsidRPr="00D233AE">
        <w:rPr>
          <w:rFonts w:eastAsia="Calibri" w:cs="Arial"/>
          <w:sz w:val="24"/>
          <w:szCs w:val="24"/>
          <w:lang w:val="es-ES"/>
        </w:rPr>
        <w:t xml:space="preserve">Primeramente, la autoridad responsable identifica con precisión el tipo de infracción —una omisión consistente en no </w:t>
      </w:r>
      <w:r w:rsidRPr="00D233AE">
        <w:rPr>
          <w:rFonts w:eastAsia="Calibri" w:cs="Arial"/>
          <w:sz w:val="24"/>
          <w:szCs w:val="24"/>
        </w:rPr>
        <w:t>presentar la documentación que acreditara la calidad o condición de personas migrantes, así como la binacionalidad de los ciudadanos que postuló en la fórmula 6 de la candidatura de representación proporcional, ya que de la expediente presentado no se advertía tal carácter, sin que hubiera respuesta por parte del partido apelante en cuestión</w:t>
      </w:r>
      <w:r w:rsidRPr="00D233AE">
        <w:rPr>
          <w:rFonts w:eastAsia="Calibri" w:cs="Arial"/>
          <w:sz w:val="24"/>
          <w:szCs w:val="24"/>
          <w:lang w:val="es-ES"/>
        </w:rPr>
        <w:t xml:space="preserve">— y señala que ello vulnera el bien jurídico de la legalidad electoral, al restringir la </w:t>
      </w:r>
      <w:r w:rsidRPr="00D233AE">
        <w:rPr>
          <w:rFonts w:eastAsia="Calibri" w:cs="Arial"/>
          <w:sz w:val="24"/>
          <w:szCs w:val="24"/>
          <w:lang w:val="es-ES"/>
        </w:rPr>
        <w:lastRenderedPageBreak/>
        <w:t>representación de grupos prioritarios. A partir de lo anterior, realiza un análisis concreto de las circunstancias de modo, tiempo y lugar, ubica la falta dentro de la etapa de registro de candidaturas y con efectos en todo el territorio del Estado de Michoacán —</w:t>
      </w:r>
      <w:r w:rsidRPr="00D233AE">
        <w:rPr>
          <w:rFonts w:eastAsia="Calibri" w:cs="Arial"/>
          <w:sz w:val="24"/>
          <w:szCs w:val="24"/>
        </w:rPr>
        <w:t>fórmula seis de diputaciones de representación proporcional</w:t>
      </w:r>
      <w:r w:rsidRPr="00D233AE">
        <w:rPr>
          <w:rFonts w:eastAsia="Calibri" w:cs="Arial"/>
          <w:sz w:val="24"/>
          <w:szCs w:val="24"/>
          <w:lang w:val="es-ES"/>
        </w:rPr>
        <w:t>—</w:t>
      </w:r>
      <w:r w:rsidRPr="00D233AE">
        <w:rPr>
          <w:rFonts w:eastAsia="Calibri" w:cs="Arial"/>
          <w:sz w:val="24"/>
          <w:szCs w:val="24"/>
        </w:rPr>
        <w:t>.</w:t>
      </w:r>
    </w:p>
    <w:p w14:paraId="6AD73668" w14:textId="77777777" w:rsidR="00FD1DE9" w:rsidRPr="00D233AE" w:rsidRDefault="00FD1DE9" w:rsidP="00A12A65">
      <w:pPr>
        <w:tabs>
          <w:tab w:val="left" w:pos="2770"/>
        </w:tabs>
        <w:spacing w:line="360" w:lineRule="auto"/>
        <w:ind w:right="49"/>
        <w:jc w:val="both"/>
        <w:rPr>
          <w:rFonts w:eastAsia="Calibri" w:cs="Arial"/>
          <w:sz w:val="24"/>
          <w:szCs w:val="24"/>
        </w:rPr>
      </w:pPr>
      <w:r w:rsidRPr="00D233AE">
        <w:rPr>
          <w:rFonts w:eastAsia="Calibri" w:cs="Arial"/>
          <w:sz w:val="24"/>
          <w:szCs w:val="24"/>
        </w:rPr>
        <w:tab/>
      </w:r>
    </w:p>
    <w:p w14:paraId="5D4F3448" w14:textId="77777777" w:rsidR="00FD1DE9" w:rsidRPr="00D233AE" w:rsidRDefault="00FD1DE9" w:rsidP="00A12A65">
      <w:pPr>
        <w:autoSpaceDE w:val="0"/>
        <w:autoSpaceDN w:val="0"/>
        <w:adjustRightInd w:val="0"/>
        <w:spacing w:line="360" w:lineRule="auto"/>
        <w:ind w:right="49"/>
        <w:jc w:val="both"/>
        <w:rPr>
          <w:rFonts w:eastAsia="Calibri" w:cs="Arial"/>
          <w:color w:val="000000"/>
          <w:sz w:val="24"/>
          <w:szCs w:val="24"/>
          <w:lang w:eastAsia="en-US"/>
        </w:rPr>
      </w:pPr>
      <w:r w:rsidRPr="00D233AE">
        <w:rPr>
          <w:rFonts w:eastAsia="Calibri" w:cs="Arial"/>
          <w:sz w:val="24"/>
          <w:szCs w:val="24"/>
        </w:rPr>
        <w:t xml:space="preserve">En segundo momento, el </w:t>
      </w:r>
      <w:r w:rsidRPr="00D233AE">
        <w:rPr>
          <w:rFonts w:eastAsia="Calibri" w:cs="Arial"/>
          <w:i/>
          <w:iCs/>
          <w:sz w:val="24"/>
          <w:szCs w:val="24"/>
        </w:rPr>
        <w:t xml:space="preserve">Consejo General </w:t>
      </w:r>
      <w:r w:rsidRPr="00D233AE">
        <w:rPr>
          <w:rFonts w:eastAsia="Calibri" w:cs="Arial"/>
          <w:color w:val="000000"/>
          <w:sz w:val="24"/>
          <w:szCs w:val="24"/>
          <w:lang w:eastAsia="en-US"/>
        </w:rPr>
        <w:t xml:space="preserve">calificó la gravedad como media, justificando la </w:t>
      </w:r>
      <w:r w:rsidRPr="00D233AE">
        <w:rPr>
          <w:rFonts w:cs="Arial"/>
          <w:sz w:val="24"/>
          <w:szCs w:val="24"/>
        </w:rPr>
        <w:t>omisión obstaculiza la inclusión de un grupo vulnerable, pues si bien es cierto,</w:t>
      </w:r>
      <w:r w:rsidRPr="00D233AE">
        <w:rPr>
          <w:rFonts w:eastAsia="Calibri" w:cs="Arial"/>
          <w:color w:val="000000"/>
          <w:sz w:val="24"/>
          <w:szCs w:val="24"/>
          <w:lang w:eastAsia="en-US"/>
        </w:rPr>
        <w:t xml:space="preserve"> el </w:t>
      </w:r>
      <w:r w:rsidRPr="00D233AE">
        <w:rPr>
          <w:rFonts w:eastAsia="Calibri" w:cs="Arial"/>
          <w:i/>
          <w:iCs/>
          <w:color w:val="000000"/>
          <w:sz w:val="24"/>
          <w:szCs w:val="24"/>
          <w:lang w:eastAsia="en-US"/>
        </w:rPr>
        <w:t xml:space="preserve">PT </w:t>
      </w:r>
      <w:r w:rsidRPr="00D233AE">
        <w:rPr>
          <w:rFonts w:eastAsia="Calibri" w:cs="Arial"/>
          <w:color w:val="000000"/>
          <w:sz w:val="24"/>
          <w:szCs w:val="24"/>
          <w:lang w:eastAsia="en-US"/>
        </w:rPr>
        <w:t>tenía pleno conocimiento de sus obligaciones y pese a que se le requirió en dos ocasiones, hizo caso omiso, por tanto impuso una multa de 271 doscientas setenta y un veces el valor diario de la Unidad de Medida y Actualización que equivale a $30,660.94 (treinta mil seiscientos sesenta pesos 94/100 M.N.), la cual no excedió el valor de diez mil veces el valor diario de la Unidad de Medida y Actualización.</w:t>
      </w:r>
    </w:p>
    <w:p w14:paraId="42959BC7" w14:textId="77777777" w:rsidR="00FD1DE9" w:rsidRPr="00D233AE" w:rsidRDefault="00FD1DE9" w:rsidP="00A12A65">
      <w:pPr>
        <w:autoSpaceDE w:val="0"/>
        <w:autoSpaceDN w:val="0"/>
        <w:adjustRightInd w:val="0"/>
        <w:spacing w:line="360" w:lineRule="auto"/>
        <w:ind w:right="49"/>
        <w:jc w:val="both"/>
        <w:rPr>
          <w:rFonts w:eastAsia="Calibri" w:cs="Arial"/>
          <w:sz w:val="24"/>
          <w:szCs w:val="24"/>
          <w:lang w:eastAsia="en-US"/>
        </w:rPr>
      </w:pPr>
    </w:p>
    <w:p w14:paraId="0085F12C" w14:textId="77777777" w:rsidR="00FD1DE9" w:rsidRPr="00D233AE" w:rsidRDefault="00FD1DE9" w:rsidP="00A12A65">
      <w:pPr>
        <w:autoSpaceDE w:val="0"/>
        <w:autoSpaceDN w:val="0"/>
        <w:adjustRightInd w:val="0"/>
        <w:spacing w:line="360" w:lineRule="auto"/>
        <w:ind w:right="49"/>
        <w:jc w:val="both"/>
        <w:rPr>
          <w:rFonts w:eastAsia="Calibri" w:cs="Arial"/>
          <w:sz w:val="24"/>
          <w:szCs w:val="24"/>
          <w:lang w:eastAsia="en-US"/>
        </w:rPr>
      </w:pPr>
      <w:r w:rsidRPr="00D233AE">
        <w:rPr>
          <w:rFonts w:eastAsia="Calibri" w:cs="Arial"/>
          <w:sz w:val="24"/>
          <w:szCs w:val="24"/>
          <w:lang w:eastAsia="en-US"/>
        </w:rPr>
        <w:t xml:space="preserve">A lo que, contrariamente a lo considerado por el apelante, la resolución está debidamente fundada y motivada, pues al resolver el fondo del asunto, la </w:t>
      </w:r>
      <w:r w:rsidRPr="00D233AE">
        <w:rPr>
          <w:rFonts w:eastAsia="Calibri" w:cs="Arial"/>
          <w:i/>
          <w:iCs/>
          <w:sz w:val="24"/>
          <w:szCs w:val="24"/>
          <w:lang w:eastAsia="en-US"/>
        </w:rPr>
        <w:t>autoridad responsable</w:t>
      </w:r>
      <w:r w:rsidRPr="00D233AE">
        <w:rPr>
          <w:rFonts w:eastAsia="Calibri" w:cs="Arial"/>
          <w:sz w:val="24"/>
          <w:szCs w:val="24"/>
          <w:lang w:eastAsia="en-US"/>
        </w:rPr>
        <w:t xml:space="preserve"> sí citó los preceptos legales aplicables como se plasma a continuación:</w:t>
      </w:r>
    </w:p>
    <w:p w14:paraId="2D81CA3A" w14:textId="77777777" w:rsidR="00FD1DE9" w:rsidRPr="00D233AE" w:rsidRDefault="00FD1DE9" w:rsidP="00C85EC2">
      <w:pPr>
        <w:autoSpaceDE w:val="0"/>
        <w:autoSpaceDN w:val="0"/>
        <w:adjustRightInd w:val="0"/>
        <w:spacing w:line="360" w:lineRule="auto"/>
        <w:ind w:right="334"/>
        <w:jc w:val="both"/>
        <w:rPr>
          <w:rFonts w:eastAsia="Calibri" w:cs="Arial"/>
          <w:color w:val="000000"/>
          <w:sz w:val="24"/>
          <w:szCs w:val="24"/>
          <w:lang w:eastAsia="en-US"/>
        </w:rPr>
      </w:pPr>
    </w:p>
    <w:tbl>
      <w:tblPr>
        <w:tblW w:w="0" w:type="auto"/>
        <w:tblCellSpacing w:w="20" w:type="dxa"/>
        <w:tblInd w:w="163"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1810"/>
        <w:gridCol w:w="6979"/>
      </w:tblGrid>
      <w:tr w:rsidR="00FD1DE9" w:rsidRPr="00D233AE" w14:paraId="635E13CC" w14:textId="77777777" w:rsidTr="009641A0">
        <w:trPr>
          <w:tblHeader/>
          <w:tblCellSpacing w:w="20" w:type="dxa"/>
        </w:trPr>
        <w:tc>
          <w:tcPr>
            <w:tcW w:w="8709" w:type="dxa"/>
            <w:gridSpan w:val="2"/>
            <w:shd w:val="clear" w:color="auto" w:fill="BFBFBF"/>
            <w:vAlign w:val="center"/>
          </w:tcPr>
          <w:p w14:paraId="6737D11C" w14:textId="77777777" w:rsidR="00FD1DE9" w:rsidRPr="00D233AE" w:rsidRDefault="00FD1DE9" w:rsidP="009641A0">
            <w:pPr>
              <w:autoSpaceDE w:val="0"/>
              <w:autoSpaceDN w:val="0"/>
              <w:adjustRightInd w:val="0"/>
              <w:ind w:right="-15"/>
              <w:jc w:val="center"/>
              <w:rPr>
                <w:rFonts w:ascii="Arial Narrow" w:eastAsia="Calibri" w:hAnsi="Arial Narrow" w:cs="Arial"/>
                <w:b/>
                <w:bCs/>
                <w:color w:val="000000"/>
                <w:sz w:val="21"/>
                <w:szCs w:val="21"/>
                <w:lang w:eastAsia="en-US"/>
              </w:rPr>
            </w:pPr>
            <w:r w:rsidRPr="00D233AE">
              <w:rPr>
                <w:rFonts w:ascii="Arial Narrow" w:eastAsia="Calibri" w:hAnsi="Arial Narrow" w:cs="Arial"/>
                <w:b/>
                <w:bCs/>
                <w:color w:val="000000"/>
                <w:sz w:val="21"/>
                <w:szCs w:val="21"/>
                <w:lang w:eastAsia="en-US"/>
              </w:rPr>
              <w:t>Fundamentación</w:t>
            </w:r>
          </w:p>
        </w:tc>
      </w:tr>
      <w:tr w:rsidR="00FD1DE9" w:rsidRPr="00D233AE" w14:paraId="253BA618" w14:textId="77777777" w:rsidTr="009641A0">
        <w:trPr>
          <w:tblHeader/>
          <w:tblCellSpacing w:w="20" w:type="dxa"/>
        </w:trPr>
        <w:tc>
          <w:tcPr>
            <w:tcW w:w="1750" w:type="dxa"/>
            <w:shd w:val="clear" w:color="auto" w:fill="BFBFBF"/>
            <w:vAlign w:val="center"/>
          </w:tcPr>
          <w:p w14:paraId="2B2A5B91" w14:textId="77777777" w:rsidR="00FD1DE9" w:rsidRPr="00D233AE" w:rsidRDefault="00FD1DE9" w:rsidP="009641A0">
            <w:pPr>
              <w:autoSpaceDE w:val="0"/>
              <w:autoSpaceDN w:val="0"/>
              <w:adjustRightInd w:val="0"/>
              <w:ind w:right="334"/>
              <w:jc w:val="center"/>
              <w:rPr>
                <w:rFonts w:ascii="Arial Narrow" w:eastAsia="Calibri" w:hAnsi="Arial Narrow" w:cs="Arial"/>
                <w:b/>
                <w:bCs/>
                <w:color w:val="000000"/>
                <w:sz w:val="21"/>
                <w:szCs w:val="21"/>
                <w:lang w:eastAsia="en-US"/>
              </w:rPr>
            </w:pPr>
            <w:r w:rsidRPr="00D233AE">
              <w:rPr>
                <w:rFonts w:ascii="Arial Narrow" w:eastAsia="Calibri" w:hAnsi="Arial Narrow" w:cs="Arial"/>
                <w:b/>
                <w:bCs/>
                <w:color w:val="000000"/>
                <w:sz w:val="21"/>
                <w:szCs w:val="21"/>
                <w:lang w:eastAsia="en-US"/>
              </w:rPr>
              <w:t>Apartado</w:t>
            </w:r>
          </w:p>
        </w:tc>
        <w:tc>
          <w:tcPr>
            <w:tcW w:w="6919" w:type="dxa"/>
            <w:shd w:val="clear" w:color="auto" w:fill="BFBFBF"/>
            <w:vAlign w:val="center"/>
          </w:tcPr>
          <w:p w14:paraId="13079714" w14:textId="77777777" w:rsidR="00FD1DE9" w:rsidRPr="00D233AE" w:rsidRDefault="00FD1DE9" w:rsidP="009641A0">
            <w:pPr>
              <w:autoSpaceDE w:val="0"/>
              <w:autoSpaceDN w:val="0"/>
              <w:adjustRightInd w:val="0"/>
              <w:ind w:right="334"/>
              <w:jc w:val="center"/>
              <w:rPr>
                <w:rFonts w:ascii="Arial Narrow" w:eastAsia="Calibri" w:hAnsi="Arial Narrow" w:cs="Arial"/>
                <w:b/>
                <w:bCs/>
                <w:color w:val="000000"/>
                <w:sz w:val="21"/>
                <w:szCs w:val="21"/>
                <w:lang w:eastAsia="en-US"/>
              </w:rPr>
            </w:pPr>
            <w:r w:rsidRPr="00D233AE">
              <w:rPr>
                <w:rFonts w:ascii="Arial Narrow" w:eastAsia="Calibri" w:hAnsi="Arial Narrow" w:cs="Arial"/>
                <w:b/>
                <w:bCs/>
                <w:color w:val="000000"/>
                <w:sz w:val="21"/>
                <w:szCs w:val="21"/>
                <w:lang w:eastAsia="en-US"/>
              </w:rPr>
              <w:t>Fundamento</w:t>
            </w:r>
          </w:p>
        </w:tc>
      </w:tr>
      <w:tr w:rsidR="00FD1DE9" w:rsidRPr="00D233AE" w14:paraId="028F425D" w14:textId="77777777" w:rsidTr="00A12A65">
        <w:trPr>
          <w:tblCellSpacing w:w="20" w:type="dxa"/>
        </w:trPr>
        <w:tc>
          <w:tcPr>
            <w:tcW w:w="1750" w:type="dxa"/>
            <w:vAlign w:val="center"/>
          </w:tcPr>
          <w:p w14:paraId="7C5FB9A9" w14:textId="77777777" w:rsidR="00FD1DE9" w:rsidRPr="00D233AE" w:rsidRDefault="00FD1DE9" w:rsidP="009641A0">
            <w:pPr>
              <w:autoSpaceDE w:val="0"/>
              <w:autoSpaceDN w:val="0"/>
              <w:adjustRightInd w:val="0"/>
              <w:jc w:val="center"/>
              <w:rPr>
                <w:rFonts w:ascii="Arial Narrow" w:eastAsia="Calibri" w:hAnsi="Arial Narrow" w:cs="Arial"/>
                <w:color w:val="000000"/>
                <w:sz w:val="21"/>
                <w:szCs w:val="21"/>
                <w:lang w:eastAsia="en-US"/>
              </w:rPr>
            </w:pPr>
            <w:r w:rsidRPr="00D233AE">
              <w:rPr>
                <w:rFonts w:ascii="Arial Narrow" w:eastAsia="Calibri" w:hAnsi="Arial Narrow" w:cs="Arial"/>
                <w:color w:val="000000"/>
                <w:sz w:val="21"/>
                <w:szCs w:val="21"/>
                <w:lang w:eastAsia="en-US"/>
              </w:rPr>
              <w:t>Competencia</w:t>
            </w:r>
          </w:p>
        </w:tc>
        <w:tc>
          <w:tcPr>
            <w:tcW w:w="6919" w:type="dxa"/>
            <w:vAlign w:val="center"/>
          </w:tcPr>
          <w:p w14:paraId="7F628B84" w14:textId="77777777" w:rsidR="00FD1DE9" w:rsidRPr="00D233AE" w:rsidRDefault="00FD1DE9" w:rsidP="009641A0">
            <w:pPr>
              <w:autoSpaceDE w:val="0"/>
              <w:autoSpaceDN w:val="0"/>
              <w:adjustRightInd w:val="0"/>
              <w:ind w:right="-21"/>
              <w:jc w:val="both"/>
              <w:rPr>
                <w:rFonts w:ascii="Arial Narrow" w:eastAsia="Calibri" w:hAnsi="Arial Narrow" w:cs="Arial"/>
                <w:color w:val="000000"/>
                <w:sz w:val="21"/>
                <w:szCs w:val="21"/>
                <w:lang w:eastAsia="en-US"/>
              </w:rPr>
            </w:pPr>
            <w:r w:rsidRPr="00D233AE">
              <w:rPr>
                <w:rFonts w:ascii="Arial Narrow" w:eastAsia="Calibri" w:hAnsi="Arial Narrow" w:cs="Arial"/>
                <w:color w:val="000000"/>
                <w:sz w:val="21"/>
                <w:szCs w:val="21"/>
                <w:lang w:eastAsia="en-US"/>
              </w:rPr>
              <w:t xml:space="preserve">Artículos 35 fracción II y 41 Apartado C numeral 1) y 10 de la </w:t>
            </w:r>
            <w:r w:rsidRPr="00D233AE">
              <w:rPr>
                <w:rFonts w:ascii="Arial Narrow" w:eastAsia="Calibri" w:hAnsi="Arial Narrow" w:cs="Arial"/>
                <w:i/>
                <w:iCs/>
                <w:color w:val="000000"/>
                <w:sz w:val="21"/>
                <w:szCs w:val="21"/>
                <w:lang w:eastAsia="en-US"/>
              </w:rPr>
              <w:t xml:space="preserve">Constitución Federal; </w:t>
            </w:r>
            <w:r w:rsidRPr="00D233AE">
              <w:rPr>
                <w:rFonts w:ascii="Arial Narrow" w:eastAsia="Calibri" w:hAnsi="Arial Narrow" w:cs="Arial"/>
                <w:color w:val="000000"/>
                <w:sz w:val="21"/>
                <w:szCs w:val="21"/>
                <w:lang w:eastAsia="en-US"/>
              </w:rPr>
              <w:t xml:space="preserve">8 y 98 de la </w:t>
            </w:r>
            <w:r w:rsidRPr="00D233AE">
              <w:rPr>
                <w:rFonts w:ascii="Arial Narrow" w:eastAsia="Calibri" w:hAnsi="Arial Narrow" w:cs="Arial"/>
                <w:i/>
                <w:iCs/>
                <w:color w:val="000000"/>
                <w:sz w:val="21"/>
                <w:szCs w:val="21"/>
                <w:lang w:eastAsia="en-US"/>
              </w:rPr>
              <w:t>Constitución Local</w:t>
            </w:r>
            <w:r w:rsidRPr="00D233AE">
              <w:rPr>
                <w:rFonts w:ascii="Arial Narrow" w:eastAsia="Calibri" w:hAnsi="Arial Narrow" w:cs="Arial"/>
                <w:color w:val="000000"/>
                <w:sz w:val="21"/>
                <w:szCs w:val="21"/>
                <w:lang w:eastAsia="en-US"/>
              </w:rPr>
              <w:t>; 4 numeral 1 de la Ley General de Instituciones y Procedimientos Electorales; 2 numeral 1</w:t>
            </w:r>
            <w:r w:rsidRPr="00D233AE">
              <w:rPr>
                <w:rFonts w:ascii="Arial Narrow" w:hAnsi="Arial Narrow" w:cs="Arial"/>
                <w:sz w:val="21"/>
                <w:szCs w:val="21"/>
              </w:rPr>
              <w:t xml:space="preserve"> inciso b), 5 numeral 1, 17 numerales 1 y 2 de la Ley General de Partidos Políticos; 34 fracciones I, XXXVIII y XLIII, 71 párrafo primero, 230 fracción I inciso a), 246 y 251 del </w:t>
            </w:r>
            <w:r w:rsidRPr="00D233AE">
              <w:rPr>
                <w:rFonts w:ascii="Arial Narrow" w:hAnsi="Arial Narrow" w:cs="Arial"/>
                <w:i/>
                <w:iCs/>
                <w:sz w:val="21"/>
                <w:szCs w:val="21"/>
              </w:rPr>
              <w:t>Código Electoral</w:t>
            </w:r>
            <w:r w:rsidRPr="00D233AE">
              <w:rPr>
                <w:rFonts w:ascii="Arial Narrow" w:hAnsi="Arial Narrow" w:cs="Arial"/>
                <w:sz w:val="21"/>
                <w:szCs w:val="21"/>
              </w:rPr>
              <w:t xml:space="preserve">; 4 párrafo primero y 94 del Reglamento para la Tramitación y </w:t>
            </w:r>
            <w:r w:rsidRPr="00D233AE">
              <w:rPr>
                <w:rFonts w:ascii="Arial Narrow" w:eastAsia="Calibri" w:hAnsi="Arial Narrow" w:cs="Arial"/>
                <w:color w:val="000000"/>
                <w:sz w:val="21"/>
                <w:szCs w:val="21"/>
                <w:lang w:eastAsia="en-US"/>
              </w:rPr>
              <w:t>Sustanciación</w:t>
            </w:r>
            <w:r w:rsidRPr="00D233AE">
              <w:rPr>
                <w:rFonts w:ascii="Arial Narrow" w:hAnsi="Arial Narrow" w:cs="Arial"/>
                <w:sz w:val="21"/>
                <w:szCs w:val="21"/>
              </w:rPr>
              <w:t xml:space="preserve"> de Quejas y Denuncias del Instituto Electoral de Michoacán.</w:t>
            </w:r>
          </w:p>
        </w:tc>
      </w:tr>
      <w:tr w:rsidR="00FD1DE9" w:rsidRPr="00D233AE" w14:paraId="73BB534C" w14:textId="77777777" w:rsidTr="00A12A65">
        <w:trPr>
          <w:tblCellSpacing w:w="20" w:type="dxa"/>
        </w:trPr>
        <w:tc>
          <w:tcPr>
            <w:tcW w:w="1750" w:type="dxa"/>
            <w:vAlign w:val="center"/>
          </w:tcPr>
          <w:p w14:paraId="4CF1A38E" w14:textId="77777777" w:rsidR="00FD1DE9" w:rsidRPr="00D233AE" w:rsidRDefault="00FD1DE9" w:rsidP="009641A0">
            <w:pPr>
              <w:autoSpaceDE w:val="0"/>
              <w:autoSpaceDN w:val="0"/>
              <w:adjustRightInd w:val="0"/>
              <w:jc w:val="center"/>
              <w:rPr>
                <w:rFonts w:ascii="Arial Narrow" w:eastAsia="Calibri" w:hAnsi="Arial Narrow" w:cs="Arial"/>
                <w:color w:val="000000"/>
                <w:sz w:val="21"/>
                <w:szCs w:val="21"/>
                <w:lang w:eastAsia="en-US"/>
              </w:rPr>
            </w:pPr>
            <w:r w:rsidRPr="00D233AE">
              <w:rPr>
                <w:rFonts w:ascii="Arial Narrow" w:eastAsia="Calibri" w:hAnsi="Arial Narrow" w:cs="Arial"/>
                <w:color w:val="000000"/>
                <w:sz w:val="21"/>
                <w:szCs w:val="21"/>
                <w:lang w:eastAsia="en-US"/>
              </w:rPr>
              <w:t>Marco normativo</w:t>
            </w:r>
          </w:p>
        </w:tc>
        <w:tc>
          <w:tcPr>
            <w:tcW w:w="6919" w:type="dxa"/>
            <w:vAlign w:val="center"/>
          </w:tcPr>
          <w:p w14:paraId="6D1C5A26" w14:textId="77777777" w:rsidR="00FD1DE9" w:rsidRPr="00D233AE" w:rsidRDefault="00FD1DE9" w:rsidP="009641A0">
            <w:pPr>
              <w:autoSpaceDE w:val="0"/>
              <w:autoSpaceDN w:val="0"/>
              <w:adjustRightInd w:val="0"/>
              <w:ind w:right="-21"/>
              <w:jc w:val="both"/>
              <w:rPr>
                <w:rFonts w:ascii="Arial Narrow" w:eastAsia="Calibri" w:hAnsi="Arial Narrow" w:cs="Arial"/>
                <w:color w:val="000000"/>
                <w:sz w:val="21"/>
                <w:szCs w:val="21"/>
                <w:lang w:eastAsia="en-US"/>
              </w:rPr>
            </w:pPr>
            <w:r w:rsidRPr="00D233AE">
              <w:rPr>
                <w:rFonts w:ascii="Arial Narrow" w:eastAsia="Calibri" w:hAnsi="Arial Narrow" w:cs="Arial"/>
                <w:color w:val="000000"/>
                <w:sz w:val="21"/>
                <w:szCs w:val="21"/>
                <w:lang w:eastAsia="en-US"/>
              </w:rPr>
              <w:t>Artículos 1°, 41, base V, apartado C, Constitución Federal, 98 y 104, numeral 1, inciso r) de la Ley General de Instituciones y Procedimientos Electorales; 87 incisos a) y w), 230 fracción I incisos a), b) y n) fracción II inciso, a) у с) del Código Electoral y 25 numeral 1 incisos a) y y) de la Ley General de Partidos; 98 de la Constitución Local; 29, 34 fracciones I, III, X y XLI y 333  del Código Electoral; 13 fracciones III, IV, V y XIV del Reglamento Interior del IEM;</w:t>
            </w:r>
            <w:r w:rsidRPr="00D233AE">
              <w:rPr>
                <w:rFonts w:ascii="Arial Narrow" w:hAnsi="Arial Narrow" w:cs="Arial"/>
                <w:sz w:val="21"/>
                <w:szCs w:val="21"/>
              </w:rPr>
              <w:t xml:space="preserve"> 1, 4 inciso m), 7 párrafo primero numeral 1, 18, 20 y 23 de los </w:t>
            </w:r>
            <w:r w:rsidRPr="00D233AE">
              <w:rPr>
                <w:rFonts w:ascii="Arial Narrow" w:hAnsi="Arial Narrow" w:cs="Arial"/>
                <w:i/>
                <w:iCs/>
                <w:sz w:val="21"/>
                <w:szCs w:val="21"/>
              </w:rPr>
              <w:t>Lineamientos en materia de Acciones afirmativas.</w:t>
            </w:r>
          </w:p>
        </w:tc>
      </w:tr>
      <w:tr w:rsidR="00FD1DE9" w:rsidRPr="00D233AE" w14:paraId="2526C25F" w14:textId="77777777" w:rsidTr="00A12A65">
        <w:trPr>
          <w:tblCellSpacing w:w="20" w:type="dxa"/>
        </w:trPr>
        <w:tc>
          <w:tcPr>
            <w:tcW w:w="1750" w:type="dxa"/>
            <w:vAlign w:val="center"/>
          </w:tcPr>
          <w:p w14:paraId="74776F3C" w14:textId="77777777" w:rsidR="00FD1DE9" w:rsidRPr="00D233AE" w:rsidRDefault="00FD1DE9" w:rsidP="009641A0">
            <w:pPr>
              <w:tabs>
                <w:tab w:val="left" w:pos="1082"/>
              </w:tabs>
              <w:autoSpaceDE w:val="0"/>
              <w:autoSpaceDN w:val="0"/>
              <w:adjustRightInd w:val="0"/>
              <w:ind w:right="105"/>
              <w:jc w:val="center"/>
              <w:rPr>
                <w:rFonts w:ascii="Arial Narrow" w:eastAsia="Calibri" w:hAnsi="Arial Narrow" w:cs="Arial"/>
                <w:color w:val="000000"/>
                <w:sz w:val="21"/>
                <w:szCs w:val="21"/>
                <w:lang w:eastAsia="en-US"/>
              </w:rPr>
            </w:pPr>
            <w:r w:rsidRPr="00D233AE">
              <w:rPr>
                <w:rFonts w:ascii="Arial Narrow" w:hAnsi="Arial Narrow" w:cs="Arial"/>
                <w:sz w:val="21"/>
                <w:szCs w:val="21"/>
              </w:rPr>
              <w:t>Calificación, individualización e imposición de la sanción.</w:t>
            </w:r>
          </w:p>
        </w:tc>
        <w:tc>
          <w:tcPr>
            <w:tcW w:w="6919" w:type="dxa"/>
            <w:vAlign w:val="center"/>
          </w:tcPr>
          <w:p w14:paraId="24F34EE7" w14:textId="77777777" w:rsidR="00FD1DE9" w:rsidRPr="00D233AE" w:rsidRDefault="00FD1DE9" w:rsidP="009641A0">
            <w:pPr>
              <w:autoSpaceDE w:val="0"/>
              <w:autoSpaceDN w:val="0"/>
              <w:adjustRightInd w:val="0"/>
              <w:ind w:right="-21"/>
              <w:jc w:val="both"/>
              <w:rPr>
                <w:rFonts w:ascii="Arial Narrow" w:eastAsia="Calibri" w:hAnsi="Arial Narrow" w:cs="Arial"/>
                <w:color w:val="000000"/>
                <w:sz w:val="21"/>
                <w:szCs w:val="21"/>
                <w:lang w:eastAsia="en-US"/>
              </w:rPr>
            </w:pPr>
            <w:r w:rsidRPr="00D233AE">
              <w:rPr>
                <w:rFonts w:ascii="Arial Narrow" w:hAnsi="Arial Narrow" w:cs="Arial"/>
                <w:sz w:val="21"/>
                <w:szCs w:val="21"/>
              </w:rPr>
              <w:t xml:space="preserve">Artículo 41 de la </w:t>
            </w:r>
            <w:r w:rsidRPr="00D233AE">
              <w:rPr>
                <w:rFonts w:ascii="Arial Narrow" w:hAnsi="Arial Narrow" w:cs="Arial"/>
                <w:i/>
                <w:iCs/>
                <w:sz w:val="21"/>
                <w:szCs w:val="21"/>
              </w:rPr>
              <w:t>Constitución Federal;</w:t>
            </w:r>
            <w:r w:rsidRPr="00D233AE">
              <w:rPr>
                <w:rFonts w:ascii="Arial Narrow" w:hAnsi="Arial Narrow" w:cs="Arial"/>
                <w:sz w:val="21"/>
                <w:szCs w:val="21"/>
              </w:rPr>
              <w:t xml:space="preserve"> 87 incisos a) y w), 117, 230 fracción I incisos a), b) y n) fracción Il inciso a) y b), del Código Electoral; 25 numeral 1 incisos a), e y), 58 de la Ley General de Partidos; 244 del </w:t>
            </w:r>
            <w:r w:rsidRPr="00D233AE">
              <w:rPr>
                <w:rFonts w:ascii="Arial Narrow" w:hAnsi="Arial Narrow" w:cs="Arial"/>
                <w:i/>
                <w:iCs/>
                <w:sz w:val="21"/>
                <w:szCs w:val="21"/>
              </w:rPr>
              <w:t>Código Electoral;</w:t>
            </w:r>
            <w:r w:rsidRPr="00D233AE">
              <w:rPr>
                <w:rFonts w:ascii="Arial Narrow" w:hAnsi="Arial Narrow" w:cs="Arial"/>
                <w:sz w:val="21"/>
                <w:szCs w:val="21"/>
              </w:rPr>
              <w:t xml:space="preserve"> 93 fracción VI del Reglamento de Quejas; 1, 7 párrafo primero numeral 1, 18, 20 y 23 de los </w:t>
            </w:r>
            <w:r w:rsidRPr="00D233AE">
              <w:rPr>
                <w:rFonts w:ascii="Arial Narrow" w:hAnsi="Arial Narrow" w:cs="Arial"/>
                <w:i/>
                <w:iCs/>
                <w:sz w:val="21"/>
                <w:szCs w:val="21"/>
              </w:rPr>
              <w:t>Lineamientos en materia de Acciones afirmativas;</w:t>
            </w:r>
            <w:r w:rsidRPr="00D233AE">
              <w:rPr>
                <w:rFonts w:ascii="Arial Narrow" w:hAnsi="Arial Narrow" w:cs="Arial"/>
                <w:sz w:val="21"/>
                <w:szCs w:val="21"/>
              </w:rPr>
              <w:t xml:space="preserve"> así como las tesis, jurisprudencia y criterios relevantes emitidos por el Tribunal Electoral del Poder Judicial de la Federación.</w:t>
            </w:r>
          </w:p>
        </w:tc>
      </w:tr>
    </w:tbl>
    <w:p w14:paraId="5AFB70CE" w14:textId="77777777" w:rsidR="00FD1DE9" w:rsidRPr="00D233AE" w:rsidRDefault="00FD1DE9" w:rsidP="00C85EC2">
      <w:pPr>
        <w:spacing w:line="360" w:lineRule="auto"/>
        <w:jc w:val="both"/>
        <w:rPr>
          <w:rFonts w:eastAsia="Calibri" w:cs="Arial"/>
          <w:sz w:val="24"/>
          <w:szCs w:val="24"/>
          <w:lang w:val="es-ES"/>
        </w:rPr>
      </w:pPr>
    </w:p>
    <w:p w14:paraId="7B2374CF" w14:textId="77777777" w:rsidR="00FD1DE9" w:rsidRPr="00D233AE" w:rsidRDefault="00FD1DE9" w:rsidP="00C85EC2">
      <w:pPr>
        <w:spacing w:line="360" w:lineRule="auto"/>
        <w:jc w:val="both"/>
        <w:rPr>
          <w:rFonts w:eastAsia="Calibri" w:cs="Arial"/>
          <w:sz w:val="24"/>
          <w:szCs w:val="24"/>
          <w:lang w:val="es-ES"/>
        </w:rPr>
      </w:pPr>
      <w:r w:rsidRPr="00D233AE">
        <w:rPr>
          <w:rFonts w:eastAsia="Calibri" w:cs="Arial"/>
          <w:sz w:val="24"/>
          <w:szCs w:val="24"/>
          <w:lang w:val="es-ES"/>
        </w:rPr>
        <w:t xml:space="preserve">Por lo que, se arriba a la conclusión de que tales razones evidencian un ejercicio analítico completo y no meramente formal como aduce el apelante, de los parámetros establecidos por el artículo 244. Con lo expuesto, se evidencia que el </w:t>
      </w:r>
      <w:r w:rsidRPr="00D233AE">
        <w:rPr>
          <w:rFonts w:eastAsia="Calibri" w:cs="Arial"/>
          <w:sz w:val="24"/>
          <w:szCs w:val="24"/>
          <w:lang w:val="es-ES"/>
        </w:rPr>
        <w:lastRenderedPageBreak/>
        <w:t xml:space="preserve">partido conoció el sustento jurídico y fáctico que justifica la multa, de modo que no se advierte afectación alguna a su derecho de defensa ni al principio de debida motivación. </w:t>
      </w:r>
    </w:p>
    <w:p w14:paraId="1A453192" w14:textId="77777777" w:rsidR="00FD1DE9" w:rsidRPr="00D233AE" w:rsidRDefault="00FD1DE9" w:rsidP="00C85EC2">
      <w:pPr>
        <w:spacing w:line="360" w:lineRule="auto"/>
        <w:jc w:val="both"/>
        <w:rPr>
          <w:rFonts w:cs="Arial"/>
          <w:b/>
          <w:bCs/>
          <w:sz w:val="24"/>
          <w:szCs w:val="24"/>
          <w:lang w:val="es-ES"/>
        </w:rPr>
      </w:pPr>
    </w:p>
    <w:p w14:paraId="6B8B77FE" w14:textId="77777777" w:rsidR="00D258F4" w:rsidRPr="00D233AE" w:rsidRDefault="00196F9F" w:rsidP="00C85EC2">
      <w:pPr>
        <w:spacing w:line="360" w:lineRule="auto"/>
        <w:jc w:val="both"/>
        <w:rPr>
          <w:rFonts w:cs="Arial"/>
          <w:b/>
          <w:sz w:val="24"/>
          <w:szCs w:val="24"/>
          <w:lang w:val="es-ES" w:eastAsia="es-ES"/>
        </w:rPr>
      </w:pPr>
      <w:r w:rsidRPr="00D233AE">
        <w:rPr>
          <w:rFonts w:cs="Arial"/>
          <w:b/>
          <w:sz w:val="24"/>
          <w:szCs w:val="24"/>
          <w:lang w:val="es-ES" w:eastAsia="es-ES"/>
        </w:rPr>
        <w:t>Análisis del agravio identificado con el número 1</w:t>
      </w:r>
    </w:p>
    <w:p w14:paraId="60872FD3" w14:textId="77777777" w:rsidR="00D258F4" w:rsidRPr="00D233AE" w:rsidRDefault="00D258F4" w:rsidP="00C85EC2">
      <w:pPr>
        <w:spacing w:line="360" w:lineRule="auto"/>
        <w:jc w:val="both"/>
        <w:rPr>
          <w:rFonts w:cs="Arial"/>
          <w:b/>
          <w:bCs/>
          <w:sz w:val="24"/>
          <w:szCs w:val="24"/>
          <w:lang w:val="es-ES"/>
        </w:rPr>
      </w:pPr>
    </w:p>
    <w:p w14:paraId="3D42A8DD" w14:textId="77777777" w:rsidR="00196F9F" w:rsidRPr="00D233AE" w:rsidRDefault="00D258F4" w:rsidP="00C85EC2">
      <w:pPr>
        <w:spacing w:line="360" w:lineRule="auto"/>
        <w:jc w:val="both"/>
        <w:rPr>
          <w:rFonts w:cs="Arial"/>
          <w:b/>
          <w:bCs/>
          <w:sz w:val="24"/>
          <w:szCs w:val="24"/>
          <w:lang w:val="es-ES"/>
        </w:rPr>
      </w:pPr>
      <w:r w:rsidRPr="00D233AE">
        <w:rPr>
          <w:rFonts w:cs="Arial"/>
          <w:sz w:val="24"/>
          <w:szCs w:val="24"/>
        </w:rPr>
        <w:t>E</w:t>
      </w:r>
      <w:r w:rsidR="00042A83" w:rsidRPr="00D233AE">
        <w:rPr>
          <w:rFonts w:cs="Arial"/>
          <w:sz w:val="24"/>
          <w:szCs w:val="24"/>
        </w:rPr>
        <w:t xml:space="preserve">l partido apelante </w:t>
      </w:r>
      <w:r w:rsidR="00196F9F" w:rsidRPr="00D233AE">
        <w:rPr>
          <w:rFonts w:cs="Arial"/>
          <w:sz w:val="24"/>
          <w:szCs w:val="24"/>
        </w:rPr>
        <w:t xml:space="preserve">señala </w:t>
      </w:r>
      <w:r w:rsidR="00196F9F" w:rsidRPr="00D233AE">
        <w:rPr>
          <w:rFonts w:cs="Arial"/>
          <w:kern w:val="2"/>
          <w:sz w:val="24"/>
          <w:szCs w:val="24"/>
        </w:rPr>
        <w:t xml:space="preserve">que registró a sus candidatos en las demás acciones afirmativas que postuló, como por ejemplo en grupos de atención prioritaria, discapacidad, LGBTQ+ e indígenas, cuestión que la autoridad responsable debió tomar en cuenta. </w:t>
      </w:r>
    </w:p>
    <w:p w14:paraId="4154FFC0" w14:textId="77777777" w:rsidR="00196F9F" w:rsidRPr="00D233AE" w:rsidRDefault="00196F9F" w:rsidP="00C85EC2">
      <w:pPr>
        <w:spacing w:line="360" w:lineRule="auto"/>
        <w:jc w:val="both"/>
        <w:rPr>
          <w:rFonts w:cs="Arial"/>
          <w:sz w:val="24"/>
          <w:szCs w:val="24"/>
        </w:rPr>
      </w:pPr>
    </w:p>
    <w:p w14:paraId="74E43DF1" w14:textId="77777777" w:rsidR="00196F9F" w:rsidRPr="00D233AE" w:rsidRDefault="00196F9F" w:rsidP="00C85EC2">
      <w:pPr>
        <w:spacing w:line="360" w:lineRule="auto"/>
        <w:jc w:val="both"/>
        <w:rPr>
          <w:rFonts w:cs="Arial"/>
          <w:sz w:val="24"/>
          <w:szCs w:val="24"/>
        </w:rPr>
      </w:pPr>
      <w:r w:rsidRPr="00D233AE">
        <w:rPr>
          <w:rFonts w:cs="Arial"/>
          <w:sz w:val="24"/>
          <w:szCs w:val="24"/>
        </w:rPr>
        <w:t xml:space="preserve">Al respecto, a consideración de este Tribunal Electoral, el agravio se califica como </w:t>
      </w:r>
      <w:r w:rsidRPr="00D233AE">
        <w:rPr>
          <w:rFonts w:cs="Arial"/>
          <w:b/>
          <w:bCs/>
          <w:sz w:val="24"/>
          <w:szCs w:val="24"/>
        </w:rPr>
        <w:t>infundado</w:t>
      </w:r>
      <w:r w:rsidRPr="00D233AE">
        <w:rPr>
          <w:rFonts w:cs="Arial"/>
          <w:sz w:val="24"/>
          <w:szCs w:val="24"/>
        </w:rPr>
        <w:t xml:space="preserve"> y la calificativa obedece a las siguientes consideraciones.</w:t>
      </w:r>
    </w:p>
    <w:p w14:paraId="7329348B" w14:textId="77777777" w:rsidR="00196F9F" w:rsidRPr="00D233AE" w:rsidRDefault="00196F9F" w:rsidP="00C85EC2">
      <w:pPr>
        <w:spacing w:line="360" w:lineRule="auto"/>
        <w:jc w:val="both"/>
        <w:rPr>
          <w:rFonts w:cs="Arial"/>
          <w:sz w:val="24"/>
          <w:szCs w:val="24"/>
        </w:rPr>
      </w:pPr>
    </w:p>
    <w:p w14:paraId="0ED1AB37" w14:textId="77777777" w:rsidR="004F5AE9" w:rsidRPr="00D233AE" w:rsidRDefault="00F55D96" w:rsidP="00C85EC2">
      <w:pPr>
        <w:spacing w:line="360" w:lineRule="auto"/>
        <w:jc w:val="both"/>
        <w:rPr>
          <w:rFonts w:eastAsia="Arial" w:cs="Arial"/>
          <w:bCs/>
          <w:color w:val="000000"/>
          <w:sz w:val="24"/>
          <w:szCs w:val="24"/>
          <w:lang w:val="es-ES"/>
        </w:rPr>
      </w:pPr>
      <w:r w:rsidRPr="00D233AE">
        <w:rPr>
          <w:rFonts w:cs="Arial"/>
          <w:sz w:val="24"/>
          <w:szCs w:val="24"/>
        </w:rPr>
        <w:t>S</w:t>
      </w:r>
      <w:r w:rsidR="00696F29" w:rsidRPr="00D233AE">
        <w:rPr>
          <w:rFonts w:cs="Arial"/>
          <w:sz w:val="24"/>
          <w:szCs w:val="24"/>
        </w:rPr>
        <w:t xml:space="preserve">i </w:t>
      </w:r>
      <w:r w:rsidR="005D2769" w:rsidRPr="00D233AE">
        <w:rPr>
          <w:rFonts w:cs="Arial"/>
          <w:sz w:val="24"/>
          <w:szCs w:val="24"/>
        </w:rPr>
        <w:t xml:space="preserve">bien es cierto </w:t>
      </w:r>
      <w:r w:rsidR="008E2E58" w:rsidRPr="00D233AE">
        <w:rPr>
          <w:rFonts w:cs="Arial"/>
          <w:sz w:val="24"/>
          <w:szCs w:val="24"/>
        </w:rPr>
        <w:t>que</w:t>
      </w:r>
      <w:r w:rsidR="00912238" w:rsidRPr="00D233AE">
        <w:rPr>
          <w:rFonts w:cs="Arial"/>
          <w:sz w:val="24"/>
          <w:szCs w:val="24"/>
        </w:rPr>
        <w:t>,</w:t>
      </w:r>
      <w:r w:rsidR="008E2E58" w:rsidRPr="00D233AE">
        <w:rPr>
          <w:rFonts w:cs="Arial"/>
          <w:sz w:val="24"/>
          <w:szCs w:val="24"/>
        </w:rPr>
        <w:t xml:space="preserve"> </w:t>
      </w:r>
      <w:r w:rsidR="00A25A57" w:rsidRPr="00D233AE">
        <w:rPr>
          <w:rFonts w:cs="Arial"/>
          <w:sz w:val="24"/>
          <w:szCs w:val="24"/>
        </w:rPr>
        <w:t xml:space="preserve">como lo señala </w:t>
      </w:r>
      <w:r w:rsidR="005D2769" w:rsidRPr="00D233AE">
        <w:rPr>
          <w:rFonts w:cs="Arial"/>
          <w:sz w:val="24"/>
          <w:szCs w:val="24"/>
        </w:rPr>
        <w:t xml:space="preserve">el </w:t>
      </w:r>
      <w:r w:rsidR="005D2769" w:rsidRPr="00D233AE">
        <w:rPr>
          <w:rFonts w:cs="Arial"/>
          <w:i/>
          <w:iCs/>
          <w:sz w:val="24"/>
          <w:szCs w:val="24"/>
        </w:rPr>
        <w:t>PT</w:t>
      </w:r>
      <w:r w:rsidR="00A25A57" w:rsidRPr="00D233AE">
        <w:rPr>
          <w:rFonts w:cs="Arial"/>
          <w:i/>
          <w:iCs/>
          <w:sz w:val="24"/>
          <w:szCs w:val="24"/>
        </w:rPr>
        <w:t>,</w:t>
      </w:r>
      <w:r w:rsidR="005D2769" w:rsidRPr="00D233AE">
        <w:rPr>
          <w:rFonts w:cs="Arial"/>
          <w:i/>
          <w:iCs/>
          <w:sz w:val="24"/>
          <w:szCs w:val="24"/>
        </w:rPr>
        <w:t xml:space="preserve"> </w:t>
      </w:r>
      <w:r w:rsidR="005D2769" w:rsidRPr="00D233AE">
        <w:rPr>
          <w:rFonts w:cs="Arial"/>
          <w:sz w:val="24"/>
          <w:szCs w:val="24"/>
        </w:rPr>
        <w:t xml:space="preserve">postuló candidatos en las acciones afirmativas de </w:t>
      </w:r>
      <w:r w:rsidR="00A25A57" w:rsidRPr="00D233AE">
        <w:rPr>
          <w:rFonts w:cs="Arial"/>
          <w:sz w:val="24"/>
          <w:szCs w:val="24"/>
        </w:rPr>
        <w:t xml:space="preserve">discapacidad, LGBTIAQ+ e indígena, </w:t>
      </w:r>
      <w:r w:rsidR="00F76AD6" w:rsidRPr="00D233AE">
        <w:rPr>
          <w:rFonts w:cs="Arial"/>
          <w:sz w:val="24"/>
          <w:szCs w:val="24"/>
        </w:rPr>
        <w:t xml:space="preserve">también lo es que </w:t>
      </w:r>
      <w:r w:rsidR="00A25A57" w:rsidRPr="00D233AE">
        <w:rPr>
          <w:rFonts w:cs="Arial"/>
          <w:sz w:val="24"/>
          <w:szCs w:val="24"/>
        </w:rPr>
        <w:t xml:space="preserve">como bien lo razonó la autoridad responsable en </w:t>
      </w:r>
      <w:r w:rsidR="00A25A57" w:rsidRPr="00D233AE">
        <w:rPr>
          <w:rFonts w:cs="Arial"/>
          <w:i/>
          <w:iCs/>
          <w:sz w:val="24"/>
          <w:szCs w:val="24"/>
        </w:rPr>
        <w:t xml:space="preserve">Resolución Impugnada </w:t>
      </w:r>
      <w:r w:rsidR="00A25A57" w:rsidRPr="00D233AE">
        <w:rPr>
          <w:rFonts w:cs="Arial"/>
          <w:sz w:val="24"/>
          <w:szCs w:val="24"/>
        </w:rPr>
        <w:t>en términos de lo previsto en los artículo</w:t>
      </w:r>
      <w:r w:rsidR="00C85EC2" w:rsidRPr="00D233AE">
        <w:rPr>
          <w:rFonts w:cs="Arial"/>
          <w:sz w:val="24"/>
          <w:szCs w:val="24"/>
        </w:rPr>
        <w:t>s</w:t>
      </w:r>
      <w:r w:rsidR="00A25A57" w:rsidRPr="00D233AE">
        <w:rPr>
          <w:rFonts w:cs="Arial"/>
          <w:sz w:val="24"/>
          <w:szCs w:val="24"/>
        </w:rPr>
        <w:t xml:space="preserve"> 7 párrafo primero numeral 1, 18 y 20 de los </w:t>
      </w:r>
      <w:r w:rsidR="00A25A57" w:rsidRPr="00D233AE">
        <w:rPr>
          <w:rFonts w:eastAsia="Arial" w:cs="Arial"/>
          <w:bCs/>
          <w:i/>
          <w:iCs/>
          <w:color w:val="000000"/>
          <w:sz w:val="24"/>
          <w:szCs w:val="24"/>
          <w:lang w:val="es-ES"/>
        </w:rPr>
        <w:t xml:space="preserve">Lineamientos en materia de acciones afirmativas, </w:t>
      </w:r>
      <w:r w:rsidR="00CF275B" w:rsidRPr="00D233AE">
        <w:rPr>
          <w:rFonts w:eastAsia="Arial" w:cs="Arial"/>
          <w:bCs/>
          <w:color w:val="000000"/>
          <w:sz w:val="24"/>
          <w:szCs w:val="24"/>
          <w:lang w:val="es-ES"/>
        </w:rPr>
        <w:t>debió cumplir con postular una fórmula integrada por personas migrantes a la candidatura de diputaciones por el principio de mayoría relativa o bien al menos una fórmula a la candidatura por la vía de representación proporcional, la cual tendría que estar dentro de los primeros seis lugares.</w:t>
      </w:r>
    </w:p>
    <w:p w14:paraId="1CA2140E" w14:textId="77777777" w:rsidR="004F5AE9" w:rsidRPr="00D233AE" w:rsidRDefault="004F5AE9" w:rsidP="00C85EC2">
      <w:pPr>
        <w:spacing w:line="360" w:lineRule="auto"/>
        <w:jc w:val="both"/>
        <w:rPr>
          <w:rFonts w:cs="Arial"/>
          <w:sz w:val="24"/>
          <w:szCs w:val="24"/>
          <w:lang w:val="es-ES"/>
        </w:rPr>
      </w:pPr>
    </w:p>
    <w:p w14:paraId="10E823F9" w14:textId="77777777" w:rsidR="008E2E58" w:rsidRPr="00D233AE" w:rsidRDefault="00CF275B" w:rsidP="00C85EC2">
      <w:pPr>
        <w:spacing w:line="360" w:lineRule="auto"/>
        <w:jc w:val="both"/>
        <w:rPr>
          <w:rFonts w:eastAsia="Arial" w:cs="Arial"/>
          <w:bCs/>
          <w:color w:val="000000"/>
          <w:sz w:val="24"/>
          <w:szCs w:val="24"/>
        </w:rPr>
      </w:pPr>
      <w:r w:rsidRPr="00D233AE">
        <w:rPr>
          <w:rFonts w:eastAsia="Arial" w:cs="Arial"/>
          <w:bCs/>
          <w:color w:val="000000"/>
          <w:sz w:val="24"/>
          <w:szCs w:val="24"/>
          <w:lang w:val="es-ES"/>
        </w:rPr>
        <w:t xml:space="preserve">Asimismo, además de los requisitos constitucionales y legales correspondientes, las personas postuladas por alguna acción afirmativa tendrían que acreditar la residencia binacional, </w:t>
      </w:r>
      <w:r w:rsidRPr="00D233AE">
        <w:rPr>
          <w:rFonts w:eastAsia="Arial" w:cs="Arial"/>
          <w:bCs/>
          <w:color w:val="000000"/>
          <w:sz w:val="24"/>
          <w:szCs w:val="24"/>
        </w:rPr>
        <w:t>la calidad o condición de migrante y el vínculo con la comunidad migrante.</w:t>
      </w:r>
    </w:p>
    <w:p w14:paraId="34B8B47D" w14:textId="77777777" w:rsidR="008E2E58" w:rsidRPr="00D233AE" w:rsidRDefault="008E2E58" w:rsidP="00C85EC2">
      <w:pPr>
        <w:spacing w:line="360" w:lineRule="auto"/>
        <w:jc w:val="both"/>
        <w:rPr>
          <w:rFonts w:eastAsia="Arial" w:cs="Arial"/>
          <w:bCs/>
          <w:color w:val="000000"/>
          <w:sz w:val="24"/>
          <w:szCs w:val="24"/>
        </w:rPr>
      </w:pPr>
    </w:p>
    <w:p w14:paraId="2CF0FF9F" w14:textId="77777777" w:rsidR="00F76AD6" w:rsidRPr="00D233AE" w:rsidRDefault="00F76AD6" w:rsidP="00C85EC2">
      <w:pPr>
        <w:spacing w:line="360" w:lineRule="auto"/>
        <w:jc w:val="both"/>
        <w:rPr>
          <w:rFonts w:eastAsia="Arial" w:cs="Arial"/>
          <w:bCs/>
          <w:color w:val="000000"/>
          <w:sz w:val="24"/>
          <w:szCs w:val="24"/>
          <w:lang w:val="es-ES"/>
        </w:rPr>
      </w:pPr>
      <w:r w:rsidRPr="00D233AE">
        <w:rPr>
          <w:rFonts w:eastAsia="Arial" w:cs="Arial"/>
          <w:bCs/>
          <w:color w:val="000000"/>
          <w:sz w:val="24"/>
          <w:szCs w:val="24"/>
        </w:rPr>
        <w:t>De ahí que</w:t>
      </w:r>
      <w:r w:rsidR="00497825" w:rsidRPr="00D233AE">
        <w:rPr>
          <w:rFonts w:eastAsia="Arial" w:cs="Arial"/>
          <w:bCs/>
          <w:color w:val="000000"/>
          <w:sz w:val="24"/>
          <w:szCs w:val="24"/>
          <w:lang w:val="es-ES"/>
        </w:rPr>
        <w:t xml:space="preserve">, el </w:t>
      </w:r>
      <w:r w:rsidR="00497825" w:rsidRPr="00D233AE">
        <w:rPr>
          <w:rFonts w:eastAsia="Arial" w:cs="Arial"/>
          <w:bCs/>
          <w:i/>
          <w:iCs/>
          <w:color w:val="000000"/>
          <w:sz w:val="24"/>
          <w:szCs w:val="24"/>
          <w:lang w:val="es-ES"/>
        </w:rPr>
        <w:t xml:space="preserve">PT </w:t>
      </w:r>
      <w:r w:rsidR="00497825" w:rsidRPr="00D233AE">
        <w:rPr>
          <w:rFonts w:eastAsia="Arial" w:cs="Arial"/>
          <w:bCs/>
          <w:color w:val="000000"/>
          <w:sz w:val="24"/>
          <w:szCs w:val="24"/>
          <w:lang w:val="es-ES"/>
        </w:rPr>
        <w:t xml:space="preserve">se encontraba obligado a postular candidaturas </w:t>
      </w:r>
      <w:r w:rsidR="00497825" w:rsidRPr="00D233AE">
        <w:rPr>
          <w:rFonts w:cs="Arial"/>
          <w:sz w:val="24"/>
          <w:szCs w:val="24"/>
        </w:rPr>
        <w:t>mediante acción afirmativa las cuotas mínimas</w:t>
      </w:r>
      <w:r w:rsidR="00DD23EB" w:rsidRPr="00D233AE">
        <w:rPr>
          <w:rFonts w:cs="Arial"/>
          <w:sz w:val="24"/>
          <w:szCs w:val="24"/>
        </w:rPr>
        <w:t>, esto es</w:t>
      </w:r>
      <w:r w:rsidR="00BC047F" w:rsidRPr="00D233AE">
        <w:rPr>
          <w:rFonts w:cs="Arial"/>
          <w:sz w:val="24"/>
          <w:szCs w:val="24"/>
        </w:rPr>
        <w:t xml:space="preserve">, </w:t>
      </w:r>
      <w:r w:rsidR="00522120" w:rsidRPr="00D233AE">
        <w:rPr>
          <w:rFonts w:cs="Arial"/>
          <w:sz w:val="24"/>
          <w:szCs w:val="24"/>
        </w:rPr>
        <w:t xml:space="preserve">por lo menos </w:t>
      </w:r>
      <w:r w:rsidR="00BC047F" w:rsidRPr="00D233AE">
        <w:rPr>
          <w:rFonts w:eastAsia="Arial" w:cs="Arial"/>
          <w:bCs/>
          <w:color w:val="000000"/>
          <w:sz w:val="24"/>
          <w:szCs w:val="24"/>
          <w:lang w:val="es-ES"/>
        </w:rPr>
        <w:t xml:space="preserve">una fórmula integrada por personas con </w:t>
      </w:r>
      <w:r w:rsidR="00BC047F" w:rsidRPr="00D233AE">
        <w:rPr>
          <w:rFonts w:cs="Arial"/>
          <w:sz w:val="24"/>
          <w:szCs w:val="24"/>
        </w:rPr>
        <w:t xml:space="preserve">discapacidad, LGBTIAQ+, </w:t>
      </w:r>
      <w:r w:rsidR="00BC047F" w:rsidRPr="00D233AE">
        <w:rPr>
          <w:rFonts w:cs="Arial"/>
          <w:b/>
          <w:bCs/>
          <w:sz w:val="24"/>
          <w:szCs w:val="24"/>
        </w:rPr>
        <w:t xml:space="preserve">migrante </w:t>
      </w:r>
      <w:r w:rsidR="00BC047F" w:rsidRPr="00D233AE">
        <w:rPr>
          <w:rFonts w:cs="Arial"/>
          <w:sz w:val="24"/>
          <w:szCs w:val="24"/>
        </w:rPr>
        <w:t>e indígena</w:t>
      </w:r>
      <w:r w:rsidR="00BC047F" w:rsidRPr="00D233AE">
        <w:rPr>
          <w:rFonts w:eastAsia="Arial" w:cs="Arial"/>
          <w:bCs/>
          <w:color w:val="000000"/>
          <w:sz w:val="24"/>
          <w:szCs w:val="24"/>
          <w:lang w:val="es-ES"/>
        </w:rPr>
        <w:t xml:space="preserve"> a la candidatura de diputaciones por el principio de mayoría relativa o bien al menos una fórmula a la candidatura por la vía de representación proporcional</w:t>
      </w:r>
      <w:r w:rsidR="00DD23EB" w:rsidRPr="00D233AE">
        <w:rPr>
          <w:rFonts w:cs="Arial"/>
          <w:sz w:val="24"/>
          <w:szCs w:val="24"/>
        </w:rPr>
        <w:t xml:space="preserve"> en los primeros seis lugares de las</w:t>
      </w:r>
      <w:r w:rsidR="00BC047F" w:rsidRPr="00D233AE">
        <w:rPr>
          <w:rFonts w:cs="Arial"/>
          <w:sz w:val="24"/>
          <w:szCs w:val="24"/>
        </w:rPr>
        <w:t xml:space="preserve"> diversas acciones afirmativas ya señaladas, ello</w:t>
      </w:r>
      <w:r w:rsidR="008D23D3" w:rsidRPr="00D233AE">
        <w:rPr>
          <w:rFonts w:cs="Arial"/>
          <w:sz w:val="24"/>
          <w:szCs w:val="24"/>
        </w:rPr>
        <w:t>,</w:t>
      </w:r>
      <w:r w:rsidR="00BC047F" w:rsidRPr="00D233AE">
        <w:rPr>
          <w:rFonts w:cs="Arial"/>
          <w:sz w:val="24"/>
          <w:szCs w:val="24"/>
        </w:rPr>
        <w:t xml:space="preserve"> porque en los </w:t>
      </w:r>
      <w:r w:rsidR="00BC047F" w:rsidRPr="00D233AE">
        <w:rPr>
          <w:rFonts w:eastAsia="Arial" w:cs="Arial"/>
          <w:bCs/>
          <w:i/>
          <w:iCs/>
          <w:color w:val="000000"/>
          <w:sz w:val="24"/>
          <w:szCs w:val="24"/>
          <w:lang w:val="es-ES"/>
        </w:rPr>
        <w:t xml:space="preserve">Lineamientos en materia de acciones afirmativas, </w:t>
      </w:r>
      <w:r w:rsidR="00522120" w:rsidRPr="00D233AE">
        <w:rPr>
          <w:rFonts w:eastAsia="Arial" w:cs="Arial"/>
          <w:bCs/>
          <w:color w:val="000000"/>
          <w:sz w:val="24"/>
          <w:szCs w:val="24"/>
          <w:lang w:val="es-ES"/>
        </w:rPr>
        <w:t xml:space="preserve">así lo obligaban al ser un </w:t>
      </w:r>
      <w:r w:rsidR="00522120" w:rsidRPr="00D233AE">
        <w:rPr>
          <w:rFonts w:eastAsia="Arial" w:cs="Arial"/>
          <w:bCs/>
          <w:color w:val="000000"/>
          <w:sz w:val="24"/>
          <w:szCs w:val="24"/>
          <w:lang w:val="es-ES"/>
        </w:rPr>
        <w:lastRenderedPageBreak/>
        <w:t>ordenamiento firme, el cual al momento del registro de candidaturas tenía un carácter coercitivo, por lo que, quien incumpliera con dicho deber</w:t>
      </w:r>
      <w:r w:rsidRPr="00D233AE">
        <w:rPr>
          <w:rFonts w:eastAsia="Arial" w:cs="Arial"/>
          <w:bCs/>
          <w:color w:val="000000"/>
          <w:sz w:val="24"/>
          <w:szCs w:val="24"/>
          <w:lang w:val="es-ES"/>
        </w:rPr>
        <w:t xml:space="preserve">, </w:t>
      </w:r>
      <w:r w:rsidR="00522120" w:rsidRPr="00D233AE">
        <w:rPr>
          <w:rFonts w:eastAsia="Arial" w:cs="Arial"/>
          <w:bCs/>
          <w:color w:val="000000"/>
          <w:sz w:val="24"/>
          <w:szCs w:val="24"/>
          <w:lang w:val="es-ES"/>
        </w:rPr>
        <w:t>su consecuencia era que enfrentara una sanción.</w:t>
      </w:r>
    </w:p>
    <w:p w14:paraId="348B32EE" w14:textId="77777777" w:rsidR="00F76AD6" w:rsidRPr="00D233AE" w:rsidRDefault="00F76AD6" w:rsidP="00C85EC2">
      <w:pPr>
        <w:spacing w:line="360" w:lineRule="auto"/>
        <w:jc w:val="both"/>
        <w:rPr>
          <w:rFonts w:eastAsia="Arial" w:cs="Arial"/>
          <w:bCs/>
          <w:color w:val="000000"/>
          <w:sz w:val="24"/>
          <w:szCs w:val="24"/>
          <w:lang w:val="es-ES"/>
        </w:rPr>
      </w:pPr>
    </w:p>
    <w:p w14:paraId="5B2DA8D4" w14:textId="77777777" w:rsidR="00F76AD6" w:rsidRPr="00D233AE" w:rsidRDefault="00522120" w:rsidP="00C85EC2">
      <w:pPr>
        <w:spacing w:line="360" w:lineRule="auto"/>
        <w:jc w:val="both"/>
        <w:rPr>
          <w:rFonts w:eastAsia="Arial" w:cs="Arial"/>
          <w:bCs/>
          <w:color w:val="000000"/>
          <w:sz w:val="24"/>
          <w:szCs w:val="24"/>
          <w:lang w:val="es-ES"/>
        </w:rPr>
      </w:pPr>
      <w:r w:rsidRPr="00D233AE">
        <w:rPr>
          <w:rFonts w:eastAsia="Arial" w:cs="Arial"/>
          <w:bCs/>
          <w:color w:val="000000"/>
          <w:sz w:val="24"/>
          <w:szCs w:val="24"/>
          <w:lang w:val="es-ES"/>
        </w:rPr>
        <w:t xml:space="preserve">Por ende, </w:t>
      </w:r>
      <w:r w:rsidR="00574B91" w:rsidRPr="00D233AE">
        <w:rPr>
          <w:rFonts w:eastAsia="Arial" w:cs="Arial"/>
          <w:bCs/>
          <w:color w:val="000000"/>
          <w:sz w:val="24"/>
          <w:szCs w:val="24"/>
          <w:lang w:val="es-ES"/>
        </w:rPr>
        <w:t>el hecho de</w:t>
      </w:r>
      <w:r w:rsidR="008E2E58" w:rsidRPr="00D233AE">
        <w:rPr>
          <w:rFonts w:eastAsia="Arial" w:cs="Arial"/>
          <w:bCs/>
          <w:color w:val="000000"/>
          <w:sz w:val="24"/>
          <w:szCs w:val="24"/>
          <w:lang w:val="es-ES"/>
        </w:rPr>
        <w:t xml:space="preserve"> que el partido haya </w:t>
      </w:r>
      <w:r w:rsidR="00574B91" w:rsidRPr="00D233AE">
        <w:rPr>
          <w:rFonts w:eastAsia="Arial" w:cs="Arial"/>
          <w:bCs/>
          <w:color w:val="000000"/>
          <w:sz w:val="24"/>
          <w:szCs w:val="24"/>
          <w:lang w:val="es-ES"/>
        </w:rPr>
        <w:t>postula</w:t>
      </w:r>
      <w:r w:rsidR="008E2E58" w:rsidRPr="00D233AE">
        <w:rPr>
          <w:rFonts w:eastAsia="Arial" w:cs="Arial"/>
          <w:bCs/>
          <w:color w:val="000000"/>
          <w:sz w:val="24"/>
          <w:szCs w:val="24"/>
          <w:lang w:val="es-ES"/>
        </w:rPr>
        <w:t>do</w:t>
      </w:r>
      <w:r w:rsidR="00574B91" w:rsidRPr="00D233AE">
        <w:rPr>
          <w:rFonts w:eastAsia="Arial" w:cs="Arial"/>
          <w:bCs/>
          <w:color w:val="000000"/>
          <w:sz w:val="24"/>
          <w:szCs w:val="24"/>
          <w:lang w:val="es-ES"/>
        </w:rPr>
        <w:t xml:space="preserve"> en las otras acciones afirmativas no</w:t>
      </w:r>
      <w:r w:rsidR="008E2E58" w:rsidRPr="00D233AE">
        <w:rPr>
          <w:rFonts w:eastAsia="Arial" w:cs="Arial"/>
          <w:bCs/>
          <w:color w:val="000000"/>
          <w:sz w:val="24"/>
          <w:szCs w:val="24"/>
          <w:lang w:val="es-ES"/>
        </w:rPr>
        <w:t xml:space="preserve"> lo dispensaba </w:t>
      </w:r>
      <w:r w:rsidR="00574B91" w:rsidRPr="00D233AE">
        <w:rPr>
          <w:rFonts w:eastAsia="Arial" w:cs="Arial"/>
          <w:bCs/>
          <w:color w:val="000000"/>
          <w:sz w:val="24"/>
          <w:szCs w:val="24"/>
          <w:lang w:val="es-ES"/>
        </w:rPr>
        <w:t xml:space="preserve">de incumplir con </w:t>
      </w:r>
      <w:r w:rsidR="005F13C1" w:rsidRPr="00D233AE">
        <w:rPr>
          <w:rFonts w:eastAsia="Arial" w:cs="Arial"/>
          <w:bCs/>
          <w:color w:val="000000"/>
          <w:sz w:val="24"/>
          <w:szCs w:val="24"/>
          <w:lang w:val="es-ES"/>
        </w:rPr>
        <w:t>alguna acción afirmativa,</w:t>
      </w:r>
      <w:r w:rsidR="008E2E58" w:rsidRPr="00D233AE">
        <w:rPr>
          <w:rFonts w:eastAsia="Arial" w:cs="Arial"/>
          <w:bCs/>
          <w:color w:val="000000"/>
          <w:sz w:val="24"/>
          <w:szCs w:val="24"/>
          <w:lang w:val="es-ES"/>
        </w:rPr>
        <w:t xml:space="preserve"> en el caso concreto con la de personas migrantes, </w:t>
      </w:r>
      <w:r w:rsidR="005F13C1" w:rsidRPr="00D233AE">
        <w:rPr>
          <w:rFonts w:eastAsia="Arial" w:cs="Arial"/>
          <w:bCs/>
          <w:color w:val="000000"/>
          <w:sz w:val="24"/>
          <w:szCs w:val="24"/>
          <w:lang w:val="es-ES"/>
        </w:rPr>
        <w:t xml:space="preserve">porque como ya se señaló tenía la obligación normativa de postular en todas y cada una de las acciones afirmativas contempladas en </w:t>
      </w:r>
      <w:r w:rsidR="005F13C1" w:rsidRPr="00D233AE">
        <w:rPr>
          <w:rFonts w:cs="Arial"/>
          <w:sz w:val="24"/>
          <w:szCs w:val="24"/>
        </w:rPr>
        <w:t xml:space="preserve">los </w:t>
      </w:r>
      <w:r w:rsidR="005F13C1" w:rsidRPr="00D233AE">
        <w:rPr>
          <w:rFonts w:eastAsia="Arial" w:cs="Arial"/>
          <w:bCs/>
          <w:i/>
          <w:iCs/>
          <w:color w:val="000000"/>
          <w:sz w:val="24"/>
          <w:szCs w:val="24"/>
          <w:lang w:val="es-ES"/>
        </w:rPr>
        <w:t>Lineamientos en materia de acciones afirmativas</w:t>
      </w:r>
      <w:r w:rsidR="005F13C1" w:rsidRPr="00D233AE">
        <w:rPr>
          <w:rFonts w:eastAsia="Arial" w:cs="Arial"/>
          <w:bCs/>
          <w:color w:val="000000"/>
          <w:sz w:val="24"/>
          <w:szCs w:val="24"/>
          <w:lang w:val="es-ES"/>
        </w:rPr>
        <w:t xml:space="preserve">, como bien lo razonó la autoridad responsable en la </w:t>
      </w:r>
      <w:r w:rsidR="005F13C1" w:rsidRPr="00D233AE">
        <w:rPr>
          <w:rFonts w:eastAsia="Arial" w:cs="Arial"/>
          <w:bCs/>
          <w:i/>
          <w:iCs/>
          <w:color w:val="000000"/>
          <w:sz w:val="24"/>
          <w:szCs w:val="24"/>
          <w:lang w:val="es-ES"/>
        </w:rPr>
        <w:t>Resolución Impugnada</w:t>
      </w:r>
      <w:r w:rsidR="005F13C1" w:rsidRPr="00D233AE">
        <w:rPr>
          <w:rFonts w:eastAsia="Arial" w:cs="Arial"/>
          <w:bCs/>
          <w:color w:val="000000"/>
          <w:sz w:val="24"/>
          <w:szCs w:val="24"/>
          <w:lang w:val="es-ES"/>
        </w:rPr>
        <w:t>, criterio que acompaña este Tribunal Electoral.</w:t>
      </w:r>
    </w:p>
    <w:p w14:paraId="01B2BB17" w14:textId="77777777" w:rsidR="00F76AD6" w:rsidRPr="00D233AE" w:rsidRDefault="00F76AD6" w:rsidP="00C85EC2">
      <w:pPr>
        <w:spacing w:line="360" w:lineRule="auto"/>
        <w:jc w:val="both"/>
        <w:rPr>
          <w:rFonts w:eastAsia="Arial" w:cs="Arial"/>
          <w:bCs/>
          <w:color w:val="000000"/>
          <w:sz w:val="24"/>
          <w:szCs w:val="24"/>
          <w:lang w:val="es-ES"/>
        </w:rPr>
      </w:pPr>
    </w:p>
    <w:p w14:paraId="40C00E50" w14:textId="77777777" w:rsidR="00424E5C" w:rsidRPr="00D233AE" w:rsidRDefault="004E067E" w:rsidP="00C85EC2">
      <w:pPr>
        <w:spacing w:line="360" w:lineRule="auto"/>
        <w:jc w:val="both"/>
        <w:rPr>
          <w:rFonts w:cs="Arial"/>
          <w:kern w:val="2"/>
          <w:sz w:val="24"/>
          <w:szCs w:val="24"/>
        </w:rPr>
      </w:pPr>
      <w:r w:rsidRPr="00D233AE">
        <w:rPr>
          <w:rFonts w:eastAsia="Arial" w:cs="Arial"/>
          <w:bCs/>
          <w:color w:val="000000"/>
          <w:sz w:val="24"/>
          <w:szCs w:val="24"/>
          <w:lang w:val="es-ES"/>
        </w:rPr>
        <w:t xml:space="preserve">De igual forma, en la </w:t>
      </w:r>
      <w:r w:rsidRPr="00D233AE">
        <w:rPr>
          <w:rFonts w:eastAsia="Arial" w:cs="Arial"/>
          <w:bCs/>
          <w:i/>
          <w:iCs/>
          <w:color w:val="000000"/>
          <w:sz w:val="24"/>
          <w:szCs w:val="24"/>
          <w:lang w:val="es-ES"/>
        </w:rPr>
        <w:t xml:space="preserve">Resolución Impugnada </w:t>
      </w:r>
      <w:r w:rsidRPr="00D233AE">
        <w:rPr>
          <w:rFonts w:eastAsia="Arial" w:cs="Arial"/>
          <w:bCs/>
          <w:color w:val="000000"/>
          <w:sz w:val="24"/>
          <w:szCs w:val="24"/>
          <w:lang w:val="es-ES"/>
        </w:rPr>
        <w:t xml:space="preserve">la materia de análisis del procedimiento ordinario sancionador lo fue la omisión de </w:t>
      </w:r>
      <w:r w:rsidRPr="00D233AE">
        <w:rPr>
          <w:rFonts w:eastAsia="Arial" w:cs="Arial"/>
          <w:bCs/>
          <w:color w:val="000000"/>
          <w:sz w:val="24"/>
          <w:szCs w:val="24"/>
        </w:rPr>
        <w:t xml:space="preserve">postular al menos una fórmula integrada por personas migrantes a la candidatura de diputación por el principio de mayoría relativa o bien al menos una fórmula a la candidatura por la vía de representación proporcional dentro de los seis primeros lugares, </w:t>
      </w:r>
      <w:r w:rsidR="000A5830" w:rsidRPr="00D233AE">
        <w:rPr>
          <w:rFonts w:eastAsia="Arial" w:cs="Arial"/>
          <w:bCs/>
          <w:color w:val="000000"/>
          <w:sz w:val="24"/>
          <w:szCs w:val="24"/>
        </w:rPr>
        <w:t xml:space="preserve">lo que tomo en consideración la autoridad responsable para calificar la gravedad de la falta. </w:t>
      </w:r>
    </w:p>
    <w:p w14:paraId="22F1EC4E" w14:textId="77777777" w:rsidR="00424E5C" w:rsidRPr="00D233AE" w:rsidRDefault="00424E5C" w:rsidP="00C85EC2">
      <w:pPr>
        <w:spacing w:line="360" w:lineRule="auto"/>
        <w:jc w:val="both"/>
        <w:rPr>
          <w:rFonts w:cs="Arial"/>
          <w:kern w:val="2"/>
          <w:sz w:val="24"/>
          <w:szCs w:val="24"/>
        </w:rPr>
      </w:pPr>
    </w:p>
    <w:p w14:paraId="360343A1" w14:textId="77777777" w:rsidR="00424E5C" w:rsidRPr="00D233AE" w:rsidRDefault="00703601" w:rsidP="00C85EC2">
      <w:pPr>
        <w:spacing w:line="360" w:lineRule="auto"/>
        <w:jc w:val="both"/>
        <w:rPr>
          <w:rFonts w:cs="Arial"/>
          <w:sz w:val="24"/>
          <w:szCs w:val="24"/>
        </w:rPr>
      </w:pPr>
      <w:r w:rsidRPr="00D233AE">
        <w:rPr>
          <w:rFonts w:cs="Arial"/>
          <w:sz w:val="24"/>
          <w:szCs w:val="24"/>
        </w:rPr>
        <w:t>Po</w:t>
      </w:r>
      <w:r w:rsidR="00537D10" w:rsidRPr="00D233AE">
        <w:rPr>
          <w:rFonts w:cs="Arial"/>
          <w:sz w:val="24"/>
          <w:szCs w:val="24"/>
        </w:rPr>
        <w:t>r</w:t>
      </w:r>
      <w:r w:rsidRPr="00D233AE">
        <w:rPr>
          <w:rFonts w:cs="Arial"/>
          <w:sz w:val="24"/>
          <w:szCs w:val="24"/>
        </w:rPr>
        <w:t>qu</w:t>
      </w:r>
      <w:r w:rsidR="00537D10" w:rsidRPr="00D233AE">
        <w:rPr>
          <w:rFonts w:cs="Arial"/>
          <w:sz w:val="24"/>
          <w:szCs w:val="24"/>
        </w:rPr>
        <w:t>e</w:t>
      </w:r>
      <w:r w:rsidRPr="00D233AE">
        <w:rPr>
          <w:rFonts w:cs="Arial"/>
          <w:sz w:val="24"/>
          <w:szCs w:val="24"/>
        </w:rPr>
        <w:t>, como ya se puntualizó en el acuerdo</w:t>
      </w:r>
      <w:r w:rsidR="008E2E58" w:rsidRPr="00D233AE">
        <w:rPr>
          <w:rFonts w:cs="Arial"/>
          <w:sz w:val="24"/>
          <w:szCs w:val="24"/>
        </w:rPr>
        <w:t xml:space="preserve"> </w:t>
      </w:r>
      <w:r w:rsidR="007C6EE2" w:rsidRPr="00D233AE">
        <w:rPr>
          <w:rFonts w:cs="Arial"/>
          <w:sz w:val="24"/>
          <w:szCs w:val="24"/>
        </w:rPr>
        <w:t xml:space="preserve">IEM-CG-170/2024 del </w:t>
      </w:r>
      <w:r w:rsidR="007C6EE2" w:rsidRPr="00D233AE">
        <w:rPr>
          <w:rFonts w:cs="Arial"/>
          <w:i/>
          <w:iCs/>
          <w:sz w:val="24"/>
          <w:szCs w:val="24"/>
        </w:rPr>
        <w:t>Consejo General</w:t>
      </w:r>
      <w:r w:rsidR="007C6EE2" w:rsidRPr="00D233AE">
        <w:rPr>
          <w:rFonts w:cs="Arial"/>
          <w:sz w:val="24"/>
          <w:szCs w:val="24"/>
        </w:rPr>
        <w:t xml:space="preserve">, se determinó que, una vez que se agotaron los dos requerimientos y, al no haberse presentado documentación que acreditara la residencia binacional, así como la calidad o condición de migrante de la fórmula integrada por Juan José Márquez Villanueva y Luis Enrique Tapia Frías, propietario y suplente respetivamente de la fórmula seis de diputaciones de representación proporcional, se hizo efectivo el apercibimiento realizado al </w:t>
      </w:r>
      <w:r w:rsidR="007C6EE2" w:rsidRPr="00D233AE">
        <w:rPr>
          <w:rFonts w:cs="Arial"/>
          <w:i/>
          <w:iCs/>
          <w:sz w:val="24"/>
          <w:szCs w:val="24"/>
        </w:rPr>
        <w:t xml:space="preserve">PT </w:t>
      </w:r>
      <w:r w:rsidR="007C6EE2" w:rsidRPr="00D233AE">
        <w:rPr>
          <w:rFonts w:cs="Arial"/>
          <w:sz w:val="24"/>
          <w:szCs w:val="24"/>
        </w:rPr>
        <w:t xml:space="preserve">consistente en proceder conforme </w:t>
      </w:r>
      <w:r w:rsidR="00657F04" w:rsidRPr="00D233AE">
        <w:rPr>
          <w:rFonts w:cs="Arial"/>
          <w:sz w:val="24"/>
          <w:szCs w:val="24"/>
        </w:rPr>
        <w:t>con</w:t>
      </w:r>
      <w:r w:rsidR="007C6EE2" w:rsidRPr="00D233AE">
        <w:rPr>
          <w:rFonts w:cs="Arial"/>
          <w:sz w:val="24"/>
          <w:szCs w:val="24"/>
        </w:rPr>
        <w:t xml:space="preserve"> lo previsto en el artículo 23 de los </w:t>
      </w:r>
      <w:r w:rsidR="007C6EE2" w:rsidRPr="00D233AE">
        <w:rPr>
          <w:rFonts w:cs="Arial"/>
          <w:i/>
          <w:iCs/>
          <w:sz w:val="24"/>
          <w:szCs w:val="24"/>
        </w:rPr>
        <w:t>Lineamientos en materia de Acciones Afirmativas</w:t>
      </w:r>
      <w:r w:rsidR="007C6EE2" w:rsidRPr="00D233AE">
        <w:rPr>
          <w:rFonts w:cs="Arial"/>
          <w:sz w:val="24"/>
          <w:szCs w:val="24"/>
        </w:rPr>
        <w:t>, por lo cual se ordenó dar vista a la Secretar</w:t>
      </w:r>
      <w:r w:rsidR="00657F04" w:rsidRPr="00D233AE">
        <w:rPr>
          <w:rFonts w:cs="Arial"/>
          <w:sz w:val="24"/>
          <w:szCs w:val="24"/>
        </w:rPr>
        <w:t>i</w:t>
      </w:r>
      <w:r w:rsidR="007C6EE2" w:rsidRPr="00D233AE">
        <w:rPr>
          <w:rFonts w:cs="Arial"/>
          <w:sz w:val="24"/>
          <w:szCs w:val="24"/>
        </w:rPr>
        <w:t xml:space="preserve">a Ejecutiva del </w:t>
      </w:r>
      <w:r w:rsidR="007C6EE2" w:rsidRPr="00D233AE">
        <w:rPr>
          <w:rFonts w:cs="Arial"/>
          <w:i/>
          <w:iCs/>
          <w:sz w:val="24"/>
          <w:szCs w:val="24"/>
        </w:rPr>
        <w:t>IEM</w:t>
      </w:r>
      <w:r w:rsidR="007C6EE2" w:rsidRPr="00D233AE">
        <w:rPr>
          <w:rFonts w:cs="Arial"/>
          <w:sz w:val="24"/>
          <w:szCs w:val="24"/>
        </w:rPr>
        <w:t xml:space="preserve"> a fin de que iniciara el procedimiento que corresponda.</w:t>
      </w:r>
    </w:p>
    <w:p w14:paraId="3646426B" w14:textId="77777777" w:rsidR="00424E5C" w:rsidRPr="00D233AE" w:rsidRDefault="00424E5C" w:rsidP="00C85EC2">
      <w:pPr>
        <w:spacing w:line="360" w:lineRule="auto"/>
        <w:jc w:val="both"/>
        <w:rPr>
          <w:rFonts w:cs="Arial"/>
          <w:sz w:val="24"/>
          <w:szCs w:val="24"/>
        </w:rPr>
      </w:pPr>
    </w:p>
    <w:p w14:paraId="406ECEEC" w14:textId="77777777" w:rsidR="00424E5C" w:rsidRPr="00D233AE" w:rsidRDefault="007C6EE2" w:rsidP="00C85EC2">
      <w:pPr>
        <w:spacing w:line="360" w:lineRule="auto"/>
        <w:jc w:val="both"/>
        <w:rPr>
          <w:rFonts w:cs="Arial"/>
          <w:sz w:val="24"/>
          <w:szCs w:val="24"/>
        </w:rPr>
      </w:pPr>
      <w:r w:rsidRPr="00D233AE">
        <w:rPr>
          <w:rFonts w:cs="Arial"/>
          <w:sz w:val="24"/>
          <w:szCs w:val="24"/>
        </w:rPr>
        <w:t>En ese contexto, la autoridad responsable se encontraba obligada a</w:t>
      </w:r>
      <w:r w:rsidR="00EE7342" w:rsidRPr="00D233AE">
        <w:rPr>
          <w:rFonts w:cs="Arial"/>
          <w:sz w:val="24"/>
          <w:szCs w:val="24"/>
        </w:rPr>
        <w:t xml:space="preserve"> determinar si el </w:t>
      </w:r>
      <w:r w:rsidR="00EE7342" w:rsidRPr="00D233AE">
        <w:rPr>
          <w:rFonts w:cs="Arial"/>
          <w:i/>
          <w:iCs/>
          <w:sz w:val="24"/>
          <w:szCs w:val="24"/>
        </w:rPr>
        <w:t xml:space="preserve">PT </w:t>
      </w:r>
      <w:r w:rsidR="00EE7342" w:rsidRPr="00D233AE">
        <w:rPr>
          <w:rFonts w:cs="Arial"/>
          <w:sz w:val="24"/>
          <w:szCs w:val="24"/>
        </w:rPr>
        <w:t>transgredió lo dispuesto en los artículos</w:t>
      </w:r>
      <w:r w:rsidRPr="00D233AE">
        <w:rPr>
          <w:rFonts w:cs="Arial"/>
          <w:sz w:val="24"/>
          <w:szCs w:val="24"/>
        </w:rPr>
        <w:t xml:space="preserve"> </w:t>
      </w:r>
      <w:r w:rsidR="00EE7342" w:rsidRPr="00D233AE">
        <w:rPr>
          <w:rFonts w:cs="Arial"/>
          <w:sz w:val="24"/>
          <w:szCs w:val="24"/>
        </w:rPr>
        <w:t xml:space="preserve">7 párrafo primero numeral 1. 18 y 20 de los </w:t>
      </w:r>
      <w:r w:rsidR="00EE7342" w:rsidRPr="00D233AE">
        <w:rPr>
          <w:rFonts w:cs="Arial"/>
          <w:i/>
          <w:iCs/>
          <w:sz w:val="24"/>
          <w:szCs w:val="24"/>
        </w:rPr>
        <w:t xml:space="preserve">Lineamientos en materia de Acciones Afirmativas; </w:t>
      </w:r>
      <w:r w:rsidR="00EE7342" w:rsidRPr="00D233AE">
        <w:rPr>
          <w:rFonts w:cs="Arial"/>
          <w:sz w:val="24"/>
          <w:szCs w:val="24"/>
        </w:rPr>
        <w:t xml:space="preserve">en correlación con los numerales 87 inciso a) y w), 230 fracción I incisos a), b) y n) fracción II inciso a) y c) del Código Electoral y 25 numeral 1 inciso a) e y) de la Ley General de Partidos </w:t>
      </w:r>
      <w:r w:rsidR="00EE7342" w:rsidRPr="00D233AE">
        <w:rPr>
          <w:rFonts w:cs="Arial"/>
          <w:sz w:val="24"/>
          <w:szCs w:val="24"/>
        </w:rPr>
        <w:lastRenderedPageBreak/>
        <w:t>Políticos</w:t>
      </w:r>
      <w:r w:rsidR="00B7367D" w:rsidRPr="00D233AE">
        <w:rPr>
          <w:rFonts w:cs="Arial"/>
          <w:sz w:val="24"/>
          <w:szCs w:val="24"/>
        </w:rPr>
        <w:t>; esto es si se incumplió</w:t>
      </w:r>
      <w:r w:rsidR="004C2A14" w:rsidRPr="00D233AE">
        <w:rPr>
          <w:rFonts w:cs="Arial"/>
          <w:sz w:val="24"/>
          <w:szCs w:val="24"/>
        </w:rPr>
        <w:t xml:space="preserve"> con </w:t>
      </w:r>
      <w:r w:rsidR="00B7367D" w:rsidRPr="00D233AE">
        <w:rPr>
          <w:rFonts w:eastAsia="Arial" w:cs="Arial"/>
          <w:bCs/>
          <w:color w:val="000000"/>
          <w:sz w:val="24"/>
          <w:szCs w:val="24"/>
        </w:rPr>
        <w:t>postular al menos una fórmula integrada por personas migrantes a la candidatura de diputación por el principio de mayoría relativa o bien al menos una fórmula a la candidatura por la vía de representación proporcional dentro de los seis primeros lugares</w:t>
      </w:r>
      <w:r w:rsidR="004C2A14" w:rsidRPr="00D233AE">
        <w:rPr>
          <w:rFonts w:eastAsia="Arial" w:cs="Arial"/>
          <w:bCs/>
          <w:color w:val="000000"/>
          <w:sz w:val="24"/>
          <w:szCs w:val="24"/>
        </w:rPr>
        <w:t>,</w:t>
      </w:r>
      <w:r w:rsidR="00B7367D" w:rsidRPr="00D233AE">
        <w:rPr>
          <w:rFonts w:cs="Arial"/>
          <w:sz w:val="24"/>
          <w:szCs w:val="24"/>
        </w:rPr>
        <w:t xml:space="preserve"> con como bien lo razonó en la </w:t>
      </w:r>
      <w:r w:rsidR="00B7367D" w:rsidRPr="00D233AE">
        <w:rPr>
          <w:rFonts w:cs="Arial"/>
          <w:i/>
          <w:iCs/>
          <w:sz w:val="24"/>
          <w:szCs w:val="24"/>
        </w:rPr>
        <w:t xml:space="preserve">Resolución Impugnada </w:t>
      </w:r>
      <w:r w:rsidR="00B7367D" w:rsidRPr="00D233AE">
        <w:rPr>
          <w:rFonts w:cs="Arial"/>
          <w:sz w:val="24"/>
          <w:szCs w:val="24"/>
        </w:rPr>
        <w:t>la autoridad responsable.</w:t>
      </w:r>
    </w:p>
    <w:p w14:paraId="76051B95" w14:textId="77777777" w:rsidR="00424E5C" w:rsidRPr="00D233AE" w:rsidRDefault="00424E5C" w:rsidP="00C85EC2">
      <w:pPr>
        <w:spacing w:line="360" w:lineRule="auto"/>
        <w:jc w:val="both"/>
        <w:rPr>
          <w:rFonts w:eastAsia="Arial" w:cs="Arial"/>
          <w:b/>
          <w:bCs/>
          <w:color w:val="000000"/>
          <w:sz w:val="24"/>
          <w:szCs w:val="24"/>
        </w:rPr>
      </w:pPr>
    </w:p>
    <w:p w14:paraId="3D0019E4" w14:textId="77777777" w:rsidR="00F55D96" w:rsidRPr="00D233AE" w:rsidRDefault="00F55D96" w:rsidP="00C85EC2">
      <w:pPr>
        <w:spacing w:line="360" w:lineRule="auto"/>
        <w:jc w:val="both"/>
        <w:rPr>
          <w:rFonts w:cs="Arial"/>
          <w:b/>
          <w:bCs/>
          <w:sz w:val="24"/>
          <w:szCs w:val="24"/>
        </w:rPr>
      </w:pPr>
      <w:r w:rsidRPr="00D233AE">
        <w:rPr>
          <w:rFonts w:cs="Arial"/>
          <w:b/>
          <w:bCs/>
          <w:sz w:val="24"/>
          <w:szCs w:val="24"/>
        </w:rPr>
        <w:t>Análisis de los agravios identificados con los números 2 y 4</w:t>
      </w:r>
    </w:p>
    <w:p w14:paraId="47EE15EC" w14:textId="77777777" w:rsidR="00F55D96" w:rsidRPr="00D233AE" w:rsidRDefault="00F55D96" w:rsidP="00C85EC2">
      <w:pPr>
        <w:spacing w:line="360" w:lineRule="auto"/>
        <w:jc w:val="both"/>
        <w:rPr>
          <w:rFonts w:cs="Arial"/>
          <w:b/>
          <w:bCs/>
          <w:sz w:val="24"/>
          <w:szCs w:val="24"/>
        </w:rPr>
      </w:pPr>
    </w:p>
    <w:p w14:paraId="13CBCD43" w14:textId="77777777" w:rsidR="00F55D96" w:rsidRPr="00D233AE" w:rsidRDefault="00F55D96" w:rsidP="00C85EC2">
      <w:pPr>
        <w:spacing w:line="360" w:lineRule="auto"/>
        <w:jc w:val="both"/>
        <w:rPr>
          <w:rFonts w:cs="Arial"/>
          <w:b/>
          <w:bCs/>
          <w:sz w:val="24"/>
          <w:szCs w:val="24"/>
        </w:rPr>
      </w:pPr>
      <w:r w:rsidRPr="00D233AE">
        <w:rPr>
          <w:rFonts w:cs="Arial"/>
          <w:kern w:val="2"/>
          <w:sz w:val="24"/>
          <w:szCs w:val="24"/>
        </w:rPr>
        <w:t xml:space="preserve">El partido apelante, considera que la autoridad responsable, debió analizar que el partido no es reincidente de la conducta que le atribuyó en la resolución impugnada, toda vez que no tuvo omisión en el registro de otros grupos prioritarios en el proceso electoral local 2023-2024, ni en los procesos anteriores al no existir antecedentes en los archivos del Instituto de haber sido omiso en el registro de otras acciones afirmativas. </w:t>
      </w:r>
    </w:p>
    <w:p w14:paraId="0C8E449B" w14:textId="77777777" w:rsidR="00F55D96" w:rsidRPr="00D233AE" w:rsidRDefault="00F55D96" w:rsidP="00C85EC2">
      <w:pPr>
        <w:spacing w:after="160" w:line="360" w:lineRule="auto"/>
        <w:contextualSpacing/>
        <w:jc w:val="both"/>
        <w:rPr>
          <w:rFonts w:cs="Arial"/>
          <w:kern w:val="2"/>
          <w:sz w:val="24"/>
          <w:szCs w:val="24"/>
        </w:rPr>
      </w:pPr>
    </w:p>
    <w:p w14:paraId="48EAA9CD" w14:textId="77777777" w:rsidR="00F55D96" w:rsidRPr="00D233AE" w:rsidRDefault="00F55D96" w:rsidP="00C85EC2">
      <w:pPr>
        <w:spacing w:after="160" w:line="360" w:lineRule="auto"/>
        <w:contextualSpacing/>
        <w:jc w:val="both"/>
        <w:rPr>
          <w:rFonts w:cs="Arial"/>
          <w:kern w:val="2"/>
          <w:sz w:val="24"/>
          <w:szCs w:val="24"/>
        </w:rPr>
      </w:pPr>
      <w:r w:rsidRPr="00D233AE">
        <w:rPr>
          <w:rFonts w:cs="Arial"/>
          <w:kern w:val="2"/>
          <w:sz w:val="24"/>
          <w:szCs w:val="24"/>
        </w:rPr>
        <w:t xml:space="preserve">Asimismo, manifiesta que la multa impuesta en la resolución impugnada resulta excesiva, lo cual vulnera el principio de congruencia y certeza jurídica, ya que la autoridad responsable debía considerar las reglas que establece el artículo 231 inciso a) fracción I del </w:t>
      </w:r>
      <w:r w:rsidRPr="00D233AE">
        <w:rPr>
          <w:rFonts w:cs="Arial"/>
          <w:i/>
          <w:iCs/>
          <w:kern w:val="2"/>
          <w:sz w:val="24"/>
          <w:szCs w:val="24"/>
        </w:rPr>
        <w:t xml:space="preserve">Código Electoral </w:t>
      </w:r>
      <w:r w:rsidRPr="00D233AE">
        <w:rPr>
          <w:rFonts w:cs="Arial"/>
          <w:kern w:val="2"/>
          <w:sz w:val="24"/>
          <w:szCs w:val="24"/>
        </w:rPr>
        <w:t xml:space="preserve">y aplicarle al partido una sanción mínima consistente en una amonestación pública y por ende, considerar la infracción como no grave, ya que el partido no transgredió el artículo 244 incisos e), f) y g) del </w:t>
      </w:r>
      <w:r w:rsidRPr="00D233AE">
        <w:rPr>
          <w:rFonts w:cs="Arial"/>
          <w:i/>
          <w:iCs/>
          <w:kern w:val="2"/>
          <w:sz w:val="24"/>
          <w:szCs w:val="24"/>
        </w:rPr>
        <w:t>Código Electoral</w:t>
      </w:r>
      <w:r w:rsidRPr="00D233AE">
        <w:rPr>
          <w:rFonts w:cs="Arial"/>
          <w:kern w:val="2"/>
          <w:sz w:val="24"/>
          <w:szCs w:val="24"/>
        </w:rPr>
        <w:t xml:space="preserve">, pues no fue reincidente en la conducta de omisión en el registro de otros candidatos en las acciones afirmativas y no lacera a terceros una afectación económica.  </w:t>
      </w:r>
    </w:p>
    <w:p w14:paraId="6D80FFDA" w14:textId="77777777" w:rsidR="00093D31" w:rsidRPr="00D233AE" w:rsidRDefault="00093D31" w:rsidP="00C85EC2">
      <w:pPr>
        <w:spacing w:line="360" w:lineRule="auto"/>
        <w:jc w:val="both"/>
        <w:rPr>
          <w:rFonts w:cs="Arial"/>
          <w:sz w:val="24"/>
          <w:szCs w:val="24"/>
        </w:rPr>
      </w:pPr>
    </w:p>
    <w:p w14:paraId="08E43AFF" w14:textId="77777777" w:rsidR="009B0106" w:rsidRPr="00D233AE" w:rsidRDefault="009B0106" w:rsidP="00C85EC2">
      <w:pPr>
        <w:spacing w:line="360" w:lineRule="auto"/>
        <w:jc w:val="both"/>
        <w:rPr>
          <w:rFonts w:cs="Arial"/>
          <w:kern w:val="2"/>
          <w:sz w:val="24"/>
          <w:szCs w:val="24"/>
        </w:rPr>
      </w:pPr>
      <w:r w:rsidRPr="00D233AE">
        <w:rPr>
          <w:rFonts w:cs="Arial"/>
          <w:kern w:val="2"/>
          <w:sz w:val="24"/>
          <w:szCs w:val="24"/>
        </w:rPr>
        <w:t>Al respecto,</w:t>
      </w:r>
      <w:r w:rsidR="00D258F4" w:rsidRPr="00D233AE">
        <w:rPr>
          <w:rFonts w:cs="Arial"/>
          <w:kern w:val="2"/>
          <w:sz w:val="24"/>
          <w:szCs w:val="24"/>
        </w:rPr>
        <w:t xml:space="preserve"> los agravios son </w:t>
      </w:r>
      <w:r w:rsidR="00D258F4" w:rsidRPr="00D233AE">
        <w:rPr>
          <w:rFonts w:cs="Arial"/>
          <w:b/>
          <w:bCs/>
          <w:kern w:val="2"/>
          <w:sz w:val="24"/>
          <w:szCs w:val="24"/>
        </w:rPr>
        <w:t>infundados</w:t>
      </w:r>
      <w:r w:rsidR="00D258F4" w:rsidRPr="00D233AE">
        <w:rPr>
          <w:rFonts w:cs="Arial"/>
          <w:kern w:val="2"/>
          <w:sz w:val="24"/>
          <w:szCs w:val="24"/>
        </w:rPr>
        <w:t>, ya que en primer término</w:t>
      </w:r>
      <w:r w:rsidRPr="00D233AE">
        <w:rPr>
          <w:rFonts w:cs="Arial"/>
          <w:kern w:val="2"/>
          <w:sz w:val="24"/>
          <w:szCs w:val="24"/>
        </w:rPr>
        <w:t xml:space="preserve"> el partido apelante</w:t>
      </w:r>
      <w:r w:rsidR="00093D31" w:rsidRPr="00D233AE">
        <w:rPr>
          <w:rFonts w:cs="Arial"/>
          <w:kern w:val="2"/>
          <w:sz w:val="24"/>
          <w:szCs w:val="24"/>
        </w:rPr>
        <w:t xml:space="preserve">, no señala circunstancia de modo tiempo y lugar, a efecto de determinar, las razones por las </w:t>
      </w:r>
      <w:r w:rsidRPr="00D233AE">
        <w:rPr>
          <w:rFonts w:cs="Arial"/>
          <w:kern w:val="2"/>
          <w:sz w:val="24"/>
          <w:szCs w:val="24"/>
        </w:rPr>
        <w:t>que,</w:t>
      </w:r>
      <w:r w:rsidR="00093D31" w:rsidRPr="00D233AE">
        <w:rPr>
          <w:rFonts w:cs="Arial"/>
          <w:kern w:val="2"/>
          <w:sz w:val="24"/>
          <w:szCs w:val="24"/>
        </w:rPr>
        <w:t xml:space="preserve"> </w:t>
      </w:r>
      <w:r w:rsidRPr="00D233AE">
        <w:rPr>
          <w:rFonts w:cs="Arial"/>
          <w:kern w:val="2"/>
          <w:sz w:val="24"/>
          <w:szCs w:val="24"/>
        </w:rPr>
        <w:t xml:space="preserve">a su consideración, la autoridad responsable </w:t>
      </w:r>
      <w:r w:rsidR="00093D31" w:rsidRPr="00D233AE">
        <w:rPr>
          <w:rFonts w:cs="Arial"/>
          <w:kern w:val="2"/>
          <w:sz w:val="24"/>
          <w:szCs w:val="24"/>
        </w:rPr>
        <w:t>debe calificar la falta como no grave e imponer únicamente la amonestación señalada.</w:t>
      </w:r>
    </w:p>
    <w:p w14:paraId="36B7F239" w14:textId="77777777" w:rsidR="009B0106" w:rsidRPr="00D233AE" w:rsidRDefault="009B0106" w:rsidP="00C85EC2">
      <w:pPr>
        <w:spacing w:line="360" w:lineRule="auto"/>
        <w:jc w:val="both"/>
        <w:rPr>
          <w:rFonts w:cs="Arial"/>
          <w:kern w:val="2"/>
          <w:sz w:val="24"/>
          <w:szCs w:val="24"/>
        </w:rPr>
      </w:pPr>
    </w:p>
    <w:p w14:paraId="49D44747" w14:textId="77777777" w:rsidR="009B0106" w:rsidRPr="00D233AE" w:rsidRDefault="009B0106" w:rsidP="00C85EC2">
      <w:pPr>
        <w:spacing w:line="360" w:lineRule="auto"/>
        <w:jc w:val="both"/>
        <w:rPr>
          <w:rFonts w:cs="Arial"/>
          <w:bCs/>
          <w:sz w:val="24"/>
          <w:szCs w:val="24"/>
        </w:rPr>
      </w:pPr>
      <w:r w:rsidRPr="00D233AE">
        <w:rPr>
          <w:rFonts w:cs="Arial"/>
          <w:sz w:val="24"/>
          <w:szCs w:val="24"/>
        </w:rPr>
        <w:t>Asimismo,</w:t>
      </w:r>
      <w:r w:rsidR="00D86646" w:rsidRPr="00D233AE">
        <w:rPr>
          <w:rFonts w:cs="Arial"/>
          <w:sz w:val="24"/>
          <w:szCs w:val="24"/>
        </w:rPr>
        <w:t xml:space="preserve"> </w:t>
      </w:r>
      <w:r w:rsidRPr="00D233AE">
        <w:rPr>
          <w:rFonts w:cs="Arial"/>
          <w:sz w:val="24"/>
          <w:szCs w:val="24"/>
        </w:rPr>
        <w:t xml:space="preserve">es </w:t>
      </w:r>
      <w:r w:rsidR="00D86646" w:rsidRPr="00D233AE">
        <w:rPr>
          <w:rFonts w:cs="Arial"/>
          <w:sz w:val="24"/>
          <w:szCs w:val="24"/>
        </w:rPr>
        <w:t xml:space="preserve">importante precisar que, </w:t>
      </w:r>
      <w:r w:rsidR="00FA288E" w:rsidRPr="00D233AE">
        <w:rPr>
          <w:rFonts w:cs="Arial"/>
          <w:bCs/>
          <w:sz w:val="24"/>
          <w:szCs w:val="24"/>
        </w:rPr>
        <w:t>el principio de congruencia de las sentencias consiste en que su emisión debe responder a los planteamientos de la demanda -o en su caso contestación- además de no contener resoluciones ni afirmaciones que se contradigan entre sí,</w:t>
      </w:r>
      <w:r w:rsidR="00FA288E" w:rsidRPr="00D233AE">
        <w:rPr>
          <w:rFonts w:cs="Arial"/>
          <w:bCs/>
          <w:sz w:val="24"/>
          <w:szCs w:val="24"/>
          <w:vertAlign w:val="superscript"/>
        </w:rPr>
        <w:footnoteReference w:id="30"/>
      </w:r>
      <w:r w:rsidR="00730615" w:rsidRPr="00D233AE">
        <w:rPr>
          <w:rFonts w:cs="Arial"/>
          <w:bCs/>
          <w:sz w:val="24"/>
          <w:szCs w:val="24"/>
        </w:rPr>
        <w:t xml:space="preserve"> de igual forma</w:t>
      </w:r>
      <w:r w:rsidR="00CE68E7" w:rsidRPr="00D233AE">
        <w:rPr>
          <w:rFonts w:cs="Arial"/>
          <w:bCs/>
          <w:sz w:val="24"/>
          <w:szCs w:val="24"/>
        </w:rPr>
        <w:t xml:space="preserve">, el derecho a la </w:t>
      </w:r>
      <w:r w:rsidR="00CE68E7" w:rsidRPr="00D233AE">
        <w:rPr>
          <w:rFonts w:cs="Arial"/>
          <w:bCs/>
          <w:sz w:val="24"/>
          <w:szCs w:val="24"/>
        </w:rPr>
        <w:lastRenderedPageBreak/>
        <w:t xml:space="preserve">seguridad jurídica, reconocido en los artículos 14 y 16 de la </w:t>
      </w:r>
      <w:r w:rsidR="00CE68E7" w:rsidRPr="00D233AE">
        <w:rPr>
          <w:rFonts w:cs="Arial"/>
          <w:bCs/>
          <w:i/>
          <w:iCs/>
          <w:sz w:val="24"/>
          <w:szCs w:val="24"/>
        </w:rPr>
        <w:t>Constitución Federal</w:t>
      </w:r>
      <w:r w:rsidR="00CE68E7" w:rsidRPr="00D233AE">
        <w:rPr>
          <w:rFonts w:cs="Arial"/>
          <w:bCs/>
          <w:sz w:val="24"/>
          <w:szCs w:val="24"/>
        </w:rPr>
        <w:t>, tutela la prerrogativa del gobernado a no encontrarse jamás en una situación de incertidumbre jurídica y, en consecuencia, en un estado de indefensión; su esencia versa sobre la premisa consistente en “saber a qué atenerse” respecto del contenido de las leyes y de la propia actuación de la autoridad.</w:t>
      </w:r>
      <w:r w:rsidR="00CE68E7" w:rsidRPr="00D233AE">
        <w:rPr>
          <w:rStyle w:val="Refdenotaalpie"/>
          <w:rFonts w:cs="Arial"/>
          <w:bCs/>
          <w:sz w:val="24"/>
          <w:szCs w:val="24"/>
        </w:rPr>
        <w:footnoteReference w:id="31"/>
      </w:r>
    </w:p>
    <w:p w14:paraId="6FBF4F13" w14:textId="77777777" w:rsidR="009B0106" w:rsidRPr="00D233AE" w:rsidRDefault="009B0106" w:rsidP="00C85EC2">
      <w:pPr>
        <w:spacing w:line="360" w:lineRule="auto"/>
        <w:jc w:val="both"/>
        <w:rPr>
          <w:rFonts w:cs="Arial"/>
          <w:bCs/>
          <w:sz w:val="24"/>
          <w:szCs w:val="24"/>
        </w:rPr>
      </w:pPr>
    </w:p>
    <w:p w14:paraId="19497567" w14:textId="77777777" w:rsidR="009B0106" w:rsidRPr="00D233AE" w:rsidRDefault="00AD0BA1" w:rsidP="00C85EC2">
      <w:pPr>
        <w:spacing w:line="360" w:lineRule="auto"/>
        <w:jc w:val="both"/>
        <w:rPr>
          <w:rFonts w:cs="Arial"/>
          <w:sz w:val="24"/>
          <w:szCs w:val="24"/>
        </w:rPr>
      </w:pPr>
      <w:r w:rsidRPr="00D233AE">
        <w:rPr>
          <w:rFonts w:cs="Arial"/>
          <w:bCs/>
          <w:sz w:val="24"/>
          <w:szCs w:val="24"/>
        </w:rPr>
        <w:t xml:space="preserve">Bajo esa tesitura, </w:t>
      </w:r>
      <w:r w:rsidR="00161783" w:rsidRPr="00D233AE">
        <w:rPr>
          <w:rFonts w:cs="Arial"/>
          <w:bCs/>
          <w:sz w:val="24"/>
          <w:szCs w:val="24"/>
        </w:rPr>
        <w:t>el artículo 231</w:t>
      </w:r>
      <w:r w:rsidR="00161783" w:rsidRPr="00D233AE">
        <w:rPr>
          <w:rFonts w:cs="Arial"/>
          <w:sz w:val="24"/>
          <w:szCs w:val="24"/>
        </w:rPr>
        <w:t xml:space="preserve"> inciso a) fracción I del </w:t>
      </w:r>
      <w:r w:rsidR="00161783" w:rsidRPr="00D233AE">
        <w:rPr>
          <w:rFonts w:cs="Arial"/>
          <w:i/>
          <w:iCs/>
          <w:sz w:val="24"/>
          <w:szCs w:val="24"/>
        </w:rPr>
        <w:t xml:space="preserve">Código Electoral, </w:t>
      </w:r>
      <w:r w:rsidR="00161783" w:rsidRPr="00D233AE">
        <w:rPr>
          <w:rFonts w:cs="Arial"/>
          <w:sz w:val="24"/>
          <w:szCs w:val="24"/>
        </w:rPr>
        <w:t>establece que las infracciones serán sancionadas respecto de los partidos políticos con amonestación pública</w:t>
      </w:r>
      <w:r w:rsidR="00EF50FF" w:rsidRPr="00D233AE">
        <w:rPr>
          <w:rFonts w:cs="Arial"/>
          <w:sz w:val="24"/>
          <w:szCs w:val="24"/>
        </w:rPr>
        <w:t>,</w:t>
      </w:r>
      <w:r w:rsidR="00973BEF" w:rsidRPr="00D233AE">
        <w:rPr>
          <w:rFonts w:cs="Arial"/>
          <w:sz w:val="24"/>
          <w:szCs w:val="24"/>
        </w:rPr>
        <w:t xml:space="preserve"> sin embargo, el partido apelante no refiere circunstancias de modo, lugar y tiempo, del por</w:t>
      </w:r>
      <w:r w:rsidR="00EF50FF" w:rsidRPr="00D233AE">
        <w:rPr>
          <w:rFonts w:cs="Arial"/>
          <w:sz w:val="24"/>
          <w:szCs w:val="24"/>
        </w:rPr>
        <w:t xml:space="preserve"> </w:t>
      </w:r>
      <w:r w:rsidR="00973BEF" w:rsidRPr="00D233AE">
        <w:rPr>
          <w:rFonts w:cs="Arial"/>
          <w:sz w:val="24"/>
          <w:szCs w:val="24"/>
        </w:rPr>
        <w:t>qu</w:t>
      </w:r>
      <w:r w:rsidR="00EF50FF" w:rsidRPr="00D233AE">
        <w:rPr>
          <w:rFonts w:cs="Arial"/>
          <w:sz w:val="24"/>
          <w:szCs w:val="24"/>
        </w:rPr>
        <w:t>é</w:t>
      </w:r>
      <w:r w:rsidR="00973BEF" w:rsidRPr="00D233AE">
        <w:rPr>
          <w:rFonts w:cs="Arial"/>
          <w:sz w:val="24"/>
          <w:szCs w:val="24"/>
        </w:rPr>
        <w:t xml:space="preserve"> considera que se debió aplicar a su favor </w:t>
      </w:r>
      <w:r w:rsidR="00753129" w:rsidRPr="00D233AE">
        <w:rPr>
          <w:rFonts w:cs="Arial"/>
          <w:sz w:val="24"/>
          <w:szCs w:val="24"/>
        </w:rPr>
        <w:t>lo</w:t>
      </w:r>
      <w:r w:rsidR="00973BEF" w:rsidRPr="00D233AE">
        <w:rPr>
          <w:rFonts w:cs="Arial"/>
          <w:sz w:val="24"/>
          <w:szCs w:val="24"/>
        </w:rPr>
        <w:t xml:space="preserve"> previsto en el numeral invocado, solo refiere que la aplicación de la sanción impuesta es excesiva, lo cual vulnera el principio de congruencia y certeza jurídica</w:t>
      </w:r>
      <w:r w:rsidR="00FD30D7" w:rsidRPr="00D233AE">
        <w:rPr>
          <w:rFonts w:cs="Arial"/>
          <w:sz w:val="24"/>
          <w:szCs w:val="24"/>
        </w:rPr>
        <w:t xml:space="preserve">, </w:t>
      </w:r>
      <w:r w:rsidR="00973BEF" w:rsidRPr="00D233AE">
        <w:rPr>
          <w:rFonts w:cs="Arial"/>
          <w:sz w:val="24"/>
          <w:szCs w:val="24"/>
        </w:rPr>
        <w:t>ya que debió aplicarse la sanción mínima, esto es la amonestación pública</w:t>
      </w:r>
      <w:r w:rsidR="00FD30D7" w:rsidRPr="00D233AE">
        <w:rPr>
          <w:rFonts w:cs="Arial"/>
          <w:sz w:val="24"/>
          <w:szCs w:val="24"/>
        </w:rPr>
        <w:t>.</w:t>
      </w:r>
    </w:p>
    <w:p w14:paraId="3229C0AB" w14:textId="77777777" w:rsidR="009B0106" w:rsidRPr="00D233AE" w:rsidRDefault="009B0106" w:rsidP="00C85EC2">
      <w:pPr>
        <w:spacing w:line="360" w:lineRule="auto"/>
        <w:jc w:val="both"/>
        <w:rPr>
          <w:rFonts w:cs="Arial"/>
          <w:sz w:val="24"/>
          <w:szCs w:val="24"/>
        </w:rPr>
      </w:pPr>
    </w:p>
    <w:p w14:paraId="06D12835" w14:textId="77777777" w:rsidR="009B0106" w:rsidRPr="00D233AE" w:rsidRDefault="009B0106" w:rsidP="00C85EC2">
      <w:pPr>
        <w:spacing w:line="360" w:lineRule="auto"/>
        <w:jc w:val="both"/>
        <w:rPr>
          <w:rFonts w:cs="Arial"/>
          <w:sz w:val="24"/>
          <w:szCs w:val="24"/>
        </w:rPr>
      </w:pPr>
      <w:r w:rsidRPr="00D233AE">
        <w:rPr>
          <w:rFonts w:cs="Arial"/>
          <w:kern w:val="2"/>
          <w:sz w:val="24"/>
          <w:szCs w:val="24"/>
        </w:rPr>
        <w:t xml:space="preserve">Asimismo, </w:t>
      </w:r>
      <w:r w:rsidR="00A05980" w:rsidRPr="00D233AE">
        <w:rPr>
          <w:rFonts w:cs="Arial"/>
          <w:kern w:val="2"/>
          <w:sz w:val="24"/>
          <w:szCs w:val="24"/>
        </w:rPr>
        <w:t xml:space="preserve">el artículo 244 incisos e), f) y g) </w:t>
      </w:r>
      <w:r w:rsidRPr="00D233AE">
        <w:rPr>
          <w:rFonts w:cs="Arial"/>
          <w:kern w:val="2"/>
          <w:sz w:val="24"/>
          <w:szCs w:val="24"/>
        </w:rPr>
        <w:t xml:space="preserve">prevé: </w:t>
      </w:r>
    </w:p>
    <w:p w14:paraId="210022B1" w14:textId="77777777" w:rsidR="00F55D96" w:rsidRPr="00D233AE" w:rsidRDefault="00F55D96" w:rsidP="009B0106">
      <w:pPr>
        <w:spacing w:line="420" w:lineRule="atLeast"/>
        <w:jc w:val="both"/>
        <w:rPr>
          <w:rFonts w:cs="Arial"/>
          <w:sz w:val="24"/>
          <w:szCs w:val="24"/>
        </w:rPr>
      </w:pPr>
    </w:p>
    <w:p w14:paraId="1D3FA4F0" w14:textId="77777777" w:rsidR="00A05980" w:rsidRPr="00D233AE" w:rsidRDefault="00A05980" w:rsidP="00A05980">
      <w:pPr>
        <w:ind w:left="851" w:right="616"/>
        <w:contextualSpacing/>
        <w:jc w:val="both"/>
        <w:rPr>
          <w:rFonts w:ascii="Arial Narrow" w:hAnsi="Arial Narrow"/>
          <w:i/>
          <w:iCs/>
          <w:sz w:val="22"/>
          <w:szCs w:val="22"/>
        </w:rPr>
      </w:pPr>
      <w:r w:rsidRPr="00D233AE">
        <w:rPr>
          <w:rFonts w:ascii="Arial Narrow" w:hAnsi="Arial Narrow"/>
          <w:b/>
          <w:bCs/>
          <w:i/>
          <w:iCs/>
          <w:sz w:val="22"/>
          <w:szCs w:val="22"/>
        </w:rPr>
        <w:t>“ARTÍCULO 244.</w:t>
      </w:r>
      <w:r w:rsidRPr="00D233AE">
        <w:rPr>
          <w:rFonts w:ascii="Arial Narrow" w:hAnsi="Arial Narrow"/>
          <w:i/>
          <w:iCs/>
          <w:sz w:val="22"/>
          <w:szCs w:val="22"/>
        </w:rPr>
        <w:t xml:space="preserve"> Para la individualización de las sanciones a que se refiere este Libro, una vez acreditada la existencia de una infracción y su imputación, la autoridad electoral deberá tomar en cuenta las circunstancias que rodean la contravención de la norma administrativa, entre otras, las siguientes:</w:t>
      </w:r>
    </w:p>
    <w:p w14:paraId="2DA74D5A" w14:textId="77777777" w:rsidR="00A05980" w:rsidRPr="00D233AE" w:rsidRDefault="00A05980" w:rsidP="00A05980">
      <w:pPr>
        <w:ind w:left="851" w:right="616"/>
        <w:contextualSpacing/>
        <w:jc w:val="both"/>
        <w:rPr>
          <w:rFonts w:ascii="Arial Narrow" w:hAnsi="Arial Narrow"/>
          <w:i/>
          <w:iCs/>
          <w:sz w:val="22"/>
          <w:szCs w:val="22"/>
        </w:rPr>
      </w:pPr>
      <w:r w:rsidRPr="00D233AE">
        <w:rPr>
          <w:rFonts w:ascii="Arial Narrow" w:hAnsi="Arial Narrow"/>
          <w:b/>
          <w:bCs/>
          <w:i/>
          <w:iCs/>
          <w:sz w:val="22"/>
          <w:szCs w:val="22"/>
        </w:rPr>
        <w:t>…</w:t>
      </w:r>
    </w:p>
    <w:p w14:paraId="064F3816" w14:textId="77777777" w:rsidR="00A05980" w:rsidRPr="00D233AE" w:rsidRDefault="00A05980" w:rsidP="00A05980">
      <w:pPr>
        <w:ind w:left="851" w:right="616"/>
        <w:contextualSpacing/>
        <w:jc w:val="both"/>
        <w:rPr>
          <w:rFonts w:ascii="Arial Narrow" w:hAnsi="Arial Narrow" w:cs="Arial"/>
          <w:i/>
          <w:iCs/>
          <w:kern w:val="2"/>
          <w:sz w:val="22"/>
          <w:szCs w:val="22"/>
        </w:rPr>
      </w:pPr>
      <w:r w:rsidRPr="00D233AE">
        <w:rPr>
          <w:rFonts w:ascii="Arial Narrow" w:hAnsi="Arial Narrow" w:cs="Arial"/>
          <w:b/>
          <w:bCs/>
          <w:i/>
          <w:iCs/>
          <w:kern w:val="2"/>
          <w:sz w:val="22"/>
          <w:szCs w:val="22"/>
        </w:rPr>
        <w:t>e)</w:t>
      </w:r>
      <w:r w:rsidRPr="00D233AE">
        <w:rPr>
          <w:rFonts w:ascii="Arial Narrow" w:hAnsi="Arial Narrow" w:cs="Arial"/>
          <w:i/>
          <w:iCs/>
          <w:kern w:val="2"/>
          <w:sz w:val="22"/>
          <w:szCs w:val="22"/>
        </w:rPr>
        <w:t xml:space="preserve"> La reincidencia en el incumplimiento de obligaciones; </w:t>
      </w:r>
    </w:p>
    <w:p w14:paraId="282754EC" w14:textId="77777777" w:rsidR="00A05980" w:rsidRPr="00D233AE" w:rsidRDefault="00A05980" w:rsidP="00A05980">
      <w:pPr>
        <w:ind w:left="851" w:right="616"/>
        <w:contextualSpacing/>
        <w:jc w:val="both"/>
        <w:rPr>
          <w:rFonts w:ascii="Arial Narrow" w:hAnsi="Arial Narrow" w:cs="Arial"/>
          <w:i/>
          <w:iCs/>
          <w:kern w:val="2"/>
          <w:sz w:val="22"/>
          <w:szCs w:val="22"/>
        </w:rPr>
      </w:pPr>
      <w:r w:rsidRPr="00D233AE">
        <w:rPr>
          <w:rFonts w:ascii="Arial Narrow" w:hAnsi="Arial Narrow" w:cs="Arial"/>
          <w:b/>
          <w:bCs/>
          <w:i/>
          <w:iCs/>
          <w:kern w:val="2"/>
          <w:sz w:val="22"/>
          <w:szCs w:val="22"/>
        </w:rPr>
        <w:t>f)</w:t>
      </w:r>
      <w:r w:rsidRPr="00D233AE">
        <w:rPr>
          <w:rFonts w:ascii="Arial Narrow" w:hAnsi="Arial Narrow" w:cs="Arial"/>
          <w:i/>
          <w:iCs/>
          <w:kern w:val="2"/>
          <w:sz w:val="22"/>
          <w:szCs w:val="22"/>
        </w:rPr>
        <w:t xml:space="preserve"> En su caso, el monto del beneficio, lucro, daño o perjuicio derivado del incumplimiento de obligaciones, y,</w:t>
      </w:r>
    </w:p>
    <w:p w14:paraId="07F1ACAB" w14:textId="77777777" w:rsidR="00A05980" w:rsidRPr="00D233AE" w:rsidRDefault="00A05980" w:rsidP="00A05980">
      <w:pPr>
        <w:ind w:left="851" w:right="616"/>
        <w:contextualSpacing/>
        <w:jc w:val="both"/>
        <w:rPr>
          <w:rFonts w:ascii="Arial Narrow" w:hAnsi="Arial Narrow" w:cs="Arial"/>
          <w:i/>
          <w:iCs/>
          <w:kern w:val="2"/>
          <w:sz w:val="22"/>
          <w:szCs w:val="22"/>
        </w:rPr>
      </w:pPr>
      <w:r w:rsidRPr="00D233AE">
        <w:rPr>
          <w:rFonts w:ascii="Arial Narrow" w:hAnsi="Arial Narrow" w:cs="Arial"/>
          <w:b/>
          <w:bCs/>
          <w:i/>
          <w:iCs/>
          <w:kern w:val="2"/>
          <w:sz w:val="22"/>
          <w:szCs w:val="22"/>
        </w:rPr>
        <w:t>g)</w:t>
      </w:r>
      <w:r w:rsidRPr="00D233AE">
        <w:rPr>
          <w:rFonts w:ascii="Arial Narrow" w:hAnsi="Arial Narrow" w:cs="Arial"/>
          <w:i/>
          <w:iCs/>
          <w:kern w:val="2"/>
          <w:sz w:val="22"/>
          <w:szCs w:val="22"/>
        </w:rPr>
        <w:t xml:space="preserve"> En caso de reincidencia se aplicará una sanción más severa.</w:t>
      </w:r>
    </w:p>
    <w:p w14:paraId="5D79C1CF" w14:textId="77777777" w:rsidR="00A05980" w:rsidRPr="00D233AE" w:rsidRDefault="00A05980" w:rsidP="009B0106">
      <w:pPr>
        <w:ind w:left="851" w:right="616"/>
        <w:contextualSpacing/>
        <w:jc w:val="both"/>
        <w:rPr>
          <w:rFonts w:ascii="Arial Narrow" w:hAnsi="Arial Narrow" w:cs="Arial"/>
          <w:b/>
          <w:bCs/>
          <w:i/>
          <w:iCs/>
          <w:kern w:val="2"/>
          <w:sz w:val="22"/>
          <w:szCs w:val="22"/>
        </w:rPr>
      </w:pPr>
      <w:r w:rsidRPr="00D233AE">
        <w:rPr>
          <w:rFonts w:ascii="Arial Narrow" w:hAnsi="Arial Narrow" w:cs="Arial"/>
          <w:b/>
          <w:bCs/>
          <w:i/>
          <w:iCs/>
          <w:kern w:val="2"/>
          <w:sz w:val="22"/>
          <w:szCs w:val="22"/>
        </w:rPr>
        <w:t>…”</w:t>
      </w:r>
    </w:p>
    <w:p w14:paraId="230D0A0D" w14:textId="77777777" w:rsidR="009B0106" w:rsidRPr="00D233AE" w:rsidRDefault="009B0106" w:rsidP="009B0106">
      <w:pPr>
        <w:ind w:left="851" w:right="616"/>
        <w:contextualSpacing/>
        <w:jc w:val="both"/>
        <w:rPr>
          <w:rFonts w:ascii="Arial Narrow" w:hAnsi="Arial Narrow" w:cs="Arial"/>
          <w:i/>
          <w:iCs/>
          <w:kern w:val="2"/>
          <w:sz w:val="22"/>
          <w:szCs w:val="22"/>
        </w:rPr>
      </w:pPr>
    </w:p>
    <w:p w14:paraId="4647651F" w14:textId="77777777" w:rsidR="009A1040" w:rsidRPr="00D233AE" w:rsidRDefault="00442B61" w:rsidP="00C85EC2">
      <w:pPr>
        <w:pStyle w:val="Default"/>
        <w:spacing w:line="360" w:lineRule="auto"/>
        <w:jc w:val="both"/>
        <w:rPr>
          <w:color w:val="auto"/>
        </w:rPr>
      </w:pPr>
      <w:r w:rsidRPr="00D233AE">
        <w:rPr>
          <w:color w:val="auto"/>
        </w:rPr>
        <w:t>En ese sentido, c</w:t>
      </w:r>
      <w:r w:rsidR="00C560D2" w:rsidRPr="00D233AE">
        <w:rPr>
          <w:color w:val="auto"/>
        </w:rPr>
        <w:t xml:space="preserve">ontrario a lo sostenido por el </w:t>
      </w:r>
      <w:r w:rsidRPr="00D233AE">
        <w:rPr>
          <w:color w:val="auto"/>
        </w:rPr>
        <w:t xml:space="preserve">partido </w:t>
      </w:r>
      <w:r w:rsidR="00C560D2" w:rsidRPr="00D233AE">
        <w:rPr>
          <w:color w:val="auto"/>
        </w:rPr>
        <w:t>apelante,</w:t>
      </w:r>
      <w:r w:rsidR="003805F0" w:rsidRPr="00D233AE">
        <w:rPr>
          <w:color w:val="auto"/>
        </w:rPr>
        <w:t xml:space="preserve"> la autoridad responsable determinó que</w:t>
      </w:r>
      <w:r w:rsidR="00EF50FF" w:rsidRPr="00D233AE">
        <w:rPr>
          <w:color w:val="auto"/>
        </w:rPr>
        <w:t>,</w:t>
      </w:r>
      <w:r w:rsidR="003805F0" w:rsidRPr="00D233AE">
        <w:rPr>
          <w:color w:val="auto"/>
        </w:rPr>
        <w:t xml:space="preserve"> </w:t>
      </w:r>
      <w:r w:rsidR="00900734" w:rsidRPr="00D233AE">
        <w:rPr>
          <w:color w:val="auto"/>
        </w:rPr>
        <w:t xml:space="preserve">tomando en consideración los elementos objetivos y subjetivos de las infracciones, especialmente </w:t>
      </w:r>
      <w:r w:rsidR="00900734" w:rsidRPr="00D233AE">
        <w:rPr>
          <w:b/>
          <w:bCs/>
          <w:color w:val="auto"/>
        </w:rPr>
        <w:t>los bienes jurídicos tutelados</w:t>
      </w:r>
      <w:r w:rsidR="00900734" w:rsidRPr="00D233AE">
        <w:rPr>
          <w:color w:val="auto"/>
        </w:rPr>
        <w:t xml:space="preserve">, las circunstancias particulares -las prerrogativas del </w:t>
      </w:r>
      <w:r w:rsidR="00900734" w:rsidRPr="00D233AE">
        <w:rPr>
          <w:i/>
          <w:iCs/>
          <w:color w:val="auto"/>
        </w:rPr>
        <w:t>PT,</w:t>
      </w:r>
      <w:r w:rsidR="00900734" w:rsidRPr="00D233AE">
        <w:rPr>
          <w:color w:val="auto"/>
        </w:rPr>
        <w:t xml:space="preserve"> para el ejercicio fiscal 2025-, así como la finalidad de las sanciones, </w:t>
      </w:r>
      <w:r w:rsidR="00900734" w:rsidRPr="00D233AE">
        <w:rPr>
          <w:b/>
          <w:bCs/>
          <w:color w:val="auto"/>
        </w:rPr>
        <w:t>que es la de inhibir la posible comisión de faltas similares en el futuro</w:t>
      </w:r>
      <w:r w:rsidR="00900734" w:rsidRPr="00D233AE">
        <w:rPr>
          <w:color w:val="auto"/>
        </w:rPr>
        <w:t>, estimó que lo procedente e</w:t>
      </w:r>
      <w:r w:rsidR="00DC3DA3" w:rsidRPr="00D233AE">
        <w:rPr>
          <w:color w:val="auto"/>
        </w:rPr>
        <w:t>ra</w:t>
      </w:r>
      <w:r w:rsidR="00900734" w:rsidRPr="00D233AE">
        <w:rPr>
          <w:color w:val="auto"/>
        </w:rPr>
        <w:t xml:space="preserve"> imponer a la parte denunciada una sanción de conformidad con el numeral 231 inciso a) fracción II del </w:t>
      </w:r>
      <w:r w:rsidR="00900734" w:rsidRPr="00D233AE">
        <w:rPr>
          <w:i/>
          <w:iCs/>
          <w:color w:val="auto"/>
        </w:rPr>
        <w:t>Código Electoral</w:t>
      </w:r>
      <w:r w:rsidR="00900734" w:rsidRPr="00D233AE">
        <w:rPr>
          <w:color w:val="auto"/>
        </w:rPr>
        <w:t>; esto es, una multa de 271 doscientas setenta y un</w:t>
      </w:r>
      <w:r w:rsidR="00981AE8" w:rsidRPr="00D233AE">
        <w:rPr>
          <w:color w:val="auto"/>
        </w:rPr>
        <w:t>a</w:t>
      </w:r>
      <w:r w:rsidR="00900734" w:rsidRPr="00D233AE">
        <w:rPr>
          <w:color w:val="auto"/>
        </w:rPr>
        <w:t xml:space="preserve"> veces el </w:t>
      </w:r>
      <w:r w:rsidR="00900734" w:rsidRPr="00D233AE">
        <w:rPr>
          <w:color w:val="auto"/>
        </w:rPr>
        <w:lastRenderedPageBreak/>
        <w:t>valor diario de la Unidad de Medida y Actualización</w:t>
      </w:r>
      <w:r w:rsidR="009807CD" w:rsidRPr="00D233AE">
        <w:rPr>
          <w:rStyle w:val="Refdenotaalpie"/>
          <w:color w:val="auto"/>
        </w:rPr>
        <w:footnoteReference w:id="32"/>
      </w:r>
      <w:r w:rsidR="00900734" w:rsidRPr="00D233AE">
        <w:rPr>
          <w:color w:val="auto"/>
        </w:rPr>
        <w:t xml:space="preserve"> que equivale a $30,660.94 (treinta mil seiscientos sesenta pesos 94/100 M.N.), </w:t>
      </w:r>
      <w:r w:rsidR="00900734" w:rsidRPr="00D233AE">
        <w:rPr>
          <w:b/>
          <w:bCs/>
          <w:color w:val="auto"/>
        </w:rPr>
        <w:t>la cual no excede el valor de diez mil veces el valor diario de la Unidad de Medida y Actualización</w:t>
      </w:r>
      <w:r w:rsidR="00900734" w:rsidRPr="00D233AE">
        <w:rPr>
          <w:color w:val="auto"/>
        </w:rPr>
        <w:t xml:space="preserve">, establecida en el precitado dispositivo del </w:t>
      </w:r>
      <w:r w:rsidR="00900734" w:rsidRPr="00D233AE">
        <w:rPr>
          <w:i/>
          <w:iCs/>
          <w:color w:val="auto"/>
        </w:rPr>
        <w:t>Código Electoral</w:t>
      </w:r>
      <w:r w:rsidR="00900734" w:rsidRPr="00D233AE">
        <w:rPr>
          <w:color w:val="auto"/>
        </w:rPr>
        <w:t>.</w:t>
      </w:r>
      <w:r w:rsidR="002C4FB2" w:rsidRPr="00D233AE">
        <w:rPr>
          <w:color w:val="auto"/>
        </w:rPr>
        <w:t xml:space="preserve"> </w:t>
      </w:r>
    </w:p>
    <w:p w14:paraId="3BFF2C48" w14:textId="77777777" w:rsidR="002C4FB2" w:rsidRPr="00D233AE" w:rsidRDefault="002C4FB2" w:rsidP="00C85EC2">
      <w:pPr>
        <w:pStyle w:val="Default"/>
        <w:spacing w:line="360" w:lineRule="auto"/>
        <w:jc w:val="right"/>
        <w:rPr>
          <w:b/>
          <w:bCs/>
          <w:i/>
          <w:iCs/>
          <w:color w:val="auto"/>
        </w:rPr>
      </w:pPr>
      <w:r w:rsidRPr="00D233AE">
        <w:rPr>
          <w:b/>
          <w:bCs/>
          <w:i/>
          <w:iCs/>
          <w:color w:val="auto"/>
        </w:rPr>
        <w:t>-Lo resaltado es propio-</w:t>
      </w:r>
      <w:r w:rsidR="00C560D2" w:rsidRPr="00D233AE">
        <w:rPr>
          <w:b/>
          <w:bCs/>
          <w:i/>
          <w:iCs/>
          <w:color w:val="auto"/>
        </w:rPr>
        <w:t xml:space="preserve"> </w:t>
      </w:r>
    </w:p>
    <w:p w14:paraId="47528DB6" w14:textId="77777777" w:rsidR="009A1040" w:rsidRPr="00D233AE" w:rsidRDefault="009A1040" w:rsidP="00C85EC2">
      <w:pPr>
        <w:pStyle w:val="Default"/>
        <w:spacing w:line="360" w:lineRule="auto"/>
        <w:jc w:val="right"/>
        <w:rPr>
          <w:b/>
          <w:bCs/>
          <w:i/>
          <w:iCs/>
          <w:color w:val="auto"/>
        </w:rPr>
      </w:pPr>
    </w:p>
    <w:p w14:paraId="45136ADD" w14:textId="77777777" w:rsidR="00A05980" w:rsidRPr="00D233AE" w:rsidRDefault="009A1040" w:rsidP="00C85EC2">
      <w:pPr>
        <w:spacing w:line="360" w:lineRule="auto"/>
        <w:jc w:val="both"/>
        <w:rPr>
          <w:rFonts w:cs="Arial"/>
          <w:sz w:val="24"/>
          <w:szCs w:val="24"/>
        </w:rPr>
      </w:pPr>
      <w:r w:rsidRPr="00D233AE">
        <w:rPr>
          <w:sz w:val="24"/>
          <w:szCs w:val="24"/>
        </w:rPr>
        <w:t xml:space="preserve">Determinación que </w:t>
      </w:r>
      <w:r w:rsidR="0042752B" w:rsidRPr="00D233AE">
        <w:rPr>
          <w:sz w:val="24"/>
          <w:szCs w:val="24"/>
        </w:rPr>
        <w:t xml:space="preserve">sustentó </w:t>
      </w:r>
      <w:r w:rsidRPr="00D233AE">
        <w:rPr>
          <w:sz w:val="24"/>
          <w:szCs w:val="24"/>
        </w:rPr>
        <w:t>en</w:t>
      </w:r>
      <w:r w:rsidR="0042752B" w:rsidRPr="00D233AE">
        <w:rPr>
          <w:sz w:val="24"/>
          <w:szCs w:val="24"/>
        </w:rPr>
        <w:t xml:space="preserve"> la tesis</w:t>
      </w:r>
      <w:r w:rsidR="00A05980" w:rsidRPr="00D233AE">
        <w:rPr>
          <w:sz w:val="24"/>
          <w:szCs w:val="24"/>
        </w:rPr>
        <w:t xml:space="preserve"> de</w:t>
      </w:r>
      <w:r w:rsidR="0042752B" w:rsidRPr="00D233AE">
        <w:rPr>
          <w:sz w:val="24"/>
          <w:szCs w:val="24"/>
        </w:rPr>
        <w:t xml:space="preserve"> </w:t>
      </w:r>
      <w:r w:rsidR="00A05980" w:rsidRPr="00D233AE">
        <w:rPr>
          <w:rFonts w:cs="Arial"/>
          <w:sz w:val="24"/>
          <w:szCs w:val="24"/>
        </w:rPr>
        <w:t>jurisprudencial de rubro</w:t>
      </w:r>
      <w:r w:rsidRPr="00D233AE">
        <w:rPr>
          <w:rFonts w:cs="Arial"/>
          <w:sz w:val="24"/>
          <w:szCs w:val="24"/>
        </w:rPr>
        <w:t>:</w:t>
      </w:r>
      <w:r w:rsidR="00A05980" w:rsidRPr="00D233AE">
        <w:rPr>
          <w:rFonts w:cs="Arial"/>
          <w:sz w:val="24"/>
          <w:szCs w:val="24"/>
        </w:rPr>
        <w:t xml:space="preserve"> </w:t>
      </w:r>
      <w:r w:rsidRPr="00D233AE">
        <w:rPr>
          <w:rFonts w:cs="Arial"/>
          <w:b/>
          <w:bCs/>
          <w:i/>
          <w:iCs/>
          <w:sz w:val="24"/>
          <w:szCs w:val="24"/>
        </w:rPr>
        <w:t>“</w:t>
      </w:r>
      <w:r w:rsidR="00A05980" w:rsidRPr="00D233AE">
        <w:rPr>
          <w:rFonts w:cs="Arial"/>
          <w:b/>
          <w:bCs/>
          <w:i/>
          <w:iCs/>
          <w:sz w:val="24"/>
          <w:szCs w:val="24"/>
        </w:rPr>
        <w:t>SANCIÓN. CON LA DEMOSTRACIÓN DE LA FALTA PROCEDE LA MÍNIMA QUE CORRESPONDA Y PUEDE AUMENTAR SEGÚN LAS CIRCUNSTANCIAS CONCURRENTES”</w:t>
      </w:r>
      <w:r w:rsidR="00A05980" w:rsidRPr="00D233AE">
        <w:rPr>
          <w:rFonts w:cs="Arial"/>
          <w:i/>
          <w:iCs/>
          <w:sz w:val="24"/>
          <w:szCs w:val="24"/>
        </w:rPr>
        <w:t>.</w:t>
      </w:r>
      <w:r w:rsidR="00A05980" w:rsidRPr="00D233AE">
        <w:rPr>
          <w:rFonts w:cs="Arial"/>
          <w:sz w:val="24"/>
          <w:szCs w:val="24"/>
        </w:rPr>
        <w:t xml:space="preserve"> De acuerdo con dicho criterio, una vez comprobada la infracción que admite gradación, el punto de partida es el mínimo legal, y sólo si concurren factores agravantes, relativos al autor o a las circunstancias de modo, tiempo y lugar, se justifica desplazar la sanción hacia montos superiores. </w:t>
      </w:r>
    </w:p>
    <w:p w14:paraId="14F781C5" w14:textId="77777777" w:rsidR="002C4FB2" w:rsidRPr="00D233AE" w:rsidRDefault="002C4FB2" w:rsidP="00C85EC2">
      <w:pPr>
        <w:pStyle w:val="Default"/>
        <w:spacing w:line="360" w:lineRule="auto"/>
        <w:jc w:val="both"/>
        <w:rPr>
          <w:color w:val="auto"/>
        </w:rPr>
      </w:pPr>
    </w:p>
    <w:p w14:paraId="763A221A" w14:textId="77777777" w:rsidR="00E05FC6" w:rsidRPr="00D233AE" w:rsidRDefault="0008280B" w:rsidP="00C85EC2">
      <w:pPr>
        <w:spacing w:line="360" w:lineRule="auto"/>
        <w:contextualSpacing/>
        <w:jc w:val="both"/>
        <w:rPr>
          <w:rFonts w:cs="Arial"/>
          <w:kern w:val="2"/>
          <w:sz w:val="24"/>
          <w:szCs w:val="24"/>
        </w:rPr>
      </w:pPr>
      <w:r w:rsidRPr="00D233AE">
        <w:rPr>
          <w:bCs/>
          <w:sz w:val="24"/>
          <w:szCs w:val="24"/>
        </w:rPr>
        <w:t xml:space="preserve">Aunado a que, tampoco le asiste la razón al partido apelante </w:t>
      </w:r>
      <w:r w:rsidR="009A1040" w:rsidRPr="00D233AE">
        <w:rPr>
          <w:bCs/>
          <w:sz w:val="24"/>
          <w:szCs w:val="24"/>
        </w:rPr>
        <w:t xml:space="preserve">respecto a que </w:t>
      </w:r>
      <w:r w:rsidRPr="00D233AE">
        <w:rPr>
          <w:bCs/>
          <w:sz w:val="24"/>
          <w:szCs w:val="24"/>
        </w:rPr>
        <w:t>se</w:t>
      </w:r>
      <w:r w:rsidRPr="00D233AE">
        <w:rPr>
          <w:rFonts w:cs="Arial"/>
          <w:kern w:val="2"/>
          <w:sz w:val="24"/>
          <w:szCs w:val="24"/>
        </w:rPr>
        <w:t xml:space="preserve"> debió considerar la infracción como no grave, ya que </w:t>
      </w:r>
      <w:r w:rsidR="00DC3DA3" w:rsidRPr="00D233AE">
        <w:rPr>
          <w:rFonts w:cs="Arial"/>
          <w:kern w:val="2"/>
          <w:sz w:val="24"/>
          <w:szCs w:val="24"/>
        </w:rPr>
        <w:t xml:space="preserve">a su consideración </w:t>
      </w:r>
      <w:r w:rsidRPr="00D233AE">
        <w:rPr>
          <w:rFonts w:cs="Arial"/>
          <w:kern w:val="2"/>
          <w:sz w:val="24"/>
          <w:szCs w:val="24"/>
        </w:rPr>
        <w:t xml:space="preserve">no transgredió el artículo 244 incisos e), f) y g) del </w:t>
      </w:r>
      <w:r w:rsidRPr="00D233AE">
        <w:rPr>
          <w:rFonts w:cs="Arial"/>
          <w:i/>
          <w:iCs/>
          <w:kern w:val="2"/>
          <w:sz w:val="24"/>
          <w:szCs w:val="24"/>
        </w:rPr>
        <w:t>Código Electoral</w:t>
      </w:r>
      <w:r w:rsidRPr="00D233AE">
        <w:rPr>
          <w:rFonts w:cs="Arial"/>
          <w:kern w:val="2"/>
          <w:sz w:val="24"/>
          <w:szCs w:val="24"/>
        </w:rPr>
        <w:t xml:space="preserve">, pues no fue reincidente en la conducta de omisión en el registro de otros candidatos en las acciones afirmativas y no lacera a terceros una afectación económica, por lo tanto, únicamente debió imponerle una amonestación pública, ello porque </w:t>
      </w:r>
      <w:r w:rsidR="009A1040" w:rsidRPr="00D233AE">
        <w:rPr>
          <w:rFonts w:cs="Arial"/>
          <w:kern w:val="2"/>
          <w:sz w:val="24"/>
          <w:szCs w:val="24"/>
        </w:rPr>
        <w:t xml:space="preserve">el </w:t>
      </w:r>
      <w:r w:rsidRPr="00D233AE">
        <w:rPr>
          <w:rFonts w:cs="Arial"/>
          <w:i/>
          <w:iCs/>
          <w:kern w:val="2"/>
          <w:sz w:val="24"/>
          <w:szCs w:val="24"/>
        </w:rPr>
        <w:t xml:space="preserve">Consejo General </w:t>
      </w:r>
      <w:r w:rsidRPr="00D233AE">
        <w:rPr>
          <w:rFonts w:cs="Arial"/>
          <w:kern w:val="2"/>
          <w:sz w:val="24"/>
          <w:szCs w:val="24"/>
        </w:rPr>
        <w:t xml:space="preserve">al momento de determinar la sanción del </w:t>
      </w:r>
      <w:r w:rsidRPr="00D233AE">
        <w:rPr>
          <w:rFonts w:cs="Arial"/>
          <w:i/>
          <w:iCs/>
          <w:kern w:val="2"/>
          <w:sz w:val="24"/>
          <w:szCs w:val="24"/>
        </w:rPr>
        <w:t>PT a</w:t>
      </w:r>
      <w:r w:rsidRPr="00D233AE">
        <w:rPr>
          <w:rFonts w:cs="Arial"/>
          <w:kern w:val="2"/>
          <w:sz w:val="24"/>
          <w:szCs w:val="24"/>
        </w:rPr>
        <w:t xml:space="preserve">plicó el mínimo de lo previsto en el artículo 244 del </w:t>
      </w:r>
      <w:r w:rsidRPr="00D233AE">
        <w:rPr>
          <w:rFonts w:cs="Arial"/>
          <w:i/>
          <w:iCs/>
          <w:kern w:val="2"/>
          <w:sz w:val="24"/>
          <w:szCs w:val="24"/>
        </w:rPr>
        <w:t>Código Electoral</w:t>
      </w:r>
      <w:r w:rsidR="00B83408" w:rsidRPr="00D233AE">
        <w:rPr>
          <w:rFonts w:cs="Arial"/>
          <w:i/>
          <w:iCs/>
          <w:kern w:val="2"/>
          <w:sz w:val="24"/>
          <w:szCs w:val="24"/>
        </w:rPr>
        <w:t xml:space="preserve">, </w:t>
      </w:r>
      <w:r w:rsidR="00B83408" w:rsidRPr="00D233AE">
        <w:rPr>
          <w:rFonts w:cs="Arial"/>
          <w:kern w:val="2"/>
          <w:sz w:val="24"/>
          <w:szCs w:val="24"/>
        </w:rPr>
        <w:t>aunado a que el apelante no señala circunstancias de modo, lugar y tiempo.</w:t>
      </w:r>
      <w:r w:rsidR="00EC640C" w:rsidRPr="00D233AE">
        <w:rPr>
          <w:rFonts w:cs="Arial"/>
          <w:kern w:val="2"/>
          <w:sz w:val="24"/>
          <w:szCs w:val="24"/>
        </w:rPr>
        <w:t xml:space="preserve"> </w:t>
      </w:r>
    </w:p>
    <w:p w14:paraId="2F3B40D9" w14:textId="77777777" w:rsidR="00EC640C" w:rsidRPr="00D233AE" w:rsidRDefault="00B83408" w:rsidP="00C85EC2">
      <w:pPr>
        <w:spacing w:line="360" w:lineRule="auto"/>
        <w:contextualSpacing/>
        <w:jc w:val="both"/>
        <w:rPr>
          <w:rFonts w:cs="Arial"/>
          <w:kern w:val="2"/>
          <w:sz w:val="24"/>
          <w:szCs w:val="24"/>
        </w:rPr>
      </w:pPr>
      <w:r w:rsidRPr="00D233AE">
        <w:rPr>
          <w:rFonts w:cs="Arial"/>
          <w:kern w:val="2"/>
          <w:sz w:val="24"/>
          <w:szCs w:val="24"/>
        </w:rPr>
        <w:t>Pues como se indica, e</w:t>
      </w:r>
      <w:r w:rsidR="00EE2E3F" w:rsidRPr="00D233AE">
        <w:rPr>
          <w:rFonts w:cs="Arial"/>
          <w:kern w:val="2"/>
          <w:sz w:val="24"/>
          <w:szCs w:val="24"/>
        </w:rPr>
        <w:t xml:space="preserve">n la </w:t>
      </w:r>
      <w:r w:rsidR="00EE2E3F" w:rsidRPr="00D233AE">
        <w:rPr>
          <w:rFonts w:cs="Arial"/>
          <w:i/>
          <w:iCs/>
          <w:kern w:val="2"/>
          <w:sz w:val="24"/>
          <w:szCs w:val="24"/>
        </w:rPr>
        <w:t xml:space="preserve">Resolución Impugnada </w:t>
      </w:r>
      <w:r w:rsidR="00EE2E3F" w:rsidRPr="00D233AE">
        <w:rPr>
          <w:rFonts w:cs="Arial"/>
          <w:kern w:val="2"/>
          <w:sz w:val="24"/>
          <w:szCs w:val="24"/>
        </w:rPr>
        <w:t xml:space="preserve">contrario a lo referido por el </w:t>
      </w:r>
      <w:r w:rsidR="00EE2E3F" w:rsidRPr="00D233AE">
        <w:rPr>
          <w:rFonts w:cs="Arial"/>
          <w:i/>
          <w:iCs/>
          <w:kern w:val="2"/>
          <w:sz w:val="24"/>
          <w:szCs w:val="24"/>
        </w:rPr>
        <w:t xml:space="preserve">PT, </w:t>
      </w:r>
      <w:r w:rsidR="00EE2E3F" w:rsidRPr="00D233AE">
        <w:rPr>
          <w:rFonts w:cs="Arial"/>
          <w:kern w:val="2"/>
          <w:sz w:val="24"/>
          <w:szCs w:val="24"/>
        </w:rPr>
        <w:t xml:space="preserve">la autoridad responsable determinó que </w:t>
      </w:r>
      <w:r w:rsidR="00EE2E3F" w:rsidRPr="00D233AE">
        <w:rPr>
          <w:rFonts w:cs="Arial"/>
          <w:b/>
          <w:bCs/>
          <w:kern w:val="2"/>
          <w:sz w:val="24"/>
          <w:szCs w:val="24"/>
        </w:rPr>
        <w:t>no se actualizaba la reincidencia,</w:t>
      </w:r>
      <w:r w:rsidR="00EE2E3F" w:rsidRPr="00D233AE">
        <w:rPr>
          <w:rFonts w:cs="Arial"/>
          <w:kern w:val="2"/>
          <w:sz w:val="24"/>
          <w:szCs w:val="24"/>
        </w:rPr>
        <w:t xml:space="preserve"> pues no obraba antecedentes de resolución declarada </w:t>
      </w:r>
      <w:r w:rsidR="00EE2E3F" w:rsidRPr="00D233AE">
        <w:rPr>
          <w:rFonts w:cs="Arial"/>
          <w:b/>
          <w:bCs/>
          <w:kern w:val="2"/>
          <w:sz w:val="24"/>
          <w:szCs w:val="24"/>
        </w:rPr>
        <w:t xml:space="preserve">firme </w:t>
      </w:r>
      <w:r w:rsidR="00EE2E3F" w:rsidRPr="00D233AE">
        <w:rPr>
          <w:rFonts w:cs="Arial"/>
          <w:kern w:val="2"/>
          <w:sz w:val="24"/>
          <w:szCs w:val="24"/>
        </w:rPr>
        <w:t xml:space="preserve">en </w:t>
      </w:r>
      <w:r w:rsidR="00981AE8" w:rsidRPr="00D233AE">
        <w:rPr>
          <w:rFonts w:cs="Arial"/>
          <w:kern w:val="2"/>
          <w:sz w:val="24"/>
          <w:szCs w:val="24"/>
        </w:rPr>
        <w:t xml:space="preserve">los </w:t>
      </w:r>
      <w:r w:rsidR="00EE2E3F" w:rsidRPr="00D233AE">
        <w:rPr>
          <w:rFonts w:cs="Arial"/>
          <w:kern w:val="2"/>
          <w:sz w:val="24"/>
          <w:szCs w:val="24"/>
        </w:rPr>
        <w:t xml:space="preserve">que se le haya sancionado al </w:t>
      </w:r>
      <w:r w:rsidR="00EE2E3F" w:rsidRPr="00D233AE">
        <w:rPr>
          <w:rFonts w:cs="Arial"/>
          <w:i/>
          <w:iCs/>
          <w:kern w:val="2"/>
          <w:sz w:val="24"/>
          <w:szCs w:val="24"/>
        </w:rPr>
        <w:t>PT,</w:t>
      </w:r>
      <w:r w:rsidR="00EE2E3F" w:rsidRPr="00D233AE">
        <w:rPr>
          <w:rFonts w:cs="Arial"/>
          <w:kern w:val="2"/>
          <w:sz w:val="24"/>
          <w:szCs w:val="24"/>
        </w:rPr>
        <w:t xml:space="preserve"> por incumplimiento de acciones afirmativas; de igual forma, si bien se acreditó  que el apelante incumplió con los </w:t>
      </w:r>
      <w:r w:rsidR="00EE2E3F" w:rsidRPr="00D233AE">
        <w:rPr>
          <w:rFonts w:cs="Arial"/>
          <w:i/>
          <w:iCs/>
          <w:kern w:val="2"/>
          <w:sz w:val="24"/>
          <w:szCs w:val="24"/>
        </w:rPr>
        <w:t>Lineamientos en materia de Acciones Afirmativas</w:t>
      </w:r>
      <w:r w:rsidR="00EE2E3F" w:rsidRPr="00D233AE">
        <w:rPr>
          <w:rFonts w:cs="Arial"/>
          <w:kern w:val="2"/>
          <w:sz w:val="24"/>
          <w:szCs w:val="24"/>
        </w:rPr>
        <w:t xml:space="preserve">, sin embargo, </w:t>
      </w:r>
      <w:r w:rsidR="00EE2E3F" w:rsidRPr="00D233AE">
        <w:rPr>
          <w:rFonts w:cs="Arial"/>
          <w:b/>
          <w:bCs/>
          <w:kern w:val="2"/>
          <w:sz w:val="24"/>
          <w:szCs w:val="24"/>
        </w:rPr>
        <w:t>no se acreditó que haya existido una afectación al</w:t>
      </w:r>
      <w:r w:rsidR="0071273A" w:rsidRPr="00D233AE">
        <w:rPr>
          <w:rFonts w:cs="Arial"/>
          <w:b/>
          <w:bCs/>
          <w:kern w:val="2"/>
          <w:sz w:val="24"/>
          <w:szCs w:val="24"/>
        </w:rPr>
        <w:t xml:space="preserve"> </w:t>
      </w:r>
      <w:r w:rsidR="00EE2E3F" w:rsidRPr="00D233AE">
        <w:rPr>
          <w:rFonts w:cs="Arial"/>
          <w:b/>
          <w:bCs/>
          <w:kern w:val="2"/>
          <w:sz w:val="24"/>
          <w:szCs w:val="24"/>
        </w:rPr>
        <w:t>erario</w:t>
      </w:r>
      <w:r w:rsidR="00EE2E3F" w:rsidRPr="00D233AE">
        <w:rPr>
          <w:rFonts w:cs="Arial"/>
          <w:kern w:val="2"/>
          <w:sz w:val="24"/>
          <w:szCs w:val="24"/>
        </w:rPr>
        <w:t xml:space="preserve">, dado que se trata de una comisión por omisión. </w:t>
      </w:r>
      <w:r w:rsidR="00EE2E3F" w:rsidRPr="00D233AE">
        <w:rPr>
          <w:rFonts w:cs="Arial"/>
          <w:i/>
          <w:iCs/>
          <w:kern w:val="2"/>
          <w:sz w:val="24"/>
          <w:szCs w:val="24"/>
        </w:rPr>
        <w:t xml:space="preserve">  </w:t>
      </w:r>
    </w:p>
    <w:p w14:paraId="0F3392FC" w14:textId="77777777" w:rsidR="00EC640C" w:rsidRPr="00D233AE" w:rsidRDefault="00EC640C" w:rsidP="00C85EC2">
      <w:pPr>
        <w:spacing w:line="360" w:lineRule="auto"/>
        <w:contextualSpacing/>
        <w:jc w:val="both"/>
        <w:rPr>
          <w:rFonts w:cs="Arial"/>
          <w:kern w:val="2"/>
          <w:sz w:val="24"/>
          <w:szCs w:val="24"/>
        </w:rPr>
      </w:pPr>
    </w:p>
    <w:p w14:paraId="489A9255" w14:textId="77777777" w:rsidR="006F55B5" w:rsidRPr="00D233AE" w:rsidRDefault="00981AE8" w:rsidP="00C85EC2">
      <w:pPr>
        <w:spacing w:line="360" w:lineRule="auto"/>
        <w:contextualSpacing/>
        <w:jc w:val="both"/>
        <w:rPr>
          <w:rFonts w:cs="Arial"/>
          <w:kern w:val="2"/>
          <w:sz w:val="24"/>
          <w:szCs w:val="24"/>
        </w:rPr>
      </w:pPr>
      <w:r w:rsidRPr="00D233AE">
        <w:rPr>
          <w:rFonts w:cs="Arial"/>
          <w:kern w:val="2"/>
          <w:sz w:val="24"/>
          <w:szCs w:val="24"/>
        </w:rPr>
        <w:t>No obstante, haber analizado si se actualizaba o no la reincidencia, dicha circunstancia no tuvo repercusiones directas en la imposición de la multa correspondiente, porque, se insiste</w:t>
      </w:r>
      <w:r w:rsidR="0071273A" w:rsidRPr="00D233AE">
        <w:rPr>
          <w:rFonts w:cs="Arial"/>
          <w:kern w:val="2"/>
          <w:sz w:val="24"/>
          <w:szCs w:val="24"/>
        </w:rPr>
        <w:t xml:space="preserve">, </w:t>
      </w:r>
      <w:r w:rsidR="00A97352" w:rsidRPr="00D233AE">
        <w:rPr>
          <w:rFonts w:cs="Arial"/>
          <w:kern w:val="2"/>
          <w:sz w:val="24"/>
          <w:szCs w:val="24"/>
        </w:rPr>
        <w:t xml:space="preserve">la </w:t>
      </w:r>
      <w:r w:rsidR="0071273A" w:rsidRPr="00D233AE">
        <w:rPr>
          <w:rFonts w:cs="Arial"/>
          <w:kern w:val="2"/>
          <w:sz w:val="24"/>
          <w:szCs w:val="24"/>
        </w:rPr>
        <w:t xml:space="preserve">calificativa </w:t>
      </w:r>
      <w:r w:rsidR="000133AB" w:rsidRPr="00D233AE">
        <w:rPr>
          <w:rFonts w:cs="Arial"/>
          <w:kern w:val="2"/>
          <w:sz w:val="24"/>
          <w:szCs w:val="24"/>
        </w:rPr>
        <w:t>y la</w:t>
      </w:r>
      <w:r w:rsidR="0071273A" w:rsidRPr="00D233AE">
        <w:rPr>
          <w:rFonts w:cs="Arial"/>
          <w:kern w:val="2"/>
          <w:sz w:val="24"/>
          <w:szCs w:val="24"/>
        </w:rPr>
        <w:t xml:space="preserve"> imposición de la sanción</w:t>
      </w:r>
      <w:r w:rsidR="00A97352" w:rsidRPr="00D233AE">
        <w:rPr>
          <w:rFonts w:cs="Arial"/>
          <w:kern w:val="2"/>
          <w:sz w:val="24"/>
          <w:szCs w:val="24"/>
        </w:rPr>
        <w:t xml:space="preserve"> se </w:t>
      </w:r>
      <w:r w:rsidR="00A97352" w:rsidRPr="00D233AE">
        <w:rPr>
          <w:rFonts w:cs="Arial"/>
          <w:kern w:val="2"/>
          <w:sz w:val="24"/>
          <w:szCs w:val="24"/>
        </w:rPr>
        <w:lastRenderedPageBreak/>
        <w:t>fundó</w:t>
      </w:r>
      <w:r w:rsidR="00DC3DA3" w:rsidRPr="00D233AE">
        <w:rPr>
          <w:rFonts w:cs="Arial"/>
          <w:kern w:val="2"/>
          <w:sz w:val="24"/>
          <w:szCs w:val="24"/>
        </w:rPr>
        <w:t xml:space="preserve">, </w:t>
      </w:r>
      <w:r w:rsidR="00A97352" w:rsidRPr="00D233AE">
        <w:rPr>
          <w:rFonts w:cs="Arial"/>
          <w:kern w:val="2"/>
          <w:sz w:val="24"/>
          <w:szCs w:val="24"/>
        </w:rPr>
        <w:t>motivó</w:t>
      </w:r>
      <w:r w:rsidR="000133AB" w:rsidRPr="00D233AE">
        <w:rPr>
          <w:rFonts w:cs="Arial"/>
          <w:kern w:val="2"/>
          <w:sz w:val="24"/>
          <w:szCs w:val="24"/>
        </w:rPr>
        <w:t xml:space="preserve"> </w:t>
      </w:r>
      <w:r w:rsidR="00DC3DA3" w:rsidRPr="00D233AE">
        <w:rPr>
          <w:rFonts w:cs="Arial"/>
          <w:kern w:val="2"/>
          <w:sz w:val="24"/>
          <w:szCs w:val="24"/>
        </w:rPr>
        <w:t xml:space="preserve">y </w:t>
      </w:r>
      <w:r w:rsidR="000133AB" w:rsidRPr="00D233AE">
        <w:rPr>
          <w:rFonts w:cs="Arial"/>
          <w:kern w:val="2"/>
          <w:sz w:val="24"/>
          <w:szCs w:val="24"/>
        </w:rPr>
        <w:t>obedeció a lo previsto en el artículo 93 fracción VI del Reglamento</w:t>
      </w:r>
      <w:r w:rsidR="009807CD" w:rsidRPr="00D233AE">
        <w:rPr>
          <w:rFonts w:cs="Arial"/>
          <w:kern w:val="2"/>
          <w:sz w:val="24"/>
          <w:szCs w:val="24"/>
        </w:rPr>
        <w:t xml:space="preserve"> para la Tramitación y Sustanciación de Quejas y Denuncias del </w:t>
      </w:r>
      <w:r w:rsidR="009807CD" w:rsidRPr="00D233AE">
        <w:rPr>
          <w:rFonts w:cs="Arial"/>
          <w:i/>
          <w:iCs/>
          <w:kern w:val="2"/>
          <w:sz w:val="24"/>
          <w:szCs w:val="24"/>
        </w:rPr>
        <w:t>IEM</w:t>
      </w:r>
      <w:r w:rsidR="000133AB" w:rsidRPr="00D233AE">
        <w:rPr>
          <w:rFonts w:cs="Arial"/>
          <w:kern w:val="2"/>
          <w:sz w:val="24"/>
          <w:szCs w:val="24"/>
        </w:rPr>
        <w:t xml:space="preserve">, el que determina que de acreditarse la infracción denunciada, se deberá de llevar a cabo la individualización de la sanción, atendiendo al tipo de </w:t>
      </w:r>
      <w:r w:rsidR="000133AB" w:rsidRPr="00D233AE">
        <w:rPr>
          <w:rFonts w:cs="Arial"/>
          <w:b/>
          <w:bCs/>
          <w:kern w:val="2"/>
          <w:sz w:val="24"/>
          <w:szCs w:val="24"/>
        </w:rPr>
        <w:t>infracción</w:t>
      </w:r>
      <w:r w:rsidR="000133AB" w:rsidRPr="00D233AE">
        <w:rPr>
          <w:rFonts w:cs="Arial"/>
          <w:kern w:val="2"/>
          <w:sz w:val="24"/>
          <w:szCs w:val="24"/>
        </w:rPr>
        <w:t>,</w:t>
      </w:r>
      <w:r w:rsidR="000133AB" w:rsidRPr="00D233AE">
        <w:rPr>
          <w:rFonts w:cs="Arial"/>
          <w:b/>
          <w:bCs/>
          <w:kern w:val="2"/>
          <w:sz w:val="24"/>
          <w:szCs w:val="24"/>
        </w:rPr>
        <w:t xml:space="preserve"> bien jurídico tutelado</w:t>
      </w:r>
      <w:r w:rsidR="000133AB" w:rsidRPr="00D233AE">
        <w:rPr>
          <w:rFonts w:cs="Arial"/>
          <w:kern w:val="2"/>
          <w:sz w:val="24"/>
          <w:szCs w:val="24"/>
        </w:rPr>
        <w:t xml:space="preserve">, pluralidad de la conducta, circunstancias de modo, tiempo y lugar, así como por lo establecido por la </w:t>
      </w:r>
      <w:r w:rsidR="000133AB" w:rsidRPr="00D233AE">
        <w:rPr>
          <w:rFonts w:cs="Arial"/>
          <w:i/>
          <w:iCs/>
          <w:kern w:val="2"/>
          <w:sz w:val="24"/>
          <w:szCs w:val="24"/>
        </w:rPr>
        <w:t>Sala Superior</w:t>
      </w:r>
      <w:r w:rsidR="006F55B5" w:rsidRPr="00D233AE">
        <w:rPr>
          <w:rStyle w:val="Refdenotaalpie"/>
          <w:rFonts w:cs="Arial"/>
          <w:i/>
          <w:iCs/>
          <w:kern w:val="2"/>
          <w:sz w:val="24"/>
          <w:szCs w:val="24"/>
        </w:rPr>
        <w:footnoteReference w:id="33"/>
      </w:r>
      <w:r w:rsidR="000133AB" w:rsidRPr="00D233AE">
        <w:rPr>
          <w:rFonts w:cs="Arial"/>
          <w:i/>
          <w:iCs/>
          <w:kern w:val="2"/>
          <w:sz w:val="24"/>
          <w:szCs w:val="24"/>
        </w:rPr>
        <w:t xml:space="preserve"> </w:t>
      </w:r>
      <w:r w:rsidR="006F55B5" w:rsidRPr="00D233AE">
        <w:rPr>
          <w:rFonts w:cs="Arial"/>
          <w:kern w:val="2"/>
          <w:sz w:val="24"/>
          <w:szCs w:val="24"/>
        </w:rPr>
        <w:t>al determinar</w:t>
      </w:r>
      <w:r w:rsidR="006F55B5" w:rsidRPr="00D233AE">
        <w:rPr>
          <w:rFonts w:cs="Arial"/>
          <w:i/>
          <w:iCs/>
          <w:kern w:val="2"/>
          <w:sz w:val="24"/>
          <w:szCs w:val="24"/>
        </w:rPr>
        <w:t xml:space="preserve"> </w:t>
      </w:r>
      <w:r w:rsidR="006F55B5" w:rsidRPr="00D233AE">
        <w:rPr>
          <w:rFonts w:cs="Arial"/>
          <w:kern w:val="2"/>
          <w:sz w:val="24"/>
          <w:szCs w:val="24"/>
        </w:rPr>
        <w:t>que, para que se diera una adecuada calificación de las faltas que se consideraran demostradas, debía de realizarse el examen de algunos aspectos, entre los que se encuentran los siguientes: a) Tipo de infracción (acción u omisión); b) Las circunstancias de modo, tiempo y lugar en que se concretizó; c) La comisión intencional o culposa de la falta; y, en su caso, de resultar relevante para determinar la intención en el obrar, los medios utilizados; d) La trascendencia de la norma transgredida; e) Los resultados o efectos que sobre los objetivos (propósitos de creación de la norma) y los intereses o valores jurídicos tutelados, se generaron; y f) La singularidad o pluralidad de las faltas acreditadas.</w:t>
      </w:r>
      <w:r w:rsidR="006F55B5" w:rsidRPr="00D233AE">
        <w:rPr>
          <w:rFonts w:cs="Arial"/>
          <w:i/>
          <w:iCs/>
          <w:kern w:val="2"/>
          <w:sz w:val="24"/>
          <w:szCs w:val="24"/>
        </w:rPr>
        <w:t xml:space="preserve"> </w:t>
      </w:r>
    </w:p>
    <w:p w14:paraId="6CEC96FA" w14:textId="77777777" w:rsidR="00166DEB" w:rsidRPr="00D233AE" w:rsidRDefault="00166DEB" w:rsidP="00C85EC2">
      <w:pPr>
        <w:spacing w:line="360" w:lineRule="auto"/>
        <w:contextualSpacing/>
        <w:jc w:val="both"/>
        <w:rPr>
          <w:rFonts w:cs="Arial"/>
          <w:i/>
          <w:iCs/>
          <w:kern w:val="2"/>
          <w:sz w:val="24"/>
          <w:szCs w:val="24"/>
        </w:rPr>
      </w:pPr>
    </w:p>
    <w:p w14:paraId="4B68D554" w14:textId="77777777" w:rsidR="0008280B" w:rsidRPr="00D233AE" w:rsidRDefault="006F55B5" w:rsidP="00C85EC2">
      <w:pPr>
        <w:spacing w:line="360" w:lineRule="auto"/>
        <w:contextualSpacing/>
        <w:jc w:val="both"/>
        <w:rPr>
          <w:rFonts w:cs="Arial"/>
          <w:kern w:val="2"/>
          <w:sz w:val="24"/>
          <w:szCs w:val="24"/>
        </w:rPr>
      </w:pPr>
      <w:r w:rsidRPr="00D233AE">
        <w:rPr>
          <w:rFonts w:cs="Arial"/>
          <w:kern w:val="2"/>
          <w:sz w:val="24"/>
          <w:szCs w:val="24"/>
        </w:rPr>
        <w:t>En tanto que, para la individualización de la sanción, consecuencia directa de la calificación de la falta, la autoridad electoral a efecto de ajustarse al principio de legalidad que consagra en la materia el artículo 41 Constitucional, deberá considerar, además de los aspectos ya examinados para tal calificación, una serie adicional de elementos que le permitan asegurar, en forma objetiva, conforme a criterios de justicia y equidad, lo siguiente: a) La calificación de la falta o faltas cometidas (gravedad); b) La entidad de la lesión o los daños o perjuicios que pudieron generarse con la comisión de la falta; c) La condición de que el ente infractor haya incurrido con antelación en la comisión de una infracción similar (reincidencia); y, d) La imposición de la sanción no afecte, sustancialmente, el desarrollo de las actividades del partido político, de tal manera que comprometa el cumplimiento de sus propósitos fundamentales o subsistencia.</w:t>
      </w:r>
    </w:p>
    <w:p w14:paraId="0FCCCF8F" w14:textId="77777777" w:rsidR="00A12A65" w:rsidRPr="00D233AE" w:rsidRDefault="00A12A65" w:rsidP="00C85EC2">
      <w:pPr>
        <w:spacing w:line="360" w:lineRule="auto"/>
        <w:contextualSpacing/>
        <w:jc w:val="both"/>
        <w:rPr>
          <w:rFonts w:cs="Arial"/>
          <w:kern w:val="2"/>
          <w:sz w:val="24"/>
          <w:szCs w:val="24"/>
        </w:rPr>
      </w:pPr>
    </w:p>
    <w:p w14:paraId="3F4364D6" w14:textId="77777777" w:rsidR="006F55B5" w:rsidRPr="00D233AE" w:rsidRDefault="006F55B5" w:rsidP="00C85EC2">
      <w:pPr>
        <w:spacing w:line="360" w:lineRule="auto"/>
        <w:contextualSpacing/>
        <w:jc w:val="both"/>
        <w:rPr>
          <w:rFonts w:cs="Arial"/>
          <w:i/>
          <w:iCs/>
          <w:kern w:val="2"/>
          <w:sz w:val="24"/>
          <w:szCs w:val="24"/>
        </w:rPr>
      </w:pPr>
      <w:r w:rsidRPr="00D233AE">
        <w:rPr>
          <w:rFonts w:cs="Arial"/>
          <w:kern w:val="2"/>
          <w:sz w:val="24"/>
          <w:szCs w:val="24"/>
        </w:rPr>
        <w:t xml:space="preserve">La autoridad responsable, al momento de imponer la sanción vigiló que no afectara sustancialmente el desarrollo de las actividades de la entidad política, de tal manera que comprometiera el cumplimiento de los propósitos fundamentales o subsistencia y se ajusta a su capacidad económica del </w:t>
      </w:r>
      <w:r w:rsidRPr="00D233AE">
        <w:rPr>
          <w:rFonts w:cs="Arial"/>
          <w:i/>
          <w:iCs/>
          <w:kern w:val="2"/>
          <w:sz w:val="24"/>
          <w:szCs w:val="24"/>
        </w:rPr>
        <w:t>PT</w:t>
      </w:r>
      <w:r w:rsidRPr="00D233AE">
        <w:rPr>
          <w:rFonts w:cs="Arial"/>
          <w:kern w:val="2"/>
          <w:sz w:val="24"/>
          <w:szCs w:val="24"/>
        </w:rPr>
        <w:t xml:space="preserve">, lo anterior, porque la multa corresponde al 1% de las prerrogativas del citado partido político, es decir </w:t>
      </w:r>
      <w:r w:rsidRPr="00D233AE">
        <w:rPr>
          <w:rFonts w:cs="Arial"/>
          <w:kern w:val="2"/>
          <w:sz w:val="24"/>
          <w:szCs w:val="24"/>
        </w:rPr>
        <w:lastRenderedPageBreak/>
        <w:t>una milésima parte, por lo que se considera que la multa señalada no resulta excesiva</w:t>
      </w:r>
      <w:r w:rsidR="003859FA" w:rsidRPr="00D233AE">
        <w:rPr>
          <w:rFonts w:cs="Arial"/>
          <w:kern w:val="2"/>
          <w:sz w:val="24"/>
          <w:szCs w:val="24"/>
        </w:rPr>
        <w:t xml:space="preserve"> como lo refiere el partido apelante -</w:t>
      </w:r>
      <w:r w:rsidR="003859FA" w:rsidRPr="00D233AE">
        <w:rPr>
          <w:rFonts w:cs="Arial"/>
          <w:i/>
          <w:iCs/>
          <w:kern w:val="2"/>
          <w:sz w:val="24"/>
          <w:szCs w:val="24"/>
        </w:rPr>
        <w:t>PT-.</w:t>
      </w:r>
    </w:p>
    <w:p w14:paraId="17802EF3" w14:textId="77777777" w:rsidR="00C50995" w:rsidRPr="00D233AE" w:rsidRDefault="00C50995" w:rsidP="00C85EC2">
      <w:pPr>
        <w:spacing w:line="360" w:lineRule="auto"/>
        <w:contextualSpacing/>
        <w:jc w:val="both"/>
        <w:rPr>
          <w:rFonts w:cs="Arial"/>
          <w:i/>
          <w:iCs/>
          <w:kern w:val="2"/>
          <w:sz w:val="24"/>
          <w:szCs w:val="24"/>
        </w:rPr>
      </w:pPr>
    </w:p>
    <w:p w14:paraId="2B95E583" w14:textId="77777777" w:rsidR="004F5AE9" w:rsidRPr="00D233AE" w:rsidRDefault="00C50995" w:rsidP="00C85EC2">
      <w:pPr>
        <w:pStyle w:val="Default"/>
        <w:spacing w:line="360" w:lineRule="auto"/>
        <w:jc w:val="both"/>
        <w:rPr>
          <w:bCs/>
          <w:color w:val="auto"/>
        </w:rPr>
      </w:pPr>
      <w:r w:rsidRPr="00D233AE">
        <w:rPr>
          <w:color w:val="auto"/>
          <w:kern w:val="2"/>
        </w:rPr>
        <w:t xml:space="preserve">Por lo razonado, se </w:t>
      </w:r>
      <w:r w:rsidR="00E93A5D" w:rsidRPr="00D233AE">
        <w:rPr>
          <w:color w:val="auto"/>
          <w:kern w:val="2"/>
        </w:rPr>
        <w:t xml:space="preserve">concluye que no se afecta el principio de congruencia puesto que la resolución atiende los planteamientos de la demanda, así como los alegatos del apelante, sin que contenga </w:t>
      </w:r>
      <w:r w:rsidR="00E93A5D" w:rsidRPr="00D233AE">
        <w:rPr>
          <w:bCs/>
          <w:color w:val="auto"/>
        </w:rPr>
        <w:t>afirmaciones que se contradigan entre sí</w:t>
      </w:r>
      <w:r w:rsidR="00AE4CD6" w:rsidRPr="00D233AE">
        <w:rPr>
          <w:bCs/>
          <w:color w:val="auto"/>
        </w:rPr>
        <w:t xml:space="preserve">, la cual se encuentra debidamente fundada y motivada, otorgando certeza jurídica a las partes. </w:t>
      </w:r>
    </w:p>
    <w:p w14:paraId="3092A623" w14:textId="77777777" w:rsidR="00744C83" w:rsidRPr="00D233AE" w:rsidRDefault="00744C83" w:rsidP="00C85EC2">
      <w:pPr>
        <w:autoSpaceDE w:val="0"/>
        <w:autoSpaceDN w:val="0"/>
        <w:adjustRightInd w:val="0"/>
        <w:spacing w:line="360" w:lineRule="auto"/>
        <w:ind w:right="334"/>
        <w:rPr>
          <w:rFonts w:eastAsia="Calibri" w:cs="Arial"/>
          <w:color w:val="000000"/>
          <w:sz w:val="24"/>
          <w:szCs w:val="24"/>
          <w:lang w:eastAsia="en-US"/>
        </w:rPr>
      </w:pPr>
    </w:p>
    <w:p w14:paraId="04FC5480" w14:textId="77777777" w:rsidR="00D851EB" w:rsidRPr="00D233AE" w:rsidRDefault="00D851EB" w:rsidP="00C85EC2">
      <w:pPr>
        <w:spacing w:line="360" w:lineRule="auto"/>
        <w:jc w:val="both"/>
        <w:rPr>
          <w:rFonts w:cs="Arial"/>
          <w:sz w:val="24"/>
          <w:szCs w:val="24"/>
        </w:rPr>
      </w:pPr>
      <w:r w:rsidRPr="00D233AE">
        <w:rPr>
          <w:rFonts w:eastAsia="Calibri" w:cs="Arial"/>
          <w:color w:val="000000"/>
          <w:sz w:val="24"/>
          <w:szCs w:val="24"/>
          <w:lang w:eastAsia="en-US"/>
        </w:rPr>
        <w:t>Por las consideraciones expuesta</w:t>
      </w:r>
      <w:r w:rsidR="00C85EC2" w:rsidRPr="00D233AE">
        <w:rPr>
          <w:rFonts w:eastAsia="Calibri" w:cs="Arial"/>
          <w:color w:val="000000"/>
          <w:sz w:val="24"/>
          <w:szCs w:val="24"/>
          <w:lang w:eastAsia="en-US"/>
        </w:rPr>
        <w:t>s</w:t>
      </w:r>
      <w:r w:rsidRPr="00D233AE">
        <w:rPr>
          <w:rFonts w:eastAsia="Calibri" w:cs="Arial"/>
          <w:color w:val="000000"/>
          <w:sz w:val="24"/>
          <w:szCs w:val="24"/>
          <w:lang w:eastAsia="en-US"/>
        </w:rPr>
        <w:t xml:space="preserve">, este </w:t>
      </w:r>
      <w:r w:rsidRPr="00D233AE">
        <w:rPr>
          <w:rFonts w:cs="Arial"/>
          <w:iCs/>
          <w:sz w:val="24"/>
          <w:szCs w:val="24"/>
        </w:rPr>
        <w:t xml:space="preserve">Tribunal Electoral </w:t>
      </w:r>
      <w:r w:rsidR="0068304C" w:rsidRPr="00D233AE">
        <w:rPr>
          <w:rFonts w:cs="Arial"/>
          <w:iCs/>
          <w:sz w:val="24"/>
          <w:szCs w:val="24"/>
        </w:rPr>
        <w:t xml:space="preserve">determina que los agravios </w:t>
      </w:r>
      <w:r w:rsidR="00C85EC2" w:rsidRPr="00D233AE">
        <w:rPr>
          <w:rFonts w:cs="Arial"/>
          <w:iCs/>
          <w:sz w:val="24"/>
          <w:szCs w:val="24"/>
        </w:rPr>
        <w:t xml:space="preserve">hechos valer </w:t>
      </w:r>
      <w:r w:rsidR="0068304C" w:rsidRPr="00D233AE">
        <w:rPr>
          <w:rFonts w:cs="Arial"/>
          <w:iCs/>
          <w:sz w:val="24"/>
          <w:szCs w:val="24"/>
        </w:rPr>
        <w:t xml:space="preserve">por el </w:t>
      </w:r>
      <w:r w:rsidR="0068304C" w:rsidRPr="00D233AE">
        <w:rPr>
          <w:rFonts w:cs="Arial"/>
          <w:i/>
          <w:sz w:val="24"/>
          <w:szCs w:val="24"/>
        </w:rPr>
        <w:t xml:space="preserve">PT </w:t>
      </w:r>
      <w:r w:rsidR="0068304C" w:rsidRPr="00D233AE">
        <w:rPr>
          <w:rFonts w:cs="Arial"/>
          <w:sz w:val="24"/>
          <w:szCs w:val="24"/>
        </w:rPr>
        <w:t>carecen</w:t>
      </w:r>
      <w:r w:rsidRPr="00D233AE">
        <w:rPr>
          <w:rFonts w:cs="Arial"/>
          <w:sz w:val="24"/>
          <w:szCs w:val="24"/>
        </w:rPr>
        <w:t xml:space="preserve"> de sustento y por tanto resulta</w:t>
      </w:r>
      <w:r w:rsidR="0068304C" w:rsidRPr="00D233AE">
        <w:rPr>
          <w:rFonts w:cs="Arial"/>
          <w:sz w:val="24"/>
          <w:szCs w:val="24"/>
        </w:rPr>
        <w:t>n</w:t>
      </w:r>
      <w:r w:rsidRPr="00D233AE">
        <w:rPr>
          <w:rFonts w:cs="Arial"/>
          <w:sz w:val="24"/>
          <w:szCs w:val="24"/>
        </w:rPr>
        <w:t xml:space="preserve"> </w:t>
      </w:r>
      <w:r w:rsidRPr="00D233AE">
        <w:rPr>
          <w:rFonts w:cs="Arial"/>
          <w:b/>
          <w:bCs/>
          <w:sz w:val="24"/>
          <w:szCs w:val="24"/>
        </w:rPr>
        <w:t>infundado</w:t>
      </w:r>
      <w:r w:rsidR="0068304C" w:rsidRPr="00D233AE">
        <w:rPr>
          <w:rFonts w:cs="Arial"/>
          <w:b/>
          <w:bCs/>
          <w:sz w:val="24"/>
          <w:szCs w:val="24"/>
        </w:rPr>
        <w:t>s</w:t>
      </w:r>
      <w:r w:rsidRPr="00D233AE">
        <w:rPr>
          <w:rFonts w:cs="Arial"/>
          <w:sz w:val="24"/>
          <w:szCs w:val="24"/>
        </w:rPr>
        <w:t xml:space="preserve">. </w:t>
      </w:r>
    </w:p>
    <w:p w14:paraId="5F42666C" w14:textId="77777777" w:rsidR="00280546" w:rsidRPr="00D233AE" w:rsidRDefault="00280546" w:rsidP="00C85EC2">
      <w:pPr>
        <w:spacing w:line="360" w:lineRule="auto"/>
        <w:jc w:val="both"/>
        <w:rPr>
          <w:rFonts w:eastAsia="Calibri" w:cs="Arial"/>
          <w:sz w:val="24"/>
          <w:szCs w:val="24"/>
          <w:lang w:val="es-ES_tradnl"/>
        </w:rPr>
      </w:pPr>
    </w:p>
    <w:p w14:paraId="116038B8" w14:textId="77777777" w:rsidR="00F6316B" w:rsidRPr="00D233AE" w:rsidRDefault="00F6316B" w:rsidP="00C85EC2">
      <w:pPr>
        <w:pBdr>
          <w:top w:val="nil"/>
          <w:left w:val="nil"/>
          <w:bottom w:val="nil"/>
          <w:right w:val="nil"/>
          <w:between w:val="nil"/>
        </w:pBdr>
        <w:spacing w:line="360" w:lineRule="auto"/>
        <w:jc w:val="both"/>
        <w:rPr>
          <w:rFonts w:eastAsia="Arial" w:cs="Arial"/>
          <w:bCs/>
          <w:color w:val="000000"/>
          <w:sz w:val="24"/>
          <w:szCs w:val="24"/>
          <w:lang w:val="es-ES"/>
        </w:rPr>
      </w:pPr>
      <w:bookmarkStart w:id="11" w:name="_Toc167828451"/>
      <w:r w:rsidRPr="00D233AE">
        <w:rPr>
          <w:rFonts w:eastAsia="Arial" w:cs="Arial"/>
          <w:bCs/>
          <w:color w:val="000000"/>
          <w:sz w:val="24"/>
          <w:szCs w:val="24"/>
          <w:lang w:val="es-ES"/>
        </w:rPr>
        <w:t xml:space="preserve">Desestimados los agravios, resulta procedente </w:t>
      </w:r>
      <w:r w:rsidRPr="00D233AE">
        <w:rPr>
          <w:rFonts w:eastAsia="Arial" w:cs="Arial"/>
          <w:b/>
          <w:color w:val="000000"/>
          <w:sz w:val="24"/>
          <w:szCs w:val="24"/>
          <w:lang w:val="es-ES"/>
        </w:rPr>
        <w:t>confirmar</w:t>
      </w:r>
      <w:r w:rsidRPr="00D233AE">
        <w:rPr>
          <w:rFonts w:eastAsia="Arial" w:cs="Arial"/>
          <w:bCs/>
          <w:color w:val="000000"/>
          <w:sz w:val="24"/>
          <w:szCs w:val="24"/>
          <w:lang w:val="es-ES"/>
        </w:rPr>
        <w:t xml:space="preserve"> la resolución impugnada.</w:t>
      </w:r>
      <w:r w:rsidR="000A5830" w:rsidRPr="00D233AE">
        <w:rPr>
          <w:rStyle w:val="Refdenotaalpie"/>
          <w:rFonts w:eastAsia="Arial" w:cs="Arial"/>
          <w:bCs/>
          <w:color w:val="000000"/>
          <w:sz w:val="24"/>
          <w:szCs w:val="24"/>
          <w:lang w:val="es-ES"/>
        </w:rPr>
        <w:footnoteReference w:id="34"/>
      </w:r>
    </w:p>
    <w:p w14:paraId="336CAB82" w14:textId="77777777" w:rsidR="005D0AB4" w:rsidRPr="00D233AE" w:rsidRDefault="005D0AB4" w:rsidP="00C85EC2">
      <w:pPr>
        <w:spacing w:line="360" w:lineRule="auto"/>
        <w:jc w:val="both"/>
        <w:rPr>
          <w:rFonts w:eastAsia="Calibri" w:cs="Arial"/>
          <w:sz w:val="24"/>
          <w:szCs w:val="24"/>
          <w:lang w:val="es-ES"/>
        </w:rPr>
      </w:pPr>
    </w:p>
    <w:p w14:paraId="6AFC6AB2" w14:textId="77777777" w:rsidR="00C85EC2" w:rsidRPr="00D233AE" w:rsidRDefault="00C85EC2" w:rsidP="00C85EC2">
      <w:pPr>
        <w:spacing w:line="360" w:lineRule="auto"/>
        <w:jc w:val="both"/>
        <w:rPr>
          <w:rFonts w:eastAsia="Calibri" w:cs="Arial"/>
          <w:sz w:val="24"/>
          <w:szCs w:val="24"/>
          <w:lang w:val="es-ES"/>
        </w:rPr>
      </w:pPr>
      <w:r w:rsidRPr="00D233AE">
        <w:rPr>
          <w:rFonts w:eastAsia="Calibri" w:cs="Arial"/>
          <w:sz w:val="24"/>
          <w:szCs w:val="24"/>
          <w:lang w:val="es-ES"/>
        </w:rPr>
        <w:t xml:space="preserve">Finalmente, no pasa inadvertido para este Tribunal Electoral las manifestaciones formuladas por el partido apelante respecto a la vista conferida con el informe circunstanciado, no obstante, toda vez que, en </w:t>
      </w:r>
      <w:r w:rsidR="00192F3D" w:rsidRPr="00D233AE">
        <w:rPr>
          <w:rFonts w:eastAsia="Calibri" w:cs="Arial"/>
          <w:sz w:val="24"/>
          <w:szCs w:val="24"/>
          <w:lang w:val="es-ES"/>
        </w:rPr>
        <w:t xml:space="preserve">su </w:t>
      </w:r>
      <w:r w:rsidRPr="00D233AE">
        <w:rPr>
          <w:rFonts w:eastAsia="Calibri" w:cs="Arial"/>
          <w:sz w:val="24"/>
          <w:szCs w:val="24"/>
          <w:lang w:val="es-ES"/>
        </w:rPr>
        <w:t>escrito introduce planteamientos novedosos y ajenos a la litis principal, al pretender cuestionar el incumplimiento de requisitos vinculados al informe circunstanciado presentado por la autoridad responsable</w:t>
      </w:r>
      <w:r w:rsidR="00192F3D" w:rsidRPr="00D233AE">
        <w:rPr>
          <w:rFonts w:eastAsia="Calibri" w:cs="Arial"/>
          <w:sz w:val="24"/>
          <w:szCs w:val="24"/>
          <w:lang w:val="es-ES"/>
        </w:rPr>
        <w:t xml:space="preserve">, las mismas resultan improcedentes. </w:t>
      </w:r>
    </w:p>
    <w:p w14:paraId="70963203" w14:textId="77777777" w:rsidR="00C85EC2" w:rsidRPr="00D233AE" w:rsidRDefault="00C85EC2" w:rsidP="00C85EC2">
      <w:pPr>
        <w:spacing w:line="360" w:lineRule="auto"/>
        <w:jc w:val="both"/>
        <w:rPr>
          <w:rFonts w:eastAsia="Calibri" w:cs="Arial"/>
          <w:sz w:val="24"/>
          <w:szCs w:val="24"/>
          <w:lang w:val="es-ES"/>
        </w:rPr>
      </w:pPr>
    </w:p>
    <w:p w14:paraId="4D0986F7" w14:textId="77777777" w:rsidR="00C85EC2" w:rsidRPr="00D233AE" w:rsidRDefault="00C85EC2" w:rsidP="00C85EC2">
      <w:pPr>
        <w:spacing w:line="360" w:lineRule="auto"/>
        <w:jc w:val="both"/>
        <w:rPr>
          <w:rFonts w:eastAsia="Calibri" w:cs="Arial"/>
          <w:sz w:val="24"/>
          <w:szCs w:val="24"/>
          <w:lang w:val="es-ES"/>
        </w:rPr>
      </w:pPr>
      <w:r w:rsidRPr="00D233AE">
        <w:rPr>
          <w:rFonts w:eastAsia="Calibri" w:cs="Arial"/>
          <w:sz w:val="24"/>
          <w:szCs w:val="24"/>
          <w:lang w:val="es-ES"/>
        </w:rPr>
        <w:t>Lo anterior resulta</w:t>
      </w:r>
      <w:r w:rsidR="00192F3D" w:rsidRPr="00D233AE">
        <w:rPr>
          <w:rFonts w:eastAsia="Calibri" w:cs="Arial"/>
          <w:sz w:val="24"/>
          <w:szCs w:val="24"/>
          <w:lang w:val="es-ES"/>
        </w:rPr>
        <w:t xml:space="preserve"> así</w:t>
      </w:r>
      <w:r w:rsidRPr="00D233AE">
        <w:rPr>
          <w:rFonts w:eastAsia="Calibri" w:cs="Arial"/>
          <w:sz w:val="24"/>
          <w:szCs w:val="24"/>
          <w:lang w:val="es-ES"/>
        </w:rPr>
        <w:t>, en la medida en que la vista otorgada tiene como finalidad exclusiva que las partes se pronuncien respecto de las consideraciones vertidas en el referido informe</w:t>
      </w:r>
      <w:r w:rsidR="00906204" w:rsidRPr="00D233AE">
        <w:rPr>
          <w:rFonts w:eastAsia="Calibri" w:cs="Arial"/>
          <w:sz w:val="24"/>
          <w:szCs w:val="24"/>
          <w:lang w:val="es-ES"/>
        </w:rPr>
        <w:t xml:space="preserve"> sobre la litis del caso concreto</w:t>
      </w:r>
      <w:r w:rsidRPr="00D233AE">
        <w:rPr>
          <w:rFonts w:eastAsia="Calibri" w:cs="Arial"/>
          <w:sz w:val="24"/>
          <w:szCs w:val="24"/>
          <w:lang w:val="es-ES"/>
        </w:rPr>
        <w:t>, m</w:t>
      </w:r>
      <w:r w:rsidR="009641A0" w:rsidRPr="00D233AE">
        <w:rPr>
          <w:rFonts w:eastAsia="Calibri" w:cs="Arial"/>
          <w:sz w:val="24"/>
          <w:szCs w:val="24"/>
          <w:lang w:val="es-ES"/>
        </w:rPr>
        <w:t>á</w:t>
      </w:r>
      <w:r w:rsidRPr="00D233AE">
        <w:rPr>
          <w:rFonts w:eastAsia="Calibri" w:cs="Arial"/>
          <w:sz w:val="24"/>
          <w:szCs w:val="24"/>
          <w:lang w:val="es-ES"/>
        </w:rPr>
        <w:t>s no para ampliar la materia de la controversia ni introducir cuestiones distintas a las originalmente planteadas en el medio de impugnación.</w:t>
      </w:r>
    </w:p>
    <w:p w14:paraId="018B7E89" w14:textId="77777777" w:rsidR="00C85EC2" w:rsidRPr="00D233AE" w:rsidRDefault="00C85EC2" w:rsidP="00C85EC2">
      <w:pPr>
        <w:spacing w:line="360" w:lineRule="auto"/>
        <w:jc w:val="both"/>
        <w:rPr>
          <w:rFonts w:eastAsia="Calibri" w:cs="Arial"/>
          <w:sz w:val="24"/>
          <w:szCs w:val="24"/>
          <w:lang w:val="es-ES"/>
        </w:rPr>
      </w:pPr>
    </w:p>
    <w:p w14:paraId="5F820836" w14:textId="77777777" w:rsidR="00C85EC2" w:rsidRPr="00D233AE" w:rsidRDefault="00C85EC2" w:rsidP="00C85EC2">
      <w:pPr>
        <w:spacing w:line="360" w:lineRule="auto"/>
        <w:jc w:val="both"/>
        <w:rPr>
          <w:rFonts w:eastAsia="Calibri" w:cs="Arial"/>
          <w:sz w:val="24"/>
          <w:szCs w:val="24"/>
          <w:lang w:val="es-ES"/>
        </w:rPr>
      </w:pPr>
      <w:r w:rsidRPr="00D233AE">
        <w:rPr>
          <w:rFonts w:eastAsia="Calibri" w:cs="Arial"/>
          <w:sz w:val="24"/>
          <w:szCs w:val="24"/>
          <w:lang w:val="es-ES"/>
        </w:rPr>
        <w:t>En consecuencia, los argumentos expuestos carecen de eficacia jurídica para ser analizados en el presente asunto, al no guardar relación con los agravios planteados en la demanda ni con el objeto del procedimiento.</w:t>
      </w:r>
    </w:p>
    <w:p w14:paraId="1A81F389" w14:textId="77777777" w:rsidR="00C85EC2" w:rsidRPr="00D233AE" w:rsidRDefault="00C85EC2" w:rsidP="00C85EC2">
      <w:pPr>
        <w:spacing w:line="360" w:lineRule="auto"/>
        <w:jc w:val="both"/>
        <w:rPr>
          <w:rFonts w:eastAsia="Calibri" w:cs="Arial"/>
          <w:sz w:val="24"/>
          <w:szCs w:val="24"/>
          <w:lang w:val="es-ES"/>
        </w:rPr>
      </w:pPr>
    </w:p>
    <w:p w14:paraId="06688DA3" w14:textId="77777777" w:rsidR="00842248" w:rsidRPr="00D233AE" w:rsidRDefault="00842248" w:rsidP="00C85EC2">
      <w:pPr>
        <w:spacing w:line="360" w:lineRule="auto"/>
        <w:jc w:val="both"/>
        <w:rPr>
          <w:rFonts w:eastAsia="Calibri" w:cs="Arial"/>
          <w:sz w:val="24"/>
          <w:szCs w:val="24"/>
          <w:lang w:val="es-ES"/>
        </w:rPr>
      </w:pPr>
    </w:p>
    <w:p w14:paraId="740E68E6" w14:textId="77777777" w:rsidR="0068304C" w:rsidRPr="00D233AE" w:rsidRDefault="00280546" w:rsidP="00C85EC2">
      <w:pPr>
        <w:spacing w:line="360" w:lineRule="auto"/>
        <w:jc w:val="center"/>
        <w:rPr>
          <w:rFonts w:eastAsia="Arial" w:cs="Arial"/>
          <w:b/>
          <w:color w:val="000000"/>
          <w:sz w:val="24"/>
          <w:szCs w:val="24"/>
          <w:lang w:val="es-ES_tradnl"/>
        </w:rPr>
      </w:pPr>
      <w:r w:rsidRPr="00D233AE">
        <w:rPr>
          <w:rFonts w:eastAsia="Arial" w:cs="Arial"/>
          <w:b/>
          <w:color w:val="000000"/>
          <w:sz w:val="24"/>
          <w:szCs w:val="24"/>
          <w:lang w:val="es-ES_tradnl"/>
        </w:rPr>
        <w:lastRenderedPageBreak/>
        <w:t>V</w:t>
      </w:r>
      <w:r w:rsidR="00007C81" w:rsidRPr="00D233AE">
        <w:rPr>
          <w:rFonts w:eastAsia="Arial" w:cs="Arial"/>
          <w:b/>
          <w:color w:val="000000"/>
          <w:sz w:val="24"/>
          <w:szCs w:val="24"/>
          <w:lang w:val="es-ES_tradnl"/>
        </w:rPr>
        <w:t>I</w:t>
      </w:r>
      <w:r w:rsidRPr="00D233AE">
        <w:rPr>
          <w:rFonts w:eastAsia="Arial" w:cs="Arial"/>
          <w:b/>
          <w:color w:val="000000"/>
          <w:sz w:val="24"/>
          <w:szCs w:val="24"/>
          <w:lang w:val="es-ES_tradnl"/>
        </w:rPr>
        <w:t>. RESOLUTIVO</w:t>
      </w:r>
      <w:bookmarkEnd w:id="11"/>
    </w:p>
    <w:p w14:paraId="67DB32B8" w14:textId="77777777" w:rsidR="00E05FC6" w:rsidRPr="00D233AE" w:rsidRDefault="00E05FC6" w:rsidP="00C85EC2">
      <w:pPr>
        <w:spacing w:line="360" w:lineRule="auto"/>
        <w:jc w:val="center"/>
        <w:rPr>
          <w:rFonts w:eastAsia="Arial" w:cs="Arial"/>
          <w:b/>
          <w:color w:val="000000"/>
          <w:sz w:val="24"/>
          <w:szCs w:val="24"/>
          <w:lang w:val="es-ES_tradnl"/>
        </w:rPr>
      </w:pPr>
    </w:p>
    <w:p w14:paraId="5F359DB9" w14:textId="77777777" w:rsidR="00430C34" w:rsidRPr="00D233AE" w:rsidRDefault="00280546" w:rsidP="00C85EC2">
      <w:pPr>
        <w:tabs>
          <w:tab w:val="right" w:pos="7655"/>
        </w:tabs>
        <w:spacing w:line="360" w:lineRule="auto"/>
        <w:jc w:val="both"/>
        <w:rPr>
          <w:rFonts w:eastAsia="Calibri" w:cs="Arial"/>
          <w:sz w:val="24"/>
          <w:szCs w:val="24"/>
          <w:lang w:val="es-ES_tradnl"/>
        </w:rPr>
      </w:pPr>
      <w:r w:rsidRPr="00D233AE">
        <w:rPr>
          <w:rFonts w:eastAsia="Arial" w:cs="Arial"/>
          <w:b/>
          <w:sz w:val="24"/>
          <w:szCs w:val="24"/>
          <w:lang w:val="es-ES_tradnl"/>
        </w:rPr>
        <w:t xml:space="preserve">ÚNICO. </w:t>
      </w:r>
      <w:r w:rsidR="007936B8" w:rsidRPr="00D233AE">
        <w:rPr>
          <w:rFonts w:eastAsia="Arial" w:cs="Arial"/>
          <w:sz w:val="24"/>
          <w:szCs w:val="24"/>
          <w:lang w:val="es-ES"/>
        </w:rPr>
        <w:t>Se</w:t>
      </w:r>
      <w:r w:rsidR="007936B8" w:rsidRPr="00D233AE">
        <w:rPr>
          <w:rFonts w:eastAsia="Arial" w:cs="Arial"/>
          <w:b/>
          <w:sz w:val="24"/>
          <w:szCs w:val="24"/>
          <w:lang w:val="es-ES"/>
        </w:rPr>
        <w:t xml:space="preserve"> confirma</w:t>
      </w:r>
      <w:r w:rsidR="00FD1DE9" w:rsidRPr="00D233AE">
        <w:rPr>
          <w:rFonts w:eastAsia="Arial" w:cs="Arial"/>
          <w:bCs/>
          <w:sz w:val="24"/>
          <w:szCs w:val="24"/>
          <w:lang w:val="es-ES"/>
        </w:rPr>
        <w:t>, en lo que fue materia de impugnación,</w:t>
      </w:r>
      <w:r w:rsidR="007936B8" w:rsidRPr="00D233AE">
        <w:rPr>
          <w:rFonts w:eastAsia="Arial" w:cs="Arial"/>
          <w:bCs/>
          <w:sz w:val="24"/>
          <w:szCs w:val="24"/>
          <w:lang w:val="es-ES"/>
        </w:rPr>
        <w:t xml:space="preserve"> la</w:t>
      </w:r>
      <w:r w:rsidR="007936B8" w:rsidRPr="00D233AE">
        <w:rPr>
          <w:rFonts w:eastAsia="Arial" w:cs="Arial"/>
          <w:sz w:val="24"/>
          <w:szCs w:val="24"/>
          <w:lang w:val="es-ES"/>
        </w:rPr>
        <w:t xml:space="preserve"> resolución dictada por el Consejo General del Instituto Electoral de Michoacán en el </w:t>
      </w:r>
      <w:r w:rsidR="0068304C" w:rsidRPr="00D233AE">
        <w:rPr>
          <w:rFonts w:eastAsia="Arial" w:cs="Arial"/>
          <w:sz w:val="24"/>
          <w:szCs w:val="24"/>
          <w:lang w:val="es-ES"/>
        </w:rPr>
        <w:t>P</w:t>
      </w:r>
      <w:r w:rsidR="007936B8" w:rsidRPr="00D233AE">
        <w:rPr>
          <w:rFonts w:eastAsia="Arial" w:cs="Arial"/>
          <w:sz w:val="24"/>
          <w:szCs w:val="24"/>
          <w:lang w:val="es-ES"/>
        </w:rPr>
        <w:t xml:space="preserve">rocedimiento </w:t>
      </w:r>
      <w:r w:rsidR="0068304C" w:rsidRPr="00D233AE">
        <w:rPr>
          <w:rFonts w:eastAsia="Arial" w:cs="Arial"/>
          <w:sz w:val="24"/>
          <w:szCs w:val="24"/>
          <w:lang w:val="es-ES"/>
        </w:rPr>
        <w:t>O</w:t>
      </w:r>
      <w:r w:rsidR="007936B8" w:rsidRPr="00D233AE">
        <w:rPr>
          <w:rFonts w:eastAsia="Arial" w:cs="Arial"/>
          <w:sz w:val="24"/>
          <w:szCs w:val="24"/>
          <w:lang w:val="es-ES"/>
        </w:rPr>
        <w:t xml:space="preserve">rdinario </w:t>
      </w:r>
      <w:r w:rsidR="0068304C" w:rsidRPr="00D233AE">
        <w:rPr>
          <w:rFonts w:eastAsia="Arial" w:cs="Arial"/>
          <w:sz w:val="24"/>
          <w:szCs w:val="24"/>
          <w:lang w:val="es-ES"/>
        </w:rPr>
        <w:t>S</w:t>
      </w:r>
      <w:r w:rsidR="007936B8" w:rsidRPr="00D233AE">
        <w:rPr>
          <w:rFonts w:eastAsia="Arial" w:cs="Arial"/>
          <w:sz w:val="24"/>
          <w:szCs w:val="24"/>
          <w:lang w:val="es-ES"/>
        </w:rPr>
        <w:t xml:space="preserve">ancionador </w:t>
      </w:r>
      <w:r w:rsidR="007936B8" w:rsidRPr="00D233AE">
        <w:rPr>
          <w:rFonts w:eastAsia="Arial" w:cs="Arial"/>
          <w:b/>
          <w:bCs/>
          <w:sz w:val="24"/>
          <w:szCs w:val="24"/>
          <w:lang w:val="es-ES"/>
        </w:rPr>
        <w:t>IEM-POS-0</w:t>
      </w:r>
      <w:r w:rsidR="009D4AD0" w:rsidRPr="00D233AE">
        <w:rPr>
          <w:rFonts w:eastAsia="Arial" w:cs="Arial"/>
          <w:b/>
          <w:bCs/>
          <w:sz w:val="24"/>
          <w:szCs w:val="24"/>
          <w:lang w:val="es-ES"/>
        </w:rPr>
        <w:t>5</w:t>
      </w:r>
      <w:r w:rsidR="007936B8" w:rsidRPr="00D233AE">
        <w:rPr>
          <w:rFonts w:eastAsia="Arial" w:cs="Arial"/>
          <w:b/>
          <w:bCs/>
          <w:sz w:val="24"/>
          <w:szCs w:val="24"/>
          <w:lang w:val="es-ES"/>
        </w:rPr>
        <w:t>/2025</w:t>
      </w:r>
      <w:r w:rsidR="007936B8" w:rsidRPr="00D233AE">
        <w:rPr>
          <w:rFonts w:eastAsia="Arial" w:cs="Arial"/>
          <w:sz w:val="24"/>
          <w:szCs w:val="24"/>
          <w:lang w:val="es-ES"/>
        </w:rPr>
        <w:t>.</w:t>
      </w:r>
    </w:p>
    <w:p w14:paraId="26F0BD17" w14:textId="77777777" w:rsidR="00430C34" w:rsidRPr="00D233AE" w:rsidRDefault="00430C34" w:rsidP="00C85EC2">
      <w:pPr>
        <w:suppressAutoHyphens/>
        <w:spacing w:line="360" w:lineRule="auto"/>
        <w:jc w:val="both"/>
        <w:rPr>
          <w:rFonts w:cs="Arial"/>
          <w:b/>
          <w:sz w:val="24"/>
          <w:szCs w:val="24"/>
          <w:lang w:eastAsia="es-ES"/>
        </w:rPr>
      </w:pPr>
    </w:p>
    <w:p w14:paraId="7C92F0FF" w14:textId="77777777" w:rsidR="00430C34" w:rsidRPr="00D233AE" w:rsidRDefault="00430C34" w:rsidP="00C85EC2">
      <w:pPr>
        <w:suppressAutoHyphens/>
        <w:spacing w:line="360" w:lineRule="auto"/>
        <w:jc w:val="both"/>
        <w:rPr>
          <w:rFonts w:cs="Arial"/>
          <w:b/>
          <w:sz w:val="24"/>
          <w:szCs w:val="24"/>
          <w:lang w:eastAsia="es-ES"/>
        </w:rPr>
      </w:pPr>
      <w:r w:rsidRPr="00D233AE">
        <w:rPr>
          <w:rFonts w:cs="Arial"/>
          <w:b/>
          <w:sz w:val="24"/>
          <w:szCs w:val="24"/>
          <w:lang w:eastAsia="es-ES"/>
        </w:rPr>
        <w:t xml:space="preserve">NOTIFÍQUESE. Personalmente </w:t>
      </w:r>
      <w:r w:rsidRPr="00D233AE">
        <w:rPr>
          <w:rFonts w:cs="Arial"/>
          <w:sz w:val="24"/>
          <w:szCs w:val="24"/>
          <w:lang w:eastAsia="es-ES"/>
        </w:rPr>
        <w:t>a</w:t>
      </w:r>
      <w:r w:rsidR="00AD0DE9" w:rsidRPr="00D233AE">
        <w:rPr>
          <w:rFonts w:cs="Arial"/>
          <w:sz w:val="24"/>
          <w:szCs w:val="24"/>
          <w:lang w:eastAsia="es-ES"/>
        </w:rPr>
        <w:t>l partido</w:t>
      </w:r>
      <w:r w:rsidRPr="00D233AE">
        <w:rPr>
          <w:rFonts w:cs="Arial"/>
          <w:sz w:val="24"/>
          <w:szCs w:val="24"/>
          <w:lang w:eastAsia="es-ES"/>
        </w:rPr>
        <w:t xml:space="preserve"> </w:t>
      </w:r>
      <w:r w:rsidR="00AD0DE9" w:rsidRPr="00D233AE">
        <w:rPr>
          <w:rFonts w:cs="Arial"/>
          <w:sz w:val="24"/>
          <w:szCs w:val="24"/>
          <w:lang w:eastAsia="es-ES"/>
        </w:rPr>
        <w:t>a</w:t>
      </w:r>
      <w:r w:rsidRPr="00D233AE">
        <w:rPr>
          <w:rFonts w:cs="Arial"/>
          <w:sz w:val="24"/>
          <w:szCs w:val="24"/>
          <w:lang w:eastAsia="es-ES"/>
        </w:rPr>
        <w:t xml:space="preserve">pelante; </w:t>
      </w:r>
      <w:r w:rsidRPr="00D233AE">
        <w:rPr>
          <w:rFonts w:cs="Arial"/>
          <w:b/>
          <w:sz w:val="24"/>
          <w:szCs w:val="24"/>
          <w:lang w:eastAsia="es-ES"/>
        </w:rPr>
        <w:t xml:space="preserve">por oficio </w:t>
      </w:r>
      <w:r w:rsidR="00A056BE" w:rsidRPr="00D233AE">
        <w:rPr>
          <w:rFonts w:eastAsia="Arial" w:cs="Arial"/>
          <w:sz w:val="24"/>
          <w:szCs w:val="24"/>
          <w:lang w:val="es-ES"/>
        </w:rPr>
        <w:t xml:space="preserve">a la autoridad responsable -por conducto de la Secretaría Ejecutiva-; y, </w:t>
      </w:r>
      <w:r w:rsidRPr="00D233AE">
        <w:rPr>
          <w:rFonts w:cs="Arial"/>
          <w:sz w:val="24"/>
          <w:szCs w:val="24"/>
          <w:lang w:eastAsia="es-ES"/>
        </w:rPr>
        <w:t>por</w:t>
      </w:r>
      <w:r w:rsidRPr="00D233AE">
        <w:rPr>
          <w:rFonts w:cs="Arial"/>
          <w:spacing w:val="1"/>
          <w:sz w:val="24"/>
          <w:szCs w:val="24"/>
          <w:lang w:eastAsia="es-ES"/>
        </w:rPr>
        <w:t xml:space="preserve"> </w:t>
      </w:r>
      <w:r w:rsidRPr="00D233AE">
        <w:rPr>
          <w:rFonts w:cs="Arial"/>
          <w:b/>
          <w:sz w:val="24"/>
          <w:szCs w:val="24"/>
          <w:lang w:eastAsia="es-ES"/>
        </w:rPr>
        <w:t>estrados,</w:t>
      </w:r>
      <w:r w:rsidRPr="00D233AE">
        <w:rPr>
          <w:rFonts w:cs="Arial"/>
          <w:b/>
          <w:spacing w:val="1"/>
          <w:sz w:val="24"/>
          <w:szCs w:val="24"/>
          <w:lang w:eastAsia="es-ES"/>
        </w:rPr>
        <w:t xml:space="preserve"> </w:t>
      </w:r>
      <w:r w:rsidRPr="00D233AE">
        <w:rPr>
          <w:rFonts w:cs="Arial"/>
          <w:sz w:val="24"/>
          <w:szCs w:val="24"/>
          <w:lang w:eastAsia="es-ES"/>
        </w:rPr>
        <w:t>a</w:t>
      </w:r>
      <w:r w:rsidRPr="00D233AE">
        <w:rPr>
          <w:rFonts w:cs="Arial"/>
          <w:spacing w:val="1"/>
          <w:sz w:val="24"/>
          <w:szCs w:val="24"/>
          <w:lang w:eastAsia="es-ES"/>
        </w:rPr>
        <w:t xml:space="preserve"> </w:t>
      </w:r>
      <w:r w:rsidRPr="00D233AE">
        <w:rPr>
          <w:rFonts w:cs="Arial"/>
          <w:sz w:val="24"/>
          <w:szCs w:val="24"/>
          <w:lang w:eastAsia="es-ES"/>
        </w:rPr>
        <w:t>los</w:t>
      </w:r>
      <w:r w:rsidRPr="00D233AE">
        <w:rPr>
          <w:rFonts w:cs="Arial"/>
          <w:spacing w:val="1"/>
          <w:sz w:val="24"/>
          <w:szCs w:val="24"/>
          <w:lang w:eastAsia="es-ES"/>
        </w:rPr>
        <w:t xml:space="preserve"> </w:t>
      </w:r>
      <w:r w:rsidRPr="00D233AE">
        <w:rPr>
          <w:rFonts w:cs="Arial"/>
          <w:sz w:val="24"/>
          <w:szCs w:val="24"/>
          <w:lang w:eastAsia="es-ES"/>
        </w:rPr>
        <w:t>demás</w:t>
      </w:r>
      <w:r w:rsidRPr="00D233AE">
        <w:rPr>
          <w:rFonts w:cs="Arial"/>
          <w:spacing w:val="1"/>
          <w:sz w:val="24"/>
          <w:szCs w:val="24"/>
          <w:lang w:eastAsia="es-ES"/>
        </w:rPr>
        <w:t xml:space="preserve"> </w:t>
      </w:r>
      <w:r w:rsidRPr="00D233AE">
        <w:rPr>
          <w:rFonts w:cs="Arial"/>
          <w:sz w:val="24"/>
          <w:szCs w:val="24"/>
          <w:lang w:eastAsia="es-ES"/>
        </w:rPr>
        <w:t>interesados.</w:t>
      </w:r>
      <w:r w:rsidRPr="00D233AE">
        <w:rPr>
          <w:rFonts w:cs="Arial"/>
          <w:spacing w:val="1"/>
          <w:sz w:val="24"/>
          <w:szCs w:val="24"/>
          <w:lang w:eastAsia="es-ES"/>
        </w:rPr>
        <w:t xml:space="preserve"> L</w:t>
      </w:r>
      <w:r w:rsidRPr="00D233AE">
        <w:rPr>
          <w:rFonts w:cs="Arial"/>
          <w:bCs/>
          <w:sz w:val="24"/>
          <w:szCs w:val="24"/>
          <w:lang w:eastAsia="es-ES"/>
        </w:rPr>
        <w:t>o anterior, con fundamento en los artículos 37 fracciones I, II y III; 38 y 39 de la Ley de Justicia en Materia Electoral y de Participación Ciudadana del Estado de Michoacán de Ocampo; así como los numerales 137</w:t>
      </w:r>
      <w:r w:rsidR="005F0D84" w:rsidRPr="00D233AE">
        <w:rPr>
          <w:rFonts w:cs="Arial"/>
          <w:bCs/>
          <w:sz w:val="24"/>
          <w:szCs w:val="24"/>
          <w:lang w:eastAsia="es-ES"/>
        </w:rPr>
        <w:t xml:space="preserve"> párrafo primero</w:t>
      </w:r>
      <w:r w:rsidRPr="00D233AE">
        <w:rPr>
          <w:rFonts w:cs="Arial"/>
          <w:bCs/>
          <w:sz w:val="24"/>
          <w:szCs w:val="24"/>
          <w:lang w:eastAsia="es-ES"/>
        </w:rPr>
        <w:t xml:space="preserve">, 139, 140 y 142 del Reglamento Interior del Tribunal Electoral del Estado. </w:t>
      </w:r>
      <w:r w:rsidRPr="00D233AE">
        <w:rPr>
          <w:rFonts w:eastAsia="Arial" w:cs="Arial"/>
          <w:bCs/>
          <w:sz w:val="24"/>
          <w:szCs w:val="24"/>
          <w:lang w:eastAsia="es-ES"/>
        </w:rPr>
        <w:t>Una vez realizadas las notificaciones, agréguense las mismas a los autos para su debida constancia.</w:t>
      </w:r>
    </w:p>
    <w:p w14:paraId="2C345814" w14:textId="77777777" w:rsidR="00722B24" w:rsidRPr="00D233AE" w:rsidRDefault="00722B24" w:rsidP="00C85EC2">
      <w:pPr>
        <w:suppressAutoHyphens/>
        <w:spacing w:line="360" w:lineRule="auto"/>
        <w:jc w:val="both"/>
        <w:rPr>
          <w:rFonts w:cs="Arial"/>
          <w:bCs/>
          <w:sz w:val="24"/>
          <w:szCs w:val="24"/>
          <w:lang w:eastAsia="es-ES"/>
        </w:rPr>
      </w:pPr>
    </w:p>
    <w:p w14:paraId="6F23D167" w14:textId="77777777" w:rsidR="00DD5624" w:rsidRPr="00D233AE" w:rsidRDefault="00430C34" w:rsidP="00C85EC2">
      <w:pPr>
        <w:tabs>
          <w:tab w:val="left" w:pos="426"/>
          <w:tab w:val="left" w:pos="567"/>
        </w:tabs>
        <w:spacing w:line="360" w:lineRule="auto"/>
        <w:jc w:val="both"/>
        <w:rPr>
          <w:rFonts w:cs="Arial"/>
          <w:b/>
          <w:sz w:val="24"/>
          <w:szCs w:val="24"/>
          <w:lang w:val="es-ES_tradnl" w:eastAsia="en-US"/>
        </w:rPr>
      </w:pPr>
      <w:r w:rsidRPr="00D233AE">
        <w:rPr>
          <w:rFonts w:cs="Arial"/>
          <w:bCs/>
          <w:sz w:val="24"/>
          <w:szCs w:val="24"/>
          <w:lang w:eastAsia="es-ES"/>
        </w:rPr>
        <w:t xml:space="preserve">Así, a las </w:t>
      </w:r>
      <w:r w:rsidR="00D233AE">
        <w:rPr>
          <w:rFonts w:cs="Arial"/>
          <w:bCs/>
          <w:sz w:val="24"/>
          <w:szCs w:val="24"/>
          <w:lang w:eastAsia="es-ES"/>
        </w:rPr>
        <w:t>trece</w:t>
      </w:r>
      <w:r w:rsidRPr="00D233AE">
        <w:rPr>
          <w:rFonts w:cs="Arial"/>
          <w:bCs/>
          <w:sz w:val="24"/>
          <w:szCs w:val="24"/>
          <w:lang w:eastAsia="es-ES"/>
        </w:rPr>
        <w:t xml:space="preserve"> horas con </w:t>
      </w:r>
      <w:r w:rsidR="00D233AE">
        <w:rPr>
          <w:rFonts w:cs="Arial"/>
          <w:bCs/>
          <w:sz w:val="24"/>
          <w:szCs w:val="24"/>
          <w:lang w:eastAsia="es-ES"/>
        </w:rPr>
        <w:t xml:space="preserve">treinta y tres </w:t>
      </w:r>
      <w:r w:rsidRPr="00D233AE">
        <w:rPr>
          <w:rFonts w:cs="Arial"/>
          <w:bCs/>
          <w:sz w:val="24"/>
          <w:szCs w:val="24"/>
          <w:lang w:eastAsia="es-ES"/>
        </w:rPr>
        <w:t xml:space="preserve">minutos del </w:t>
      </w:r>
      <w:r w:rsidR="00D233AE">
        <w:rPr>
          <w:rFonts w:cs="Arial"/>
          <w:bCs/>
          <w:sz w:val="24"/>
          <w:szCs w:val="24"/>
          <w:lang w:eastAsia="es-ES"/>
        </w:rPr>
        <w:t xml:space="preserve">dieciocho </w:t>
      </w:r>
      <w:r w:rsidRPr="00D233AE">
        <w:rPr>
          <w:rFonts w:cs="Arial"/>
          <w:bCs/>
          <w:sz w:val="24"/>
          <w:szCs w:val="24"/>
          <w:lang w:eastAsia="es-ES"/>
        </w:rPr>
        <w:t xml:space="preserve">de </w:t>
      </w:r>
      <w:r w:rsidR="001F3F04" w:rsidRPr="00D233AE">
        <w:rPr>
          <w:rFonts w:cs="Arial"/>
          <w:bCs/>
          <w:sz w:val="24"/>
          <w:szCs w:val="24"/>
          <w:lang w:eastAsia="es-ES"/>
        </w:rPr>
        <w:t>septiembre</w:t>
      </w:r>
      <w:r w:rsidRPr="00D233AE">
        <w:rPr>
          <w:rFonts w:cs="Arial"/>
          <w:bCs/>
          <w:sz w:val="24"/>
          <w:szCs w:val="24"/>
          <w:lang w:eastAsia="es-ES"/>
        </w:rPr>
        <w:t xml:space="preserve"> de dos mil veintic</w:t>
      </w:r>
      <w:r w:rsidR="005F0D84" w:rsidRPr="00D233AE">
        <w:rPr>
          <w:rFonts w:cs="Arial"/>
          <w:bCs/>
          <w:sz w:val="24"/>
          <w:szCs w:val="24"/>
          <w:lang w:eastAsia="es-ES"/>
        </w:rPr>
        <w:t>inco</w:t>
      </w:r>
      <w:r w:rsidRPr="00D233AE">
        <w:rPr>
          <w:rFonts w:cs="Arial"/>
          <w:bCs/>
          <w:sz w:val="24"/>
          <w:szCs w:val="24"/>
          <w:lang w:eastAsia="es-ES"/>
        </w:rPr>
        <w:t xml:space="preserve">, en Sesión Pública, por </w:t>
      </w:r>
      <w:r w:rsidR="00D233AE">
        <w:rPr>
          <w:rFonts w:cs="Arial"/>
          <w:bCs/>
          <w:sz w:val="24"/>
          <w:szCs w:val="24"/>
          <w:lang w:eastAsia="es-ES"/>
        </w:rPr>
        <w:t xml:space="preserve">unanimidad </w:t>
      </w:r>
      <w:r w:rsidRPr="00D233AE">
        <w:rPr>
          <w:rFonts w:cs="Arial"/>
          <w:bCs/>
          <w:sz w:val="24"/>
          <w:szCs w:val="24"/>
          <w:lang w:eastAsia="es-ES"/>
        </w:rPr>
        <w:t xml:space="preserve">de votos, lo resolvieron y firman, los integrantes del Pleno del Tribunal Electoral del Estado, la Magistrada Presidenta </w:t>
      </w:r>
      <w:r w:rsidR="005F12EC" w:rsidRPr="00D233AE">
        <w:rPr>
          <w:rFonts w:cs="Arial"/>
          <w:bCs/>
          <w:sz w:val="24"/>
          <w:szCs w:val="24"/>
          <w:lang w:eastAsia="es-ES"/>
        </w:rPr>
        <w:t>Alma Rosa Bahena Villalobos</w:t>
      </w:r>
      <w:r w:rsidR="00DD5624" w:rsidRPr="00D233AE">
        <w:rPr>
          <w:rFonts w:cs="Arial"/>
          <w:bCs/>
          <w:sz w:val="24"/>
          <w:szCs w:val="24"/>
          <w:lang w:eastAsia="es-ES"/>
        </w:rPr>
        <w:t>,</w:t>
      </w:r>
      <w:r w:rsidR="005F12EC" w:rsidRPr="00D233AE">
        <w:rPr>
          <w:rFonts w:cs="Arial"/>
          <w:bCs/>
          <w:sz w:val="24"/>
          <w:szCs w:val="24"/>
          <w:lang w:eastAsia="es-ES"/>
        </w:rPr>
        <w:t xml:space="preserve"> </w:t>
      </w:r>
      <w:r w:rsidR="00DD5624" w:rsidRPr="00D233AE">
        <w:rPr>
          <w:rFonts w:cs="Arial"/>
          <w:color w:val="000000"/>
          <w:sz w:val="24"/>
          <w:szCs w:val="24"/>
          <w:shd w:val="clear" w:color="auto" w:fill="FFFFFF"/>
          <w:lang w:val="es-ES_tradnl" w:eastAsia="en-US"/>
        </w:rPr>
        <w:t>la</w:t>
      </w:r>
      <w:r w:rsidR="005F0D84" w:rsidRPr="00D233AE">
        <w:rPr>
          <w:rFonts w:cs="Arial"/>
          <w:color w:val="000000"/>
          <w:sz w:val="24"/>
          <w:szCs w:val="24"/>
          <w:shd w:val="clear" w:color="auto" w:fill="FFFFFF"/>
          <w:lang w:val="es-ES_tradnl" w:eastAsia="en-US"/>
        </w:rPr>
        <w:t xml:space="preserve">s </w:t>
      </w:r>
      <w:r w:rsidR="00DD5624" w:rsidRPr="00D233AE">
        <w:rPr>
          <w:rFonts w:cs="Arial"/>
          <w:color w:val="000000"/>
          <w:sz w:val="24"/>
          <w:szCs w:val="24"/>
          <w:shd w:val="clear" w:color="auto" w:fill="FFFFFF"/>
          <w:lang w:val="es-ES_tradnl" w:eastAsia="en-US"/>
        </w:rPr>
        <w:t>Magistrada</w:t>
      </w:r>
      <w:r w:rsidR="005F0D84" w:rsidRPr="00D233AE">
        <w:rPr>
          <w:rFonts w:cs="Arial"/>
          <w:color w:val="000000"/>
          <w:sz w:val="24"/>
          <w:szCs w:val="24"/>
          <w:shd w:val="clear" w:color="auto" w:fill="FFFFFF"/>
          <w:lang w:val="es-ES_tradnl" w:eastAsia="en-US"/>
        </w:rPr>
        <w:t>s</w:t>
      </w:r>
      <w:r w:rsidR="00DD5624" w:rsidRPr="00D233AE">
        <w:rPr>
          <w:rFonts w:cs="Arial"/>
          <w:color w:val="000000"/>
          <w:sz w:val="24"/>
          <w:szCs w:val="24"/>
          <w:shd w:val="clear" w:color="auto" w:fill="FFFFFF"/>
          <w:lang w:val="es-ES_tradnl" w:eastAsia="en-US"/>
        </w:rPr>
        <w:t xml:space="preserve"> Yurisha Andrade Morales</w:t>
      </w:r>
      <w:r w:rsidR="005F0D84" w:rsidRPr="00D233AE">
        <w:rPr>
          <w:rFonts w:cs="Arial"/>
          <w:color w:val="000000"/>
          <w:sz w:val="24"/>
          <w:szCs w:val="24"/>
          <w:shd w:val="clear" w:color="auto" w:fill="FFFFFF"/>
          <w:lang w:val="es-ES_tradnl" w:eastAsia="en-US"/>
        </w:rPr>
        <w:t xml:space="preserve"> </w:t>
      </w:r>
      <w:r w:rsidR="00DD5624" w:rsidRPr="00D233AE">
        <w:rPr>
          <w:rFonts w:cs="Arial"/>
          <w:i/>
          <w:iCs/>
          <w:color w:val="000000"/>
          <w:sz w:val="24"/>
          <w:szCs w:val="24"/>
          <w:shd w:val="clear" w:color="auto" w:fill="FFFFFF"/>
          <w:lang w:val="es-ES_tradnl" w:eastAsia="en-US"/>
        </w:rPr>
        <w:t>-quien fue ponente-</w:t>
      </w:r>
      <w:r w:rsidR="00DD5624" w:rsidRPr="00D233AE">
        <w:rPr>
          <w:rFonts w:cs="Arial"/>
          <w:color w:val="000000"/>
          <w:sz w:val="24"/>
          <w:szCs w:val="24"/>
          <w:shd w:val="clear" w:color="auto" w:fill="FFFFFF"/>
          <w:lang w:val="es-ES_tradnl" w:eastAsia="en-US"/>
        </w:rPr>
        <w:t xml:space="preserve">, </w:t>
      </w:r>
      <w:r w:rsidR="00FD6DC5" w:rsidRPr="00D233AE">
        <w:rPr>
          <w:rFonts w:cs="Arial"/>
          <w:color w:val="000000"/>
          <w:sz w:val="24"/>
          <w:szCs w:val="24"/>
          <w:shd w:val="clear" w:color="auto" w:fill="FFFFFF"/>
          <w:lang w:val="es-ES_tradnl" w:eastAsia="en-US"/>
        </w:rPr>
        <w:t xml:space="preserve">y </w:t>
      </w:r>
      <w:r w:rsidR="0051485A" w:rsidRPr="00D233AE">
        <w:rPr>
          <w:rFonts w:cs="Arial"/>
          <w:color w:val="000000"/>
          <w:sz w:val="24"/>
          <w:szCs w:val="24"/>
          <w:shd w:val="clear" w:color="auto" w:fill="FFFFFF"/>
          <w:lang w:val="es-ES_tradnl" w:eastAsia="en-US"/>
        </w:rPr>
        <w:t xml:space="preserve">Amelí Gissel Navarro Lepe y </w:t>
      </w:r>
      <w:r w:rsidR="00DD5624" w:rsidRPr="00D233AE">
        <w:rPr>
          <w:rFonts w:cs="Arial"/>
          <w:color w:val="000000"/>
          <w:sz w:val="24"/>
          <w:szCs w:val="24"/>
          <w:shd w:val="clear" w:color="auto" w:fill="FFFFFF"/>
          <w:lang w:val="es-ES_tradnl" w:eastAsia="en-US"/>
        </w:rPr>
        <w:t>los Magistrados Adrián Hernández Pinedo y Eric López Villaseñor, ante el Secretario General de Acuerdos, Gerardo Maldonado Tadeo, quien autoriza y da fe.</w:t>
      </w:r>
      <w:r w:rsidR="00DD5624" w:rsidRPr="00D233AE">
        <w:rPr>
          <w:rFonts w:cs="Arial"/>
          <w:bCs/>
          <w:sz w:val="24"/>
          <w:szCs w:val="24"/>
          <w:lang w:val="es-ES_tradnl" w:eastAsia="en-US"/>
        </w:rPr>
        <w:t xml:space="preserve"> </w:t>
      </w:r>
      <w:r w:rsidR="00DD5624" w:rsidRPr="00D233AE">
        <w:rPr>
          <w:rFonts w:cs="Arial"/>
          <w:b/>
          <w:sz w:val="24"/>
          <w:szCs w:val="24"/>
          <w:lang w:val="es-ES_tradnl" w:eastAsia="en-US"/>
        </w:rPr>
        <w:t>Conste.</w:t>
      </w:r>
    </w:p>
    <w:p w14:paraId="4C2549F6" w14:textId="77777777" w:rsidR="00E05FC6" w:rsidRPr="00D233AE" w:rsidRDefault="00E05FC6" w:rsidP="00C85EC2">
      <w:pPr>
        <w:tabs>
          <w:tab w:val="left" w:pos="426"/>
          <w:tab w:val="left" w:pos="567"/>
        </w:tabs>
        <w:spacing w:line="360" w:lineRule="auto"/>
        <w:jc w:val="both"/>
        <w:rPr>
          <w:rFonts w:cs="Arial"/>
          <w:b/>
          <w:sz w:val="24"/>
          <w:szCs w:val="24"/>
          <w:lang w:val="es-ES_tradnl" w:eastAsia="en-US"/>
        </w:rPr>
      </w:pPr>
    </w:p>
    <w:tbl>
      <w:tblPr>
        <w:tblW w:w="0" w:type="auto"/>
        <w:jc w:val="center"/>
        <w:tblLook w:val="04A0" w:firstRow="1" w:lastRow="0" w:firstColumn="1" w:lastColumn="0" w:noHBand="0" w:noVBand="1"/>
      </w:tblPr>
      <w:tblGrid>
        <w:gridCol w:w="4294"/>
        <w:gridCol w:w="4060"/>
      </w:tblGrid>
      <w:tr w:rsidR="00DD5624" w:rsidRPr="00D233AE" w14:paraId="2FBB029C" w14:textId="77777777" w:rsidTr="00BD585F">
        <w:trPr>
          <w:jc w:val="center"/>
        </w:trPr>
        <w:tc>
          <w:tcPr>
            <w:tcW w:w="8354" w:type="dxa"/>
            <w:gridSpan w:val="2"/>
          </w:tcPr>
          <w:p w14:paraId="4D9351C9" w14:textId="77777777" w:rsidR="00BB56C2" w:rsidRDefault="00BB56C2" w:rsidP="00C22634">
            <w:pPr>
              <w:jc w:val="center"/>
              <w:rPr>
                <w:rFonts w:cs="Arial"/>
                <w:b/>
                <w:sz w:val="24"/>
                <w:szCs w:val="24"/>
                <w:lang w:val="es-ES_tradnl" w:eastAsia="en-US"/>
              </w:rPr>
            </w:pPr>
          </w:p>
          <w:p w14:paraId="27B569AF" w14:textId="77777777" w:rsidR="00DD5624" w:rsidRPr="00D233AE" w:rsidRDefault="00DD5624" w:rsidP="00C22634">
            <w:pPr>
              <w:jc w:val="center"/>
              <w:rPr>
                <w:rFonts w:cs="Arial"/>
                <w:b/>
                <w:sz w:val="24"/>
                <w:szCs w:val="24"/>
                <w:lang w:val="es-ES_tradnl" w:eastAsia="en-US"/>
              </w:rPr>
            </w:pPr>
            <w:r w:rsidRPr="00D233AE">
              <w:rPr>
                <w:rFonts w:cs="Arial"/>
                <w:b/>
                <w:sz w:val="24"/>
                <w:szCs w:val="24"/>
                <w:lang w:val="es-ES_tradnl" w:eastAsia="en-US"/>
              </w:rPr>
              <w:t>MAGISTRADA PRESIDENTA</w:t>
            </w:r>
          </w:p>
          <w:p w14:paraId="75A413FF" w14:textId="77777777" w:rsidR="00DD5624" w:rsidRPr="00D233AE" w:rsidRDefault="00DD5624" w:rsidP="00C22634">
            <w:pPr>
              <w:jc w:val="center"/>
              <w:rPr>
                <w:rFonts w:cs="Arial"/>
                <w:b/>
                <w:sz w:val="24"/>
                <w:szCs w:val="24"/>
                <w:lang w:val="es-ES_tradnl" w:eastAsia="en-US"/>
              </w:rPr>
            </w:pPr>
          </w:p>
          <w:p w14:paraId="32A00B08" w14:textId="77777777" w:rsidR="00DD5624" w:rsidRPr="00D233AE" w:rsidRDefault="00DD5624" w:rsidP="00C22634">
            <w:pPr>
              <w:jc w:val="center"/>
              <w:rPr>
                <w:rFonts w:cs="Arial"/>
                <w:b/>
                <w:sz w:val="24"/>
                <w:szCs w:val="24"/>
                <w:lang w:val="es-ES_tradnl" w:eastAsia="en-US"/>
              </w:rPr>
            </w:pPr>
          </w:p>
          <w:p w14:paraId="40D4133D" w14:textId="77777777" w:rsidR="009641A0" w:rsidRPr="00D233AE" w:rsidRDefault="009641A0" w:rsidP="00C22634">
            <w:pPr>
              <w:jc w:val="center"/>
              <w:rPr>
                <w:rFonts w:cs="Arial"/>
                <w:b/>
                <w:sz w:val="24"/>
                <w:szCs w:val="24"/>
                <w:lang w:val="es-ES_tradnl" w:eastAsia="en-US"/>
              </w:rPr>
            </w:pPr>
          </w:p>
          <w:p w14:paraId="22F2E321" w14:textId="77777777" w:rsidR="009641A0" w:rsidRPr="00D233AE" w:rsidRDefault="009641A0" w:rsidP="00C22634">
            <w:pPr>
              <w:jc w:val="center"/>
              <w:rPr>
                <w:rFonts w:cs="Arial"/>
                <w:b/>
                <w:sz w:val="24"/>
                <w:szCs w:val="24"/>
                <w:lang w:val="es-ES_tradnl" w:eastAsia="en-US"/>
              </w:rPr>
            </w:pPr>
          </w:p>
          <w:p w14:paraId="5B0025E7" w14:textId="77777777" w:rsidR="00DD5624" w:rsidRPr="00D233AE" w:rsidRDefault="00DD5624" w:rsidP="00C22634">
            <w:pPr>
              <w:jc w:val="center"/>
              <w:rPr>
                <w:rFonts w:cs="Arial"/>
                <w:b/>
                <w:sz w:val="24"/>
                <w:szCs w:val="24"/>
                <w:lang w:val="es-ES_tradnl" w:eastAsia="en-US"/>
              </w:rPr>
            </w:pPr>
            <w:r w:rsidRPr="00D233AE">
              <w:rPr>
                <w:rFonts w:cs="Arial"/>
                <w:b/>
                <w:sz w:val="24"/>
                <w:szCs w:val="24"/>
                <w:lang w:val="es-ES_tradnl" w:eastAsia="en-US"/>
              </w:rPr>
              <w:t>ALMA ROSA BAHENA VILLALOBOS</w:t>
            </w:r>
          </w:p>
        </w:tc>
      </w:tr>
      <w:tr w:rsidR="00DD5624" w:rsidRPr="00D233AE" w14:paraId="7C8374FF" w14:textId="77777777" w:rsidTr="00BD585F">
        <w:trPr>
          <w:jc w:val="center"/>
        </w:trPr>
        <w:tc>
          <w:tcPr>
            <w:tcW w:w="4294" w:type="dxa"/>
          </w:tcPr>
          <w:p w14:paraId="345FDF88" w14:textId="77777777" w:rsidR="00E41EDF" w:rsidRPr="00D233AE" w:rsidRDefault="00E41EDF" w:rsidP="00C22634">
            <w:pPr>
              <w:jc w:val="center"/>
              <w:rPr>
                <w:rFonts w:cs="Arial"/>
                <w:b/>
                <w:sz w:val="24"/>
                <w:szCs w:val="24"/>
                <w:lang w:val="es-ES_tradnl" w:eastAsia="en-US"/>
              </w:rPr>
            </w:pPr>
          </w:p>
          <w:p w14:paraId="5D0F3B79" w14:textId="77777777" w:rsidR="00E41EDF" w:rsidRPr="00D233AE" w:rsidRDefault="00E41EDF" w:rsidP="00C22634">
            <w:pPr>
              <w:jc w:val="center"/>
              <w:rPr>
                <w:rFonts w:cs="Arial"/>
                <w:b/>
                <w:sz w:val="24"/>
                <w:szCs w:val="24"/>
                <w:lang w:val="es-ES_tradnl" w:eastAsia="en-US"/>
              </w:rPr>
            </w:pPr>
          </w:p>
          <w:p w14:paraId="2C696D58" w14:textId="77777777" w:rsidR="009641A0" w:rsidRPr="00D233AE" w:rsidRDefault="009641A0" w:rsidP="00C22634">
            <w:pPr>
              <w:jc w:val="center"/>
              <w:rPr>
                <w:rFonts w:cs="Arial"/>
                <w:b/>
                <w:sz w:val="24"/>
                <w:szCs w:val="24"/>
                <w:lang w:val="es-ES_tradnl" w:eastAsia="en-US"/>
              </w:rPr>
            </w:pPr>
          </w:p>
          <w:p w14:paraId="6394A162" w14:textId="77777777" w:rsidR="00BB56C2" w:rsidRDefault="00BB56C2" w:rsidP="00C22634">
            <w:pPr>
              <w:jc w:val="center"/>
              <w:rPr>
                <w:rFonts w:cs="Arial"/>
                <w:b/>
                <w:sz w:val="24"/>
                <w:szCs w:val="24"/>
                <w:lang w:val="es-ES_tradnl" w:eastAsia="en-US"/>
              </w:rPr>
            </w:pPr>
          </w:p>
          <w:p w14:paraId="58001354" w14:textId="77777777" w:rsidR="00DD5624" w:rsidRPr="00D233AE" w:rsidRDefault="00DD5624" w:rsidP="00C22634">
            <w:pPr>
              <w:jc w:val="center"/>
              <w:rPr>
                <w:rFonts w:cs="Arial"/>
                <w:b/>
                <w:sz w:val="24"/>
                <w:szCs w:val="24"/>
                <w:lang w:val="es-ES_tradnl" w:eastAsia="en-US"/>
              </w:rPr>
            </w:pPr>
            <w:r w:rsidRPr="00D233AE">
              <w:rPr>
                <w:rFonts w:cs="Arial"/>
                <w:b/>
                <w:sz w:val="24"/>
                <w:szCs w:val="24"/>
                <w:lang w:val="es-ES_tradnl" w:eastAsia="en-US"/>
              </w:rPr>
              <w:t>MAGISTRADA</w:t>
            </w:r>
          </w:p>
          <w:p w14:paraId="15F2587B" w14:textId="77777777" w:rsidR="00DD5624" w:rsidRPr="00D233AE" w:rsidRDefault="00DD5624" w:rsidP="00C22634">
            <w:pPr>
              <w:jc w:val="center"/>
              <w:rPr>
                <w:rFonts w:cs="Arial"/>
                <w:b/>
                <w:sz w:val="24"/>
                <w:szCs w:val="24"/>
                <w:lang w:val="es-ES_tradnl" w:eastAsia="en-US"/>
              </w:rPr>
            </w:pPr>
          </w:p>
          <w:p w14:paraId="0D392DCB" w14:textId="77777777" w:rsidR="00DD5624" w:rsidRPr="00D233AE" w:rsidRDefault="00DD5624" w:rsidP="00C22634">
            <w:pPr>
              <w:jc w:val="center"/>
              <w:rPr>
                <w:rFonts w:cs="Arial"/>
                <w:b/>
                <w:sz w:val="24"/>
                <w:szCs w:val="24"/>
                <w:lang w:val="es-ES_tradnl" w:eastAsia="en-US"/>
              </w:rPr>
            </w:pPr>
          </w:p>
          <w:p w14:paraId="659E86AE" w14:textId="77777777" w:rsidR="00DD5624" w:rsidRPr="00D233AE" w:rsidRDefault="00DD5624" w:rsidP="00C22634">
            <w:pPr>
              <w:jc w:val="center"/>
              <w:rPr>
                <w:rFonts w:cs="Arial"/>
                <w:b/>
                <w:sz w:val="24"/>
                <w:szCs w:val="24"/>
                <w:lang w:val="es-ES_tradnl" w:eastAsia="en-US"/>
              </w:rPr>
            </w:pPr>
          </w:p>
          <w:p w14:paraId="0DA1BB6C" w14:textId="77777777" w:rsidR="009641A0" w:rsidRPr="00D233AE" w:rsidRDefault="009641A0" w:rsidP="00C22634">
            <w:pPr>
              <w:jc w:val="center"/>
              <w:rPr>
                <w:rFonts w:cs="Arial"/>
                <w:b/>
                <w:sz w:val="24"/>
                <w:szCs w:val="24"/>
                <w:lang w:val="es-ES_tradnl" w:eastAsia="en-US"/>
              </w:rPr>
            </w:pPr>
          </w:p>
          <w:p w14:paraId="109FDB87" w14:textId="77777777" w:rsidR="00DD5624" w:rsidRPr="00D233AE" w:rsidRDefault="00DD5624" w:rsidP="00C22634">
            <w:pPr>
              <w:jc w:val="center"/>
              <w:rPr>
                <w:rFonts w:cs="Arial"/>
                <w:b/>
                <w:sz w:val="24"/>
                <w:szCs w:val="24"/>
                <w:lang w:val="es-ES_tradnl" w:eastAsia="en-US"/>
              </w:rPr>
            </w:pPr>
            <w:r w:rsidRPr="00D233AE">
              <w:rPr>
                <w:rFonts w:cs="Arial"/>
                <w:b/>
                <w:sz w:val="24"/>
                <w:szCs w:val="24"/>
                <w:lang w:val="es-ES_tradnl" w:eastAsia="en-US"/>
              </w:rPr>
              <w:t>YURISHA ANDRADE MORALES</w:t>
            </w:r>
          </w:p>
        </w:tc>
        <w:tc>
          <w:tcPr>
            <w:tcW w:w="4060" w:type="dxa"/>
          </w:tcPr>
          <w:p w14:paraId="5FB593D9" w14:textId="77777777" w:rsidR="00E41EDF" w:rsidRPr="00D233AE" w:rsidRDefault="00E41EDF" w:rsidP="00C22634">
            <w:pPr>
              <w:jc w:val="center"/>
              <w:rPr>
                <w:rFonts w:cs="Arial"/>
                <w:b/>
                <w:sz w:val="24"/>
                <w:szCs w:val="24"/>
                <w:lang w:val="es-ES_tradnl" w:eastAsia="en-US"/>
              </w:rPr>
            </w:pPr>
          </w:p>
          <w:p w14:paraId="53F5C273" w14:textId="77777777" w:rsidR="00E41EDF" w:rsidRPr="00D233AE" w:rsidRDefault="00E41EDF" w:rsidP="00C22634">
            <w:pPr>
              <w:jc w:val="center"/>
              <w:rPr>
                <w:rFonts w:cs="Arial"/>
                <w:b/>
                <w:sz w:val="24"/>
                <w:szCs w:val="24"/>
                <w:lang w:val="es-ES_tradnl" w:eastAsia="en-US"/>
              </w:rPr>
            </w:pPr>
          </w:p>
          <w:p w14:paraId="16318EB8" w14:textId="77777777" w:rsidR="009641A0" w:rsidRPr="00D233AE" w:rsidRDefault="009641A0" w:rsidP="00C22634">
            <w:pPr>
              <w:jc w:val="center"/>
              <w:rPr>
                <w:rFonts w:cs="Arial"/>
                <w:b/>
                <w:sz w:val="24"/>
                <w:szCs w:val="24"/>
                <w:lang w:val="es-ES_tradnl" w:eastAsia="en-US"/>
              </w:rPr>
            </w:pPr>
          </w:p>
          <w:p w14:paraId="063CF3A0" w14:textId="77777777" w:rsidR="00BB56C2" w:rsidRDefault="00BB56C2" w:rsidP="00C22634">
            <w:pPr>
              <w:jc w:val="center"/>
              <w:rPr>
                <w:rFonts w:cs="Arial"/>
                <w:b/>
                <w:sz w:val="24"/>
                <w:szCs w:val="24"/>
                <w:lang w:val="es-ES_tradnl" w:eastAsia="en-US"/>
              </w:rPr>
            </w:pPr>
          </w:p>
          <w:p w14:paraId="6B5AFF3D" w14:textId="77777777" w:rsidR="00DD5624" w:rsidRPr="00D233AE" w:rsidRDefault="00DD5624" w:rsidP="00C22634">
            <w:pPr>
              <w:jc w:val="center"/>
              <w:rPr>
                <w:rFonts w:cs="Arial"/>
                <w:b/>
                <w:sz w:val="24"/>
                <w:szCs w:val="24"/>
                <w:lang w:val="es-ES_tradnl" w:eastAsia="en-US"/>
              </w:rPr>
            </w:pPr>
            <w:r w:rsidRPr="00D233AE">
              <w:rPr>
                <w:rFonts w:cs="Arial"/>
                <w:b/>
                <w:sz w:val="24"/>
                <w:szCs w:val="24"/>
                <w:lang w:val="es-ES_tradnl" w:eastAsia="en-US"/>
              </w:rPr>
              <w:t>MAGISTRADO</w:t>
            </w:r>
          </w:p>
          <w:p w14:paraId="1CFEB741" w14:textId="77777777" w:rsidR="00DD5624" w:rsidRPr="00D233AE" w:rsidRDefault="00DD5624" w:rsidP="00C22634">
            <w:pPr>
              <w:jc w:val="center"/>
              <w:rPr>
                <w:rFonts w:cs="Arial"/>
                <w:b/>
                <w:sz w:val="24"/>
                <w:szCs w:val="24"/>
                <w:lang w:val="es-ES_tradnl" w:eastAsia="en-US"/>
              </w:rPr>
            </w:pPr>
          </w:p>
          <w:p w14:paraId="72C90842" w14:textId="77777777" w:rsidR="00DD5624" w:rsidRPr="00D233AE" w:rsidRDefault="00DD5624" w:rsidP="00C22634">
            <w:pPr>
              <w:jc w:val="center"/>
              <w:rPr>
                <w:rFonts w:cs="Arial"/>
                <w:b/>
                <w:sz w:val="24"/>
                <w:szCs w:val="24"/>
                <w:lang w:val="es-ES_tradnl" w:eastAsia="en-US"/>
              </w:rPr>
            </w:pPr>
          </w:p>
          <w:p w14:paraId="254ECF67" w14:textId="77777777" w:rsidR="009641A0" w:rsidRPr="00D233AE" w:rsidRDefault="009641A0" w:rsidP="00C22634">
            <w:pPr>
              <w:jc w:val="center"/>
              <w:rPr>
                <w:rFonts w:cs="Arial"/>
                <w:b/>
                <w:sz w:val="24"/>
                <w:szCs w:val="24"/>
                <w:lang w:val="es-ES_tradnl" w:eastAsia="en-US"/>
              </w:rPr>
            </w:pPr>
          </w:p>
          <w:p w14:paraId="5B776CF8" w14:textId="77777777" w:rsidR="009641A0" w:rsidRPr="00D233AE" w:rsidRDefault="009641A0" w:rsidP="00C22634">
            <w:pPr>
              <w:jc w:val="center"/>
              <w:rPr>
                <w:rFonts w:cs="Arial"/>
                <w:b/>
                <w:sz w:val="24"/>
                <w:szCs w:val="24"/>
                <w:lang w:val="es-ES_tradnl" w:eastAsia="en-US"/>
              </w:rPr>
            </w:pPr>
          </w:p>
          <w:p w14:paraId="0F9C5C09" w14:textId="77777777" w:rsidR="00DD5624" w:rsidRPr="00D233AE" w:rsidRDefault="00DD5624" w:rsidP="00C22634">
            <w:pPr>
              <w:jc w:val="center"/>
              <w:rPr>
                <w:rFonts w:cs="Arial"/>
                <w:b/>
                <w:sz w:val="24"/>
                <w:szCs w:val="24"/>
                <w:lang w:val="es-ES_tradnl" w:eastAsia="en-US"/>
              </w:rPr>
            </w:pPr>
            <w:r w:rsidRPr="00D233AE">
              <w:rPr>
                <w:rFonts w:cs="Arial"/>
                <w:b/>
                <w:sz w:val="24"/>
                <w:szCs w:val="24"/>
                <w:lang w:val="es-ES_tradnl" w:eastAsia="en-US"/>
              </w:rPr>
              <w:t>ADRIÁN HERNÁNDEZ PINEDO</w:t>
            </w:r>
          </w:p>
        </w:tc>
      </w:tr>
      <w:tr w:rsidR="00DD5624" w:rsidRPr="00D233AE" w14:paraId="7BCD0D66" w14:textId="77777777" w:rsidTr="00BD585F">
        <w:trPr>
          <w:jc w:val="center"/>
        </w:trPr>
        <w:tc>
          <w:tcPr>
            <w:tcW w:w="4294" w:type="dxa"/>
          </w:tcPr>
          <w:p w14:paraId="5A2C4F86" w14:textId="77777777" w:rsidR="00922217" w:rsidRPr="00D233AE" w:rsidRDefault="00922217" w:rsidP="00C22634">
            <w:pPr>
              <w:jc w:val="center"/>
              <w:rPr>
                <w:rFonts w:cs="Arial"/>
                <w:b/>
                <w:sz w:val="24"/>
                <w:szCs w:val="24"/>
                <w:lang w:val="es-ES_tradnl" w:eastAsia="en-US"/>
              </w:rPr>
            </w:pPr>
          </w:p>
          <w:p w14:paraId="70F3AF4E" w14:textId="77777777" w:rsidR="00BB56C2" w:rsidRDefault="00BB56C2" w:rsidP="00C22634">
            <w:pPr>
              <w:jc w:val="center"/>
              <w:rPr>
                <w:rFonts w:cs="Arial"/>
                <w:b/>
                <w:sz w:val="24"/>
                <w:szCs w:val="24"/>
                <w:lang w:val="es-ES_tradnl" w:eastAsia="en-US"/>
              </w:rPr>
            </w:pPr>
          </w:p>
          <w:p w14:paraId="4F992531" w14:textId="77777777" w:rsidR="00BB56C2" w:rsidRDefault="00BB56C2" w:rsidP="00C22634">
            <w:pPr>
              <w:jc w:val="center"/>
              <w:rPr>
                <w:rFonts w:cs="Arial"/>
                <w:b/>
                <w:sz w:val="24"/>
                <w:szCs w:val="24"/>
                <w:lang w:val="es-ES_tradnl" w:eastAsia="en-US"/>
              </w:rPr>
            </w:pPr>
          </w:p>
          <w:p w14:paraId="4134AB55" w14:textId="77777777" w:rsidR="00DD5624" w:rsidRPr="00D233AE" w:rsidRDefault="00DD5624" w:rsidP="00C22634">
            <w:pPr>
              <w:jc w:val="center"/>
              <w:rPr>
                <w:rFonts w:cs="Arial"/>
                <w:b/>
                <w:sz w:val="24"/>
                <w:szCs w:val="24"/>
                <w:lang w:val="es-ES_tradnl" w:eastAsia="en-US"/>
              </w:rPr>
            </w:pPr>
            <w:r w:rsidRPr="00D233AE">
              <w:rPr>
                <w:rFonts w:cs="Arial"/>
                <w:b/>
                <w:sz w:val="24"/>
                <w:szCs w:val="24"/>
                <w:lang w:val="es-ES_tradnl" w:eastAsia="en-US"/>
              </w:rPr>
              <w:lastRenderedPageBreak/>
              <w:t>MAGISTRADO</w:t>
            </w:r>
          </w:p>
          <w:p w14:paraId="1C9DB040" w14:textId="77777777" w:rsidR="00DD5624" w:rsidRPr="00D233AE" w:rsidRDefault="00DD5624" w:rsidP="00C22634">
            <w:pPr>
              <w:jc w:val="center"/>
              <w:rPr>
                <w:rFonts w:cs="Arial"/>
                <w:b/>
                <w:sz w:val="24"/>
                <w:szCs w:val="24"/>
                <w:lang w:val="es-ES_tradnl" w:eastAsia="en-US"/>
              </w:rPr>
            </w:pPr>
          </w:p>
          <w:p w14:paraId="687F4EF4" w14:textId="77777777" w:rsidR="00DD5624" w:rsidRPr="00D233AE" w:rsidRDefault="00DD5624" w:rsidP="00C22634">
            <w:pPr>
              <w:jc w:val="center"/>
              <w:rPr>
                <w:rFonts w:cs="Arial"/>
                <w:b/>
                <w:sz w:val="24"/>
                <w:szCs w:val="24"/>
                <w:lang w:val="es-ES_tradnl" w:eastAsia="en-US"/>
              </w:rPr>
            </w:pPr>
          </w:p>
          <w:p w14:paraId="7704E052" w14:textId="77777777" w:rsidR="009641A0" w:rsidRPr="00D233AE" w:rsidRDefault="009641A0" w:rsidP="00C22634">
            <w:pPr>
              <w:jc w:val="center"/>
              <w:rPr>
                <w:rFonts w:cs="Arial"/>
                <w:b/>
                <w:sz w:val="24"/>
                <w:szCs w:val="24"/>
                <w:lang w:val="es-ES_tradnl" w:eastAsia="en-US"/>
              </w:rPr>
            </w:pPr>
          </w:p>
          <w:p w14:paraId="111EA965" w14:textId="77777777" w:rsidR="00DD5624" w:rsidRPr="00D233AE" w:rsidRDefault="00DD5624" w:rsidP="00C22634">
            <w:pPr>
              <w:jc w:val="center"/>
              <w:rPr>
                <w:rFonts w:cs="Arial"/>
                <w:b/>
                <w:sz w:val="24"/>
                <w:szCs w:val="24"/>
                <w:lang w:val="es-ES_tradnl" w:eastAsia="en-US"/>
              </w:rPr>
            </w:pPr>
          </w:p>
          <w:p w14:paraId="6055480E" w14:textId="77777777" w:rsidR="00DD5624" w:rsidRPr="00D233AE" w:rsidRDefault="00DD5624" w:rsidP="00C22634">
            <w:pPr>
              <w:jc w:val="center"/>
              <w:rPr>
                <w:rFonts w:cs="Arial"/>
                <w:b/>
                <w:sz w:val="24"/>
                <w:szCs w:val="24"/>
                <w:lang w:val="es-ES_tradnl" w:eastAsia="en-US"/>
              </w:rPr>
            </w:pPr>
            <w:r w:rsidRPr="00D233AE">
              <w:rPr>
                <w:rFonts w:cs="Arial"/>
                <w:b/>
                <w:sz w:val="24"/>
                <w:szCs w:val="24"/>
                <w:lang w:val="es-ES_tradnl" w:eastAsia="en-US"/>
              </w:rPr>
              <w:t>ERIC LÓPEZ VILLASEÑOR</w:t>
            </w:r>
          </w:p>
        </w:tc>
        <w:tc>
          <w:tcPr>
            <w:tcW w:w="4060" w:type="dxa"/>
          </w:tcPr>
          <w:p w14:paraId="42BA1C0D" w14:textId="77777777" w:rsidR="00922217" w:rsidRPr="00D233AE" w:rsidRDefault="00922217" w:rsidP="00C22634">
            <w:pPr>
              <w:jc w:val="center"/>
              <w:rPr>
                <w:rFonts w:cs="Arial"/>
                <w:b/>
                <w:sz w:val="24"/>
                <w:szCs w:val="24"/>
                <w:lang w:val="it-IT" w:eastAsia="en-US"/>
              </w:rPr>
            </w:pPr>
          </w:p>
          <w:p w14:paraId="78D2E5D4" w14:textId="77777777" w:rsidR="00BB56C2" w:rsidRDefault="00BB56C2" w:rsidP="00C22634">
            <w:pPr>
              <w:jc w:val="center"/>
              <w:rPr>
                <w:rFonts w:cs="Arial"/>
                <w:b/>
                <w:sz w:val="24"/>
                <w:szCs w:val="24"/>
                <w:lang w:val="it-IT" w:eastAsia="en-US"/>
              </w:rPr>
            </w:pPr>
          </w:p>
          <w:p w14:paraId="4DC7DE51" w14:textId="77777777" w:rsidR="00BB56C2" w:rsidRDefault="00BB56C2" w:rsidP="00C22634">
            <w:pPr>
              <w:jc w:val="center"/>
              <w:rPr>
                <w:rFonts w:cs="Arial"/>
                <w:b/>
                <w:sz w:val="24"/>
                <w:szCs w:val="24"/>
                <w:lang w:val="it-IT" w:eastAsia="en-US"/>
              </w:rPr>
            </w:pPr>
          </w:p>
          <w:p w14:paraId="07A89D46" w14:textId="77777777" w:rsidR="00DD5624" w:rsidRPr="00D233AE" w:rsidRDefault="00DD5624" w:rsidP="00C22634">
            <w:pPr>
              <w:jc w:val="center"/>
              <w:rPr>
                <w:rFonts w:cs="Arial"/>
                <w:b/>
                <w:sz w:val="24"/>
                <w:szCs w:val="24"/>
                <w:lang w:val="it-IT" w:eastAsia="en-US"/>
              </w:rPr>
            </w:pPr>
            <w:r w:rsidRPr="00D233AE">
              <w:rPr>
                <w:rFonts w:cs="Arial"/>
                <w:b/>
                <w:sz w:val="24"/>
                <w:szCs w:val="24"/>
                <w:lang w:val="it-IT" w:eastAsia="en-US"/>
              </w:rPr>
              <w:lastRenderedPageBreak/>
              <w:t>MAGISTRADA</w:t>
            </w:r>
          </w:p>
          <w:p w14:paraId="6AA643B8" w14:textId="77777777" w:rsidR="00DD5624" w:rsidRPr="00D233AE" w:rsidRDefault="00DD5624" w:rsidP="00C22634">
            <w:pPr>
              <w:jc w:val="center"/>
              <w:rPr>
                <w:rFonts w:cs="Arial"/>
                <w:b/>
                <w:sz w:val="24"/>
                <w:szCs w:val="24"/>
                <w:lang w:val="it-IT" w:eastAsia="en-US"/>
              </w:rPr>
            </w:pPr>
          </w:p>
          <w:p w14:paraId="0780DA04" w14:textId="77777777" w:rsidR="00DD5624" w:rsidRPr="00D233AE" w:rsidRDefault="00DD5624" w:rsidP="00C22634">
            <w:pPr>
              <w:jc w:val="center"/>
              <w:rPr>
                <w:rFonts w:cs="Arial"/>
                <w:b/>
                <w:sz w:val="24"/>
                <w:szCs w:val="24"/>
                <w:lang w:val="it-IT" w:eastAsia="en-US"/>
              </w:rPr>
            </w:pPr>
          </w:p>
          <w:p w14:paraId="75387BB4" w14:textId="77777777" w:rsidR="009641A0" w:rsidRPr="00D233AE" w:rsidRDefault="009641A0" w:rsidP="00C22634">
            <w:pPr>
              <w:jc w:val="center"/>
              <w:rPr>
                <w:rFonts w:cs="Arial"/>
                <w:b/>
                <w:sz w:val="24"/>
                <w:szCs w:val="24"/>
                <w:lang w:val="it-IT" w:eastAsia="en-US"/>
              </w:rPr>
            </w:pPr>
          </w:p>
          <w:p w14:paraId="12EEA7B2" w14:textId="77777777" w:rsidR="0051485A" w:rsidRPr="00D233AE" w:rsidRDefault="0051485A" w:rsidP="00C22634">
            <w:pPr>
              <w:jc w:val="center"/>
              <w:rPr>
                <w:rFonts w:cs="Arial"/>
                <w:b/>
                <w:sz w:val="24"/>
                <w:szCs w:val="24"/>
                <w:lang w:val="it-IT" w:eastAsia="en-US"/>
              </w:rPr>
            </w:pPr>
          </w:p>
          <w:p w14:paraId="68A42284" w14:textId="77777777" w:rsidR="00DD5624" w:rsidRPr="00D233AE" w:rsidRDefault="00DD5624" w:rsidP="00C22634">
            <w:pPr>
              <w:jc w:val="center"/>
              <w:rPr>
                <w:rFonts w:cs="Arial"/>
                <w:b/>
                <w:sz w:val="24"/>
                <w:szCs w:val="24"/>
                <w:lang w:val="it-IT" w:eastAsia="en-US"/>
              </w:rPr>
            </w:pPr>
            <w:r w:rsidRPr="00D233AE">
              <w:rPr>
                <w:rFonts w:cs="Arial"/>
                <w:b/>
                <w:sz w:val="24"/>
                <w:szCs w:val="24"/>
                <w:lang w:val="it-IT" w:eastAsia="en-US"/>
              </w:rPr>
              <w:t>AMELÍ GISSEL NAVARRO LEPE</w:t>
            </w:r>
          </w:p>
        </w:tc>
      </w:tr>
      <w:tr w:rsidR="00DD5624" w:rsidRPr="00D233AE" w14:paraId="1E898B08" w14:textId="77777777" w:rsidTr="00BD585F">
        <w:trPr>
          <w:jc w:val="center"/>
        </w:trPr>
        <w:tc>
          <w:tcPr>
            <w:tcW w:w="8354" w:type="dxa"/>
            <w:gridSpan w:val="2"/>
          </w:tcPr>
          <w:p w14:paraId="0487EE08" w14:textId="77777777" w:rsidR="00DD5624" w:rsidRDefault="00DD5624" w:rsidP="00C22634">
            <w:pPr>
              <w:jc w:val="center"/>
              <w:rPr>
                <w:rFonts w:cs="Arial"/>
                <w:b/>
                <w:sz w:val="24"/>
                <w:szCs w:val="24"/>
                <w:lang w:val="it-IT" w:eastAsia="en-US"/>
              </w:rPr>
            </w:pPr>
          </w:p>
          <w:p w14:paraId="6DC352A4" w14:textId="77777777" w:rsidR="00BB56C2" w:rsidRPr="00D233AE" w:rsidRDefault="00BB56C2" w:rsidP="00C22634">
            <w:pPr>
              <w:jc w:val="center"/>
              <w:rPr>
                <w:rFonts w:cs="Arial"/>
                <w:b/>
                <w:sz w:val="24"/>
                <w:szCs w:val="24"/>
                <w:lang w:val="it-IT" w:eastAsia="en-US"/>
              </w:rPr>
            </w:pPr>
          </w:p>
          <w:p w14:paraId="79463E15" w14:textId="77777777" w:rsidR="00DD5624" w:rsidRPr="00D233AE" w:rsidRDefault="00DD5624" w:rsidP="00C22634">
            <w:pPr>
              <w:jc w:val="center"/>
              <w:rPr>
                <w:rFonts w:cs="Arial"/>
                <w:b/>
                <w:sz w:val="24"/>
                <w:szCs w:val="24"/>
                <w:lang w:val="it-IT" w:eastAsia="en-US"/>
              </w:rPr>
            </w:pPr>
          </w:p>
          <w:p w14:paraId="16C8AA09" w14:textId="77777777" w:rsidR="00922217" w:rsidRPr="00D233AE" w:rsidRDefault="00922217" w:rsidP="00C22634">
            <w:pPr>
              <w:jc w:val="center"/>
              <w:rPr>
                <w:rFonts w:cs="Arial"/>
                <w:b/>
                <w:sz w:val="24"/>
                <w:szCs w:val="24"/>
                <w:lang w:val="es-ES_tradnl" w:eastAsia="en-US"/>
              </w:rPr>
            </w:pPr>
          </w:p>
          <w:p w14:paraId="2B2FDF3B" w14:textId="77777777" w:rsidR="00DD5624" w:rsidRPr="00D233AE" w:rsidRDefault="00DD5624" w:rsidP="00C22634">
            <w:pPr>
              <w:jc w:val="center"/>
              <w:rPr>
                <w:rFonts w:cs="Arial"/>
                <w:b/>
                <w:sz w:val="24"/>
                <w:szCs w:val="24"/>
                <w:lang w:val="es-ES_tradnl" w:eastAsia="en-US"/>
              </w:rPr>
            </w:pPr>
            <w:r w:rsidRPr="00D233AE">
              <w:rPr>
                <w:rFonts w:cs="Arial"/>
                <w:b/>
                <w:sz w:val="24"/>
                <w:szCs w:val="24"/>
                <w:lang w:val="es-ES_tradnl" w:eastAsia="en-US"/>
              </w:rPr>
              <w:t>SECRETARIO GENERAL DE ACUERDOS</w:t>
            </w:r>
          </w:p>
          <w:p w14:paraId="6693AA9B" w14:textId="77777777" w:rsidR="00DD5624" w:rsidRPr="00D233AE" w:rsidRDefault="00DD5624" w:rsidP="00C22634">
            <w:pPr>
              <w:jc w:val="center"/>
              <w:rPr>
                <w:rFonts w:cs="Arial"/>
                <w:b/>
                <w:sz w:val="24"/>
                <w:szCs w:val="24"/>
                <w:lang w:val="es-ES_tradnl" w:eastAsia="en-US"/>
              </w:rPr>
            </w:pPr>
          </w:p>
          <w:p w14:paraId="4A04E3C9" w14:textId="77777777" w:rsidR="00DD5624" w:rsidRPr="00D233AE" w:rsidRDefault="00DD5624" w:rsidP="00C22634">
            <w:pPr>
              <w:jc w:val="center"/>
              <w:rPr>
                <w:rFonts w:cs="Arial"/>
                <w:b/>
                <w:sz w:val="24"/>
                <w:szCs w:val="24"/>
                <w:lang w:val="es-ES_tradnl" w:eastAsia="en-US"/>
              </w:rPr>
            </w:pPr>
          </w:p>
          <w:p w14:paraId="38A369F1" w14:textId="77777777" w:rsidR="009641A0" w:rsidRPr="00D233AE" w:rsidRDefault="009641A0" w:rsidP="00C22634">
            <w:pPr>
              <w:jc w:val="center"/>
              <w:rPr>
                <w:rFonts w:cs="Arial"/>
                <w:b/>
                <w:sz w:val="24"/>
                <w:szCs w:val="24"/>
                <w:lang w:val="es-ES_tradnl" w:eastAsia="en-US"/>
              </w:rPr>
            </w:pPr>
          </w:p>
          <w:p w14:paraId="702406CF" w14:textId="77777777" w:rsidR="003E1E9B" w:rsidRPr="00D233AE" w:rsidRDefault="003E1E9B" w:rsidP="00C22634">
            <w:pPr>
              <w:jc w:val="center"/>
              <w:rPr>
                <w:rFonts w:cs="Arial"/>
                <w:b/>
                <w:sz w:val="24"/>
                <w:szCs w:val="24"/>
                <w:lang w:val="es-ES_tradnl" w:eastAsia="en-US"/>
              </w:rPr>
            </w:pPr>
          </w:p>
          <w:p w14:paraId="31261F3F" w14:textId="77777777" w:rsidR="00DD5624" w:rsidRPr="00D233AE" w:rsidRDefault="00DD5624" w:rsidP="00C22634">
            <w:pPr>
              <w:jc w:val="center"/>
              <w:rPr>
                <w:rFonts w:cs="Arial"/>
                <w:b/>
                <w:sz w:val="24"/>
                <w:szCs w:val="24"/>
                <w:lang w:val="es-ES_tradnl" w:eastAsia="en-US"/>
              </w:rPr>
            </w:pPr>
            <w:r w:rsidRPr="00D233AE">
              <w:rPr>
                <w:rFonts w:cs="Arial"/>
                <w:b/>
                <w:sz w:val="24"/>
                <w:szCs w:val="24"/>
                <w:lang w:val="es-ES_tradnl" w:eastAsia="en-US"/>
              </w:rPr>
              <w:t>GERARDO MALDONADO TADEO</w:t>
            </w:r>
          </w:p>
        </w:tc>
      </w:tr>
    </w:tbl>
    <w:p w14:paraId="1DA76EE6" w14:textId="77777777" w:rsidR="009641A0" w:rsidRPr="00D233AE" w:rsidRDefault="009641A0" w:rsidP="004F5AE9">
      <w:pPr>
        <w:tabs>
          <w:tab w:val="left" w:pos="426"/>
        </w:tabs>
        <w:spacing w:line="288" w:lineRule="auto"/>
        <w:jc w:val="both"/>
        <w:rPr>
          <w:rFonts w:eastAsia="Calibri" w:cs="Arial"/>
          <w:bCs/>
          <w:sz w:val="20"/>
          <w:szCs w:val="20"/>
          <w:lang w:val="es-ES_tradnl" w:eastAsia="en-US"/>
        </w:rPr>
      </w:pPr>
    </w:p>
    <w:p w14:paraId="3B5641DA" w14:textId="77777777" w:rsidR="00BB46DE" w:rsidRPr="00D233AE" w:rsidRDefault="00BB46DE" w:rsidP="004F5AE9">
      <w:pPr>
        <w:tabs>
          <w:tab w:val="left" w:pos="426"/>
        </w:tabs>
        <w:spacing w:line="288" w:lineRule="auto"/>
        <w:jc w:val="both"/>
        <w:rPr>
          <w:rFonts w:eastAsia="Calibri" w:cs="Arial"/>
          <w:b/>
          <w:sz w:val="20"/>
          <w:szCs w:val="20"/>
          <w:lang w:val="es-ES_tradnl" w:eastAsia="en-US"/>
        </w:rPr>
      </w:pPr>
      <w:r w:rsidRPr="00D233AE">
        <w:rPr>
          <w:rFonts w:eastAsia="Calibri" w:cs="Arial"/>
          <w:bCs/>
          <w:sz w:val="20"/>
          <w:szCs w:val="20"/>
          <w:lang w:val="es-ES_tradnl" w:eastAsia="en-US"/>
        </w:rPr>
        <w:t>El suscrito Gerardo Maldonado Tadeo</w:t>
      </w:r>
      <w:r w:rsidRPr="00D233AE">
        <w:rPr>
          <w:rFonts w:eastAsia="Calibri" w:cs="Arial"/>
          <w:sz w:val="20"/>
          <w:szCs w:val="20"/>
          <w:lang w:val="es-ES_tradnl" w:eastAsia="en-US"/>
        </w:rPr>
        <w:t xml:space="preserve">, Secretario General de Acuerdos del Tribunal Electoral del Estado, en ejercicio de las facultades que me confieren los artículos 69 fracciones VII y VIII del Código Electoral del Estado de Michoacán de Ocampo y 66, fracciones I y II del Reglamento Interior del Tribunal Electoral del Estado, </w:t>
      </w:r>
      <w:r w:rsidRPr="00D233AE">
        <w:rPr>
          <w:rFonts w:eastAsia="Calibri" w:cs="Arial"/>
          <w:bCs/>
          <w:sz w:val="20"/>
          <w:szCs w:val="20"/>
          <w:lang w:val="es-ES_tradnl" w:eastAsia="en-US"/>
        </w:rPr>
        <w:t xml:space="preserve">hago constar que las firmas que </w:t>
      </w:r>
      <w:r w:rsidR="00BB56C2">
        <w:rPr>
          <w:rFonts w:eastAsia="Calibri" w:cs="Arial"/>
          <w:bCs/>
          <w:sz w:val="20"/>
          <w:szCs w:val="20"/>
          <w:lang w:val="es-ES_tradnl" w:eastAsia="en-US"/>
        </w:rPr>
        <w:t>obran en el presente documento</w:t>
      </w:r>
      <w:r w:rsidR="00E41EDF" w:rsidRPr="00D233AE">
        <w:rPr>
          <w:rFonts w:eastAsia="Calibri" w:cs="Arial"/>
          <w:bCs/>
          <w:sz w:val="20"/>
          <w:szCs w:val="20"/>
          <w:lang w:val="es-ES_tradnl" w:eastAsia="en-US"/>
        </w:rPr>
        <w:t xml:space="preserve"> </w:t>
      </w:r>
      <w:r w:rsidRPr="00D233AE">
        <w:rPr>
          <w:rFonts w:eastAsia="Calibri" w:cs="Arial"/>
          <w:bCs/>
          <w:sz w:val="20"/>
          <w:szCs w:val="20"/>
          <w:lang w:val="es-ES_tradnl" w:eastAsia="en-US"/>
        </w:rPr>
        <w:t xml:space="preserve">corresponden a la </w:t>
      </w:r>
      <w:r w:rsidR="00143A4B" w:rsidRPr="00D233AE">
        <w:rPr>
          <w:rFonts w:eastAsia="Calibri" w:cs="Arial"/>
          <w:bCs/>
          <w:sz w:val="20"/>
          <w:szCs w:val="20"/>
          <w:lang w:val="es-ES_tradnl" w:eastAsia="en-US"/>
        </w:rPr>
        <w:t>S</w:t>
      </w:r>
      <w:r w:rsidRPr="00D233AE">
        <w:rPr>
          <w:rFonts w:eastAsia="Calibri" w:cs="Arial"/>
          <w:bCs/>
          <w:sz w:val="20"/>
          <w:szCs w:val="20"/>
          <w:lang w:val="es-ES_tradnl" w:eastAsia="en-US"/>
        </w:rPr>
        <w:t xml:space="preserve">entencia del Recurso de Apelación </w:t>
      </w:r>
      <w:r w:rsidRPr="00D233AE">
        <w:rPr>
          <w:rFonts w:eastAsia="Calibri" w:cs="Arial"/>
          <w:b/>
          <w:sz w:val="20"/>
          <w:szCs w:val="20"/>
          <w:lang w:val="es-ES_tradnl" w:eastAsia="en-US"/>
        </w:rPr>
        <w:t>TEEM-RAP-0</w:t>
      </w:r>
      <w:r w:rsidR="00922217" w:rsidRPr="00D233AE">
        <w:rPr>
          <w:rFonts w:eastAsia="Calibri" w:cs="Arial"/>
          <w:b/>
          <w:sz w:val="20"/>
          <w:szCs w:val="20"/>
          <w:lang w:val="es-ES_tradnl" w:eastAsia="en-US"/>
        </w:rPr>
        <w:t>25</w:t>
      </w:r>
      <w:r w:rsidRPr="00D233AE">
        <w:rPr>
          <w:rFonts w:eastAsia="Calibri" w:cs="Arial"/>
          <w:b/>
          <w:sz w:val="20"/>
          <w:szCs w:val="20"/>
          <w:lang w:val="es-ES_tradnl" w:eastAsia="en-US"/>
        </w:rPr>
        <w:t>/2025</w:t>
      </w:r>
      <w:r w:rsidRPr="00D233AE">
        <w:rPr>
          <w:rFonts w:eastAsia="Calibri" w:cs="Arial"/>
          <w:bCs/>
          <w:sz w:val="20"/>
          <w:szCs w:val="20"/>
          <w:lang w:val="es-ES_tradnl" w:eastAsia="en-US"/>
        </w:rPr>
        <w:t xml:space="preserve">; aprobada en Sesión Pública celebrada el </w:t>
      </w:r>
      <w:r w:rsidR="00D233AE">
        <w:rPr>
          <w:rFonts w:eastAsia="Calibri" w:cs="Arial"/>
          <w:bCs/>
          <w:sz w:val="20"/>
          <w:szCs w:val="20"/>
          <w:lang w:val="es-ES_tradnl" w:eastAsia="en-US"/>
        </w:rPr>
        <w:t xml:space="preserve">dieciocho </w:t>
      </w:r>
      <w:r w:rsidRPr="00D233AE">
        <w:rPr>
          <w:rFonts w:eastAsia="Calibri" w:cs="Arial"/>
          <w:bCs/>
          <w:sz w:val="20"/>
          <w:szCs w:val="20"/>
          <w:lang w:val="es-ES_tradnl" w:eastAsia="en-US"/>
        </w:rPr>
        <w:t xml:space="preserve">de </w:t>
      </w:r>
      <w:r w:rsidR="00922217" w:rsidRPr="00D233AE">
        <w:rPr>
          <w:rFonts w:eastAsia="Calibri" w:cs="Arial"/>
          <w:bCs/>
          <w:sz w:val="20"/>
          <w:szCs w:val="20"/>
          <w:lang w:val="es-ES_tradnl" w:eastAsia="en-US"/>
        </w:rPr>
        <w:t>septiembre</w:t>
      </w:r>
      <w:r w:rsidRPr="00D233AE">
        <w:rPr>
          <w:rFonts w:eastAsia="Calibri" w:cs="Arial"/>
          <w:bCs/>
          <w:sz w:val="20"/>
          <w:szCs w:val="20"/>
          <w:lang w:val="es-ES_tradnl" w:eastAsia="en-US"/>
        </w:rPr>
        <w:t xml:space="preserve"> de dos mil veinticinco, la cual consta de</w:t>
      </w:r>
      <w:r w:rsidR="00E41EDF" w:rsidRPr="00D233AE">
        <w:rPr>
          <w:rFonts w:eastAsia="Calibri" w:cs="Arial"/>
          <w:bCs/>
          <w:sz w:val="20"/>
          <w:szCs w:val="20"/>
          <w:lang w:val="es-ES_tradnl" w:eastAsia="en-US"/>
        </w:rPr>
        <w:t xml:space="preserve"> </w:t>
      </w:r>
      <w:r w:rsidR="00D233AE">
        <w:rPr>
          <w:rFonts w:eastAsia="Calibri" w:cs="Arial"/>
          <w:bCs/>
          <w:sz w:val="20"/>
          <w:szCs w:val="20"/>
          <w:lang w:val="es-ES_tradnl" w:eastAsia="en-US"/>
        </w:rPr>
        <w:t xml:space="preserve">veintiséis </w:t>
      </w:r>
      <w:r w:rsidRPr="00D233AE">
        <w:rPr>
          <w:rFonts w:eastAsia="Calibri" w:cs="Arial"/>
          <w:bCs/>
          <w:sz w:val="20"/>
          <w:szCs w:val="20"/>
          <w:lang w:val="es-ES_tradnl" w:eastAsia="en-US"/>
        </w:rPr>
        <w:t xml:space="preserve">páginas, incluida la presente. </w:t>
      </w:r>
      <w:r w:rsidRPr="00D233AE">
        <w:rPr>
          <w:rFonts w:eastAsia="Calibri" w:cs="Arial"/>
          <w:b/>
          <w:sz w:val="20"/>
          <w:szCs w:val="20"/>
          <w:lang w:val="es-ES_tradnl" w:eastAsia="en-US"/>
        </w:rPr>
        <w:t>Doy fe.</w:t>
      </w:r>
    </w:p>
    <w:p w14:paraId="772908EE" w14:textId="77777777" w:rsidR="004F5AE9" w:rsidRPr="00D233AE" w:rsidRDefault="004F5AE9" w:rsidP="004F5AE9">
      <w:pPr>
        <w:tabs>
          <w:tab w:val="left" w:pos="426"/>
        </w:tabs>
        <w:spacing w:line="288" w:lineRule="auto"/>
        <w:jc w:val="both"/>
        <w:rPr>
          <w:rFonts w:eastAsia="Calibri" w:cs="Arial"/>
          <w:b/>
          <w:sz w:val="20"/>
          <w:szCs w:val="20"/>
          <w:lang w:val="es-ES_tradnl" w:eastAsia="en-US"/>
        </w:rPr>
      </w:pPr>
    </w:p>
    <w:p w14:paraId="7C489043" w14:textId="77777777" w:rsidR="00BB46DE" w:rsidRPr="00AD3EF8" w:rsidRDefault="00BB46DE" w:rsidP="000B4C64">
      <w:pPr>
        <w:spacing w:after="200" w:line="288" w:lineRule="auto"/>
        <w:jc w:val="both"/>
        <w:rPr>
          <w:rFonts w:cs="Arial"/>
          <w:b/>
          <w:sz w:val="22"/>
          <w:szCs w:val="22"/>
          <w:lang w:val="es-ES_tradnl"/>
        </w:rPr>
      </w:pPr>
      <w:r w:rsidRPr="00D233AE">
        <w:rPr>
          <w:rFonts w:eastAsia="Arial" w:cs="Arial"/>
          <w:b/>
          <w:color w:val="000000"/>
          <w:sz w:val="20"/>
          <w:szCs w:val="20"/>
          <w:lang w:val="es-ES_tradnl" w:eastAsia="en-US"/>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bookmarkStart w:id="12" w:name="_PictureBullets"/>
      <w:bookmarkEnd w:id="12"/>
    </w:p>
    <w:sectPr w:rsidR="00BB46DE" w:rsidRPr="00AD3EF8" w:rsidSect="00AD6218">
      <w:headerReference w:type="default" r:id="rId9"/>
      <w:footerReference w:type="even" r:id="rId10"/>
      <w:footerReference w:type="default" r:id="rId11"/>
      <w:headerReference w:type="first" r:id="rId12"/>
      <w:footerReference w:type="first" r:id="rId13"/>
      <w:pgSz w:w="12240" w:h="18720" w:code="14"/>
      <w:pgMar w:top="1418" w:right="1134" w:bottom="1418" w:left="2268" w:header="709" w:footer="11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01FDE" w14:textId="77777777" w:rsidR="00597D6D" w:rsidRDefault="00597D6D" w:rsidP="002B6701">
      <w:r>
        <w:separator/>
      </w:r>
    </w:p>
  </w:endnote>
  <w:endnote w:type="continuationSeparator" w:id="0">
    <w:p w14:paraId="11AD965B" w14:textId="77777777" w:rsidR="00597D6D" w:rsidRDefault="00597D6D" w:rsidP="002B67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00BB6" w14:textId="77777777" w:rsidR="008E50D7" w:rsidRDefault="008E50D7" w:rsidP="004B61F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B7E2A6B" w14:textId="77777777" w:rsidR="008E50D7" w:rsidRDefault="008E50D7" w:rsidP="004B61F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60583" w14:textId="77777777" w:rsidR="00E41EDF" w:rsidRDefault="00E41EDF">
    <w:pPr>
      <w:pStyle w:val="Piedepgina"/>
      <w:jc w:val="right"/>
      <w:rPr>
        <w:sz w:val="24"/>
        <w:szCs w:val="24"/>
      </w:rPr>
    </w:pPr>
  </w:p>
  <w:p w14:paraId="205E2D69" w14:textId="77777777" w:rsidR="008E50D7" w:rsidRPr="001850E2" w:rsidRDefault="008E50D7">
    <w:pPr>
      <w:pStyle w:val="Piedepgina"/>
      <w:jc w:val="right"/>
      <w:rPr>
        <w:sz w:val="24"/>
        <w:szCs w:val="24"/>
      </w:rPr>
    </w:pPr>
    <w:r w:rsidRPr="001850E2">
      <w:rPr>
        <w:sz w:val="24"/>
        <w:szCs w:val="24"/>
      </w:rPr>
      <w:fldChar w:fldCharType="begin"/>
    </w:r>
    <w:r w:rsidRPr="001850E2">
      <w:rPr>
        <w:sz w:val="24"/>
        <w:szCs w:val="24"/>
      </w:rPr>
      <w:instrText>PAGE   \* MERGEFORMAT</w:instrText>
    </w:r>
    <w:r w:rsidRPr="001850E2">
      <w:rPr>
        <w:sz w:val="24"/>
        <w:szCs w:val="24"/>
      </w:rPr>
      <w:fldChar w:fldCharType="separate"/>
    </w:r>
    <w:r w:rsidR="004178E4" w:rsidRPr="004178E4">
      <w:rPr>
        <w:noProof/>
        <w:sz w:val="24"/>
        <w:szCs w:val="24"/>
        <w:lang w:val="es-ES"/>
      </w:rPr>
      <w:t>2</w:t>
    </w:r>
    <w:r w:rsidRPr="001850E2">
      <w:rPr>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4ABBD" w14:textId="77777777" w:rsidR="008E50D7" w:rsidRPr="00E248EF" w:rsidRDefault="008E50D7">
    <w:pPr>
      <w:pStyle w:val="Piedepgina"/>
      <w:jc w:val="right"/>
      <w:rPr>
        <w:color w:val="BFBFBF"/>
        <w:sz w:val="22"/>
        <w:szCs w:val="22"/>
      </w:rPr>
    </w:pPr>
    <w:r w:rsidRPr="00E248EF">
      <w:rPr>
        <w:color w:val="BFBFBF"/>
        <w:sz w:val="22"/>
        <w:szCs w:val="22"/>
      </w:rPr>
      <w:fldChar w:fldCharType="begin"/>
    </w:r>
    <w:r w:rsidRPr="00E248EF">
      <w:rPr>
        <w:color w:val="BFBFBF"/>
        <w:sz w:val="22"/>
        <w:szCs w:val="22"/>
      </w:rPr>
      <w:instrText>PAGE   \* MERGEFORMAT</w:instrText>
    </w:r>
    <w:r w:rsidRPr="00E248EF">
      <w:rPr>
        <w:color w:val="BFBFBF"/>
        <w:sz w:val="22"/>
        <w:szCs w:val="22"/>
      </w:rPr>
      <w:fldChar w:fldCharType="separate"/>
    </w:r>
    <w:r w:rsidR="000601D5" w:rsidRPr="000601D5">
      <w:rPr>
        <w:noProof/>
        <w:color w:val="BFBFBF"/>
        <w:sz w:val="22"/>
        <w:szCs w:val="22"/>
        <w:lang w:val="es-ES"/>
      </w:rPr>
      <w:t>1</w:t>
    </w:r>
    <w:r w:rsidRPr="00E248EF">
      <w:rPr>
        <w:color w:val="BFBFBF"/>
        <w:sz w:val="22"/>
        <w:szCs w:val="22"/>
      </w:rPr>
      <w:fldChar w:fldCharType="end"/>
    </w:r>
  </w:p>
  <w:p w14:paraId="602D4BA6" w14:textId="77777777" w:rsidR="008E50D7" w:rsidRDefault="008E50D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AEE80" w14:textId="77777777" w:rsidR="00597D6D" w:rsidRDefault="00597D6D" w:rsidP="002B6701">
      <w:r>
        <w:separator/>
      </w:r>
    </w:p>
  </w:footnote>
  <w:footnote w:type="continuationSeparator" w:id="0">
    <w:p w14:paraId="159A5164" w14:textId="77777777" w:rsidR="00597D6D" w:rsidRDefault="00597D6D" w:rsidP="002B6701">
      <w:r>
        <w:continuationSeparator/>
      </w:r>
    </w:p>
  </w:footnote>
  <w:footnote w:id="1">
    <w:p w14:paraId="0C8F2010" w14:textId="77777777" w:rsidR="008E50D7" w:rsidRPr="00D233AE" w:rsidRDefault="008E50D7" w:rsidP="00D233AE">
      <w:pPr>
        <w:pBdr>
          <w:top w:val="nil"/>
          <w:left w:val="nil"/>
          <w:bottom w:val="nil"/>
          <w:right w:val="nil"/>
          <w:between w:val="nil"/>
        </w:pBdr>
        <w:jc w:val="both"/>
        <w:rPr>
          <w:rFonts w:eastAsia="Arial" w:cs="Arial"/>
          <w:color w:val="000000"/>
          <w:sz w:val="20"/>
          <w:szCs w:val="20"/>
          <w:lang w:val="es-ES"/>
        </w:rPr>
      </w:pPr>
      <w:r w:rsidRPr="00D233AE">
        <w:rPr>
          <w:rStyle w:val="footnotemark"/>
          <w:rFonts w:ascii="Arial" w:eastAsia="Arial" w:hAnsi="Arial" w:cs="Arial"/>
          <w:szCs w:val="20"/>
        </w:rPr>
        <w:footnoteRef/>
      </w:r>
      <w:r w:rsidRPr="00D233AE">
        <w:rPr>
          <w:rFonts w:cs="Arial"/>
          <w:sz w:val="20"/>
          <w:szCs w:val="20"/>
        </w:rPr>
        <w:t xml:space="preserve"> </w:t>
      </w:r>
      <w:r w:rsidR="00B36B38" w:rsidRPr="00D233AE">
        <w:rPr>
          <w:rFonts w:eastAsia="Arial" w:cs="Arial"/>
          <w:color w:val="000000"/>
          <w:sz w:val="20"/>
          <w:szCs w:val="20"/>
          <w:lang w:val="es-ES"/>
        </w:rPr>
        <w:t>Las fechas que se señalen de octubre, noviembre y diciembre, corresponden al año dos mil veinticuatro, y las que se señalen con posterioridad, corresponden al año dos mil veinticinco, salvo señalamiento específico.</w:t>
      </w:r>
    </w:p>
  </w:footnote>
  <w:footnote w:id="2">
    <w:p w14:paraId="69CDBBD5" w14:textId="77777777" w:rsidR="004D70FF" w:rsidRPr="00D233AE" w:rsidRDefault="004D70FF" w:rsidP="00D233AE">
      <w:pPr>
        <w:pStyle w:val="Textonotapie"/>
        <w:jc w:val="both"/>
        <w:rPr>
          <w:rFonts w:ascii="Arial" w:hAnsi="Arial" w:cs="Arial"/>
          <w:i/>
          <w:iCs/>
          <w:lang w:val="es-ES"/>
        </w:rPr>
      </w:pPr>
      <w:r w:rsidRPr="00D233AE">
        <w:rPr>
          <w:rStyle w:val="Refdenotaalpie"/>
          <w:rFonts w:ascii="Arial" w:hAnsi="Arial" w:cs="Arial"/>
        </w:rPr>
        <w:footnoteRef/>
      </w:r>
      <w:r w:rsidRPr="00D233AE">
        <w:rPr>
          <w:rFonts w:ascii="Arial" w:hAnsi="Arial" w:cs="Arial"/>
        </w:rPr>
        <w:t xml:space="preserve"> </w:t>
      </w:r>
      <w:r w:rsidRPr="00D233AE">
        <w:rPr>
          <w:rFonts w:ascii="Arial" w:hAnsi="Arial" w:cs="Arial"/>
          <w:lang w:val="es-ES"/>
        </w:rPr>
        <w:t xml:space="preserve">En adelante, </w:t>
      </w:r>
      <w:r w:rsidRPr="00D233AE">
        <w:rPr>
          <w:rFonts w:ascii="Arial" w:hAnsi="Arial" w:cs="Arial"/>
          <w:i/>
          <w:iCs/>
          <w:lang w:val="es-ES"/>
        </w:rPr>
        <w:t>Consejo General.</w:t>
      </w:r>
    </w:p>
  </w:footnote>
  <w:footnote w:id="3">
    <w:p w14:paraId="14ABD929" w14:textId="77777777" w:rsidR="00E964CC" w:rsidRPr="00D233AE" w:rsidRDefault="00E964CC" w:rsidP="00D233AE">
      <w:pPr>
        <w:pStyle w:val="Textonotapie"/>
        <w:jc w:val="both"/>
        <w:rPr>
          <w:rFonts w:ascii="Arial" w:hAnsi="Arial" w:cs="Arial"/>
          <w:lang w:val="es-ES"/>
        </w:rPr>
      </w:pPr>
      <w:r w:rsidRPr="00D233AE">
        <w:rPr>
          <w:rStyle w:val="Refdenotaalpie"/>
          <w:rFonts w:ascii="Arial" w:hAnsi="Arial" w:cs="Arial"/>
        </w:rPr>
        <w:footnoteRef/>
      </w:r>
      <w:r w:rsidRPr="00D233AE">
        <w:rPr>
          <w:rFonts w:ascii="Arial" w:hAnsi="Arial" w:cs="Arial"/>
        </w:rPr>
        <w:t xml:space="preserve"> </w:t>
      </w:r>
      <w:r w:rsidRPr="00D233AE">
        <w:rPr>
          <w:rFonts w:ascii="Arial" w:hAnsi="Arial" w:cs="Arial"/>
          <w:lang w:val="es-ES"/>
        </w:rPr>
        <w:t xml:space="preserve">En adelante, </w:t>
      </w:r>
      <w:r w:rsidRPr="00D233AE">
        <w:rPr>
          <w:rFonts w:ascii="Arial" w:hAnsi="Arial" w:cs="Arial"/>
          <w:i/>
          <w:iCs/>
          <w:lang w:val="es-ES"/>
        </w:rPr>
        <w:t>IEM.</w:t>
      </w:r>
    </w:p>
  </w:footnote>
  <w:footnote w:id="4">
    <w:p w14:paraId="1FB6BA43" w14:textId="77777777" w:rsidR="00E43938" w:rsidRPr="00D233AE" w:rsidRDefault="00E43938"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En adelante, </w:t>
      </w:r>
      <w:r w:rsidRPr="00D233AE">
        <w:rPr>
          <w:rFonts w:ascii="Arial" w:hAnsi="Arial" w:cs="Arial"/>
          <w:i/>
          <w:iCs/>
        </w:rPr>
        <w:t>PT.</w:t>
      </w:r>
    </w:p>
  </w:footnote>
  <w:footnote w:id="5">
    <w:p w14:paraId="401450F1" w14:textId="77777777" w:rsidR="00554458" w:rsidRPr="00D233AE" w:rsidRDefault="00554458"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En adelante, </w:t>
      </w:r>
      <w:bookmarkStart w:id="3" w:name="_Hlk208574832"/>
      <w:r w:rsidRPr="00D233AE">
        <w:rPr>
          <w:rFonts w:ascii="Arial" w:hAnsi="Arial" w:cs="Arial"/>
          <w:i/>
          <w:iCs/>
        </w:rPr>
        <w:t xml:space="preserve">Lineamientos </w:t>
      </w:r>
      <w:r w:rsidR="001C66B3" w:rsidRPr="00D233AE">
        <w:rPr>
          <w:rFonts w:ascii="Arial" w:hAnsi="Arial" w:cs="Arial"/>
          <w:i/>
          <w:iCs/>
        </w:rPr>
        <w:t>en materia de</w:t>
      </w:r>
      <w:r w:rsidRPr="00D233AE">
        <w:rPr>
          <w:rFonts w:ascii="Arial" w:hAnsi="Arial" w:cs="Arial"/>
          <w:i/>
          <w:iCs/>
        </w:rPr>
        <w:t xml:space="preserve"> Acciones Afirmativas</w:t>
      </w:r>
      <w:bookmarkEnd w:id="3"/>
      <w:r w:rsidRPr="00D233AE">
        <w:rPr>
          <w:rFonts w:ascii="Arial" w:hAnsi="Arial" w:cs="Arial"/>
          <w:i/>
          <w:iCs/>
        </w:rPr>
        <w:t>.</w:t>
      </w:r>
    </w:p>
  </w:footnote>
  <w:footnote w:id="6">
    <w:p w14:paraId="6671F4A8" w14:textId="77777777" w:rsidR="00E66D50" w:rsidRPr="00D233AE" w:rsidRDefault="00E66D50" w:rsidP="00D233AE">
      <w:pPr>
        <w:pStyle w:val="Textonotapie"/>
        <w:jc w:val="both"/>
        <w:rPr>
          <w:rFonts w:ascii="Arial" w:hAnsi="Arial" w:cs="Arial"/>
          <w:lang w:val="es-ES"/>
        </w:rPr>
      </w:pPr>
      <w:r w:rsidRPr="00D233AE">
        <w:rPr>
          <w:rStyle w:val="Refdenotaalpie"/>
          <w:rFonts w:ascii="Arial" w:hAnsi="Arial" w:cs="Arial"/>
        </w:rPr>
        <w:footnoteRef/>
      </w:r>
      <w:r w:rsidRPr="00D233AE">
        <w:rPr>
          <w:rFonts w:ascii="Arial" w:hAnsi="Arial" w:cs="Arial"/>
        </w:rPr>
        <w:t xml:space="preserve"> </w:t>
      </w:r>
      <w:r w:rsidRPr="00D233AE">
        <w:rPr>
          <w:rFonts w:ascii="Arial" w:hAnsi="Arial" w:cs="Arial"/>
          <w:lang w:val="es-ES"/>
        </w:rPr>
        <w:t>Fojas 144 a la 147.</w:t>
      </w:r>
    </w:p>
  </w:footnote>
  <w:footnote w:id="7">
    <w:p w14:paraId="3CC3B955" w14:textId="77777777" w:rsidR="004977AE" w:rsidRPr="00D233AE" w:rsidRDefault="004977AE" w:rsidP="00D233AE">
      <w:pPr>
        <w:pStyle w:val="Textonotapie"/>
        <w:jc w:val="both"/>
        <w:rPr>
          <w:rFonts w:ascii="Arial" w:hAnsi="Arial" w:cs="Arial"/>
          <w:lang w:val="es-ES"/>
        </w:rPr>
      </w:pPr>
      <w:r w:rsidRPr="00D233AE">
        <w:rPr>
          <w:rStyle w:val="Refdenotaalpie"/>
          <w:rFonts w:ascii="Arial" w:hAnsi="Arial" w:cs="Arial"/>
        </w:rPr>
        <w:footnoteRef/>
      </w:r>
      <w:r w:rsidRPr="00D233AE">
        <w:rPr>
          <w:rFonts w:ascii="Arial" w:hAnsi="Arial" w:cs="Arial"/>
        </w:rPr>
        <w:t xml:space="preserve"> </w:t>
      </w:r>
      <w:r w:rsidRPr="00D233AE">
        <w:rPr>
          <w:rFonts w:ascii="Arial" w:hAnsi="Arial" w:cs="Arial"/>
          <w:lang w:val="es-ES"/>
        </w:rPr>
        <w:t>Fojas 105 a 139.</w:t>
      </w:r>
    </w:p>
  </w:footnote>
  <w:footnote w:id="8">
    <w:p w14:paraId="3BA9C5B9" w14:textId="77777777" w:rsidR="00717FF6" w:rsidRPr="00D233AE" w:rsidRDefault="00717FF6"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Fojas 04 a la 82.</w:t>
      </w:r>
    </w:p>
  </w:footnote>
  <w:footnote w:id="9">
    <w:p w14:paraId="7B132DDC" w14:textId="77777777" w:rsidR="004B17C4" w:rsidRPr="00D233AE" w:rsidRDefault="004B17C4"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Foja </w:t>
      </w:r>
      <w:r w:rsidR="009564D4" w:rsidRPr="00D233AE">
        <w:rPr>
          <w:rFonts w:ascii="Arial" w:hAnsi="Arial" w:cs="Arial"/>
        </w:rPr>
        <w:t>694</w:t>
      </w:r>
      <w:r w:rsidRPr="00D233AE">
        <w:rPr>
          <w:rFonts w:ascii="Arial" w:hAnsi="Arial" w:cs="Arial"/>
        </w:rPr>
        <w:t>.</w:t>
      </w:r>
    </w:p>
  </w:footnote>
  <w:footnote w:id="10">
    <w:p w14:paraId="29D34117" w14:textId="77777777" w:rsidR="004B17C4" w:rsidRPr="00D233AE" w:rsidRDefault="004B17C4" w:rsidP="00D233AE">
      <w:pPr>
        <w:pStyle w:val="Textonotapie"/>
        <w:jc w:val="both"/>
        <w:rPr>
          <w:rFonts w:ascii="Arial" w:hAnsi="Arial" w:cs="Arial"/>
          <w:lang w:val="es-ES"/>
        </w:rPr>
      </w:pPr>
      <w:r w:rsidRPr="00D233AE">
        <w:rPr>
          <w:rStyle w:val="Refdenotaalpie"/>
          <w:rFonts w:ascii="Arial" w:hAnsi="Arial" w:cs="Arial"/>
        </w:rPr>
        <w:footnoteRef/>
      </w:r>
      <w:r w:rsidRPr="00D233AE">
        <w:rPr>
          <w:rFonts w:ascii="Arial" w:hAnsi="Arial" w:cs="Arial"/>
        </w:rPr>
        <w:t xml:space="preserve"> </w:t>
      </w:r>
      <w:r w:rsidRPr="00D233AE">
        <w:rPr>
          <w:rFonts w:ascii="Arial" w:hAnsi="Arial" w:cs="Arial"/>
          <w:lang w:val="es-ES"/>
        </w:rPr>
        <w:t xml:space="preserve">En adelante, </w:t>
      </w:r>
      <w:r w:rsidRPr="00D233AE">
        <w:rPr>
          <w:rFonts w:ascii="Arial" w:hAnsi="Arial" w:cs="Arial"/>
          <w:i/>
          <w:iCs/>
          <w:lang w:val="es-ES"/>
        </w:rPr>
        <w:t>Ley de Justicia</w:t>
      </w:r>
      <w:r w:rsidRPr="00D233AE">
        <w:rPr>
          <w:rFonts w:ascii="Arial" w:hAnsi="Arial" w:cs="Arial"/>
          <w:lang w:val="es-ES"/>
        </w:rPr>
        <w:t>.</w:t>
      </w:r>
    </w:p>
  </w:footnote>
  <w:footnote w:id="11">
    <w:p w14:paraId="2874E60D" w14:textId="77777777" w:rsidR="00BD5D68" w:rsidRPr="00D233AE" w:rsidRDefault="00BD5D68"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Fojas </w:t>
      </w:r>
      <w:r w:rsidR="008C52A3" w:rsidRPr="00D233AE">
        <w:rPr>
          <w:rFonts w:ascii="Arial" w:hAnsi="Arial" w:cs="Arial"/>
        </w:rPr>
        <w:t>695</w:t>
      </w:r>
      <w:r w:rsidRPr="00D233AE">
        <w:rPr>
          <w:rFonts w:ascii="Arial" w:hAnsi="Arial" w:cs="Arial"/>
        </w:rPr>
        <w:t xml:space="preserve"> y </w:t>
      </w:r>
      <w:r w:rsidR="008C52A3" w:rsidRPr="00D233AE">
        <w:rPr>
          <w:rFonts w:ascii="Arial" w:hAnsi="Arial" w:cs="Arial"/>
        </w:rPr>
        <w:t>696</w:t>
      </w:r>
      <w:r w:rsidRPr="00D233AE">
        <w:rPr>
          <w:rFonts w:ascii="Arial" w:hAnsi="Arial" w:cs="Arial"/>
        </w:rPr>
        <w:t>.</w:t>
      </w:r>
    </w:p>
  </w:footnote>
  <w:footnote w:id="12">
    <w:p w14:paraId="27AA3A45" w14:textId="77777777" w:rsidR="001A2D89" w:rsidRPr="00D233AE" w:rsidRDefault="001A2D89"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Foja </w:t>
      </w:r>
      <w:r w:rsidR="0050633C" w:rsidRPr="00D233AE">
        <w:rPr>
          <w:rFonts w:ascii="Arial" w:hAnsi="Arial" w:cs="Arial"/>
        </w:rPr>
        <w:t>701 a la 707</w:t>
      </w:r>
      <w:r w:rsidRPr="00D233AE">
        <w:rPr>
          <w:rFonts w:ascii="Arial" w:hAnsi="Arial" w:cs="Arial"/>
        </w:rPr>
        <w:t>.</w:t>
      </w:r>
    </w:p>
  </w:footnote>
  <w:footnote w:id="13">
    <w:p w14:paraId="488A2FB9" w14:textId="77777777" w:rsidR="00DD5412" w:rsidRPr="00D233AE" w:rsidRDefault="00DD5412" w:rsidP="00D233AE">
      <w:pPr>
        <w:pStyle w:val="Textonotapie"/>
        <w:jc w:val="both"/>
        <w:rPr>
          <w:rFonts w:ascii="Arial" w:hAnsi="Arial" w:cs="Arial"/>
          <w:lang w:val="es-ES"/>
        </w:rPr>
      </w:pPr>
      <w:r w:rsidRPr="00D233AE">
        <w:rPr>
          <w:rStyle w:val="Refdenotaalpie"/>
          <w:rFonts w:ascii="Arial" w:hAnsi="Arial" w:cs="Arial"/>
        </w:rPr>
        <w:footnoteRef/>
      </w:r>
      <w:r w:rsidRPr="00D233AE">
        <w:rPr>
          <w:rFonts w:ascii="Arial" w:hAnsi="Arial" w:cs="Arial"/>
        </w:rPr>
        <w:t xml:space="preserve"> </w:t>
      </w:r>
      <w:r w:rsidRPr="00D233AE">
        <w:rPr>
          <w:rFonts w:ascii="Arial" w:hAnsi="Arial" w:cs="Arial"/>
          <w:lang w:val="es-ES"/>
        </w:rPr>
        <w:t xml:space="preserve">En adelante, </w:t>
      </w:r>
      <w:r w:rsidRPr="00D233AE">
        <w:rPr>
          <w:rFonts w:ascii="Arial" w:hAnsi="Arial" w:cs="Arial"/>
          <w:i/>
          <w:iCs/>
          <w:lang w:val="es-ES"/>
        </w:rPr>
        <w:t>Constitución Local.</w:t>
      </w:r>
    </w:p>
  </w:footnote>
  <w:footnote w:id="14">
    <w:p w14:paraId="7855B10F" w14:textId="77777777" w:rsidR="00F75E87" w:rsidRPr="00D233AE" w:rsidRDefault="00F75E87"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w:t>
      </w:r>
      <w:r w:rsidRPr="00D233AE">
        <w:rPr>
          <w:rFonts w:ascii="Arial" w:hAnsi="Arial" w:cs="Arial"/>
          <w:lang w:val="es-ES"/>
        </w:rPr>
        <w:t xml:space="preserve">En adelante, </w:t>
      </w:r>
      <w:r w:rsidRPr="00D233AE">
        <w:rPr>
          <w:rFonts w:ascii="Arial" w:hAnsi="Arial" w:cs="Arial"/>
          <w:i/>
          <w:iCs/>
          <w:lang w:val="es-ES"/>
        </w:rPr>
        <w:t>Código Electoral.</w:t>
      </w:r>
    </w:p>
  </w:footnote>
  <w:footnote w:id="15">
    <w:p w14:paraId="0A767906" w14:textId="77777777" w:rsidR="00C243A8" w:rsidRPr="00D233AE" w:rsidRDefault="00C243A8" w:rsidP="00D233AE">
      <w:pPr>
        <w:pBdr>
          <w:top w:val="nil"/>
          <w:left w:val="nil"/>
          <w:bottom w:val="nil"/>
          <w:right w:val="nil"/>
          <w:between w:val="nil"/>
        </w:pBdr>
        <w:jc w:val="both"/>
        <w:rPr>
          <w:rFonts w:eastAsia="Arial Narrow" w:cs="Arial"/>
          <w:color w:val="000000"/>
          <w:sz w:val="20"/>
          <w:szCs w:val="20"/>
        </w:rPr>
      </w:pPr>
      <w:r w:rsidRPr="00D233AE">
        <w:rPr>
          <w:rFonts w:cs="Arial"/>
          <w:sz w:val="20"/>
          <w:szCs w:val="20"/>
          <w:vertAlign w:val="superscript"/>
        </w:rPr>
        <w:footnoteRef/>
      </w:r>
      <w:r w:rsidRPr="00D233AE">
        <w:rPr>
          <w:rFonts w:eastAsia="Arial Narrow" w:cs="Arial"/>
          <w:color w:val="000000"/>
          <w:sz w:val="20"/>
          <w:szCs w:val="20"/>
        </w:rPr>
        <w:t xml:space="preserve"> Descontando sábado treinta y domingo treinta y uno, por ser inhábiles.</w:t>
      </w:r>
    </w:p>
  </w:footnote>
  <w:footnote w:id="16">
    <w:p w14:paraId="7E0D964B" w14:textId="77777777" w:rsidR="00F10863" w:rsidRPr="00D233AE" w:rsidRDefault="00F10863" w:rsidP="00D233AE">
      <w:pPr>
        <w:pBdr>
          <w:top w:val="nil"/>
          <w:left w:val="nil"/>
          <w:bottom w:val="nil"/>
          <w:right w:val="nil"/>
          <w:between w:val="nil"/>
        </w:pBdr>
        <w:jc w:val="both"/>
        <w:rPr>
          <w:rFonts w:eastAsia="Arial Narrow" w:cs="Arial"/>
          <w:color w:val="000000"/>
          <w:sz w:val="20"/>
          <w:szCs w:val="20"/>
        </w:rPr>
      </w:pPr>
      <w:r w:rsidRPr="00D233AE">
        <w:rPr>
          <w:rFonts w:cs="Arial"/>
          <w:sz w:val="20"/>
          <w:szCs w:val="20"/>
          <w:vertAlign w:val="superscript"/>
        </w:rPr>
        <w:footnoteRef/>
      </w:r>
      <w:r w:rsidRPr="00D233AE">
        <w:rPr>
          <w:rFonts w:eastAsia="Arial" w:cs="Arial"/>
          <w:color w:val="000000"/>
          <w:sz w:val="20"/>
          <w:szCs w:val="20"/>
        </w:rPr>
        <w:t xml:space="preserve"> </w:t>
      </w:r>
      <w:r w:rsidRPr="00D233AE">
        <w:rPr>
          <w:rFonts w:eastAsia="Arial Narrow" w:cs="Arial"/>
          <w:color w:val="000000"/>
          <w:sz w:val="20"/>
          <w:szCs w:val="20"/>
        </w:rPr>
        <w:t>Carácter que le fue reconocido por la autoridad responsable al rendir el informe circunstanciado.</w:t>
      </w:r>
    </w:p>
  </w:footnote>
  <w:footnote w:id="17">
    <w:p w14:paraId="6A4BC782" w14:textId="77777777" w:rsidR="003A4152" w:rsidRPr="00D233AE" w:rsidRDefault="003A4152" w:rsidP="00D233AE">
      <w:pPr>
        <w:pStyle w:val="Textonotapie"/>
        <w:jc w:val="both"/>
        <w:rPr>
          <w:rFonts w:ascii="Arial" w:hAnsi="Arial" w:cs="Arial"/>
          <w:i/>
          <w:iCs/>
          <w:lang w:val="es-ES"/>
        </w:rPr>
      </w:pPr>
      <w:r w:rsidRPr="00D233AE">
        <w:rPr>
          <w:rStyle w:val="Refdenotaalpie"/>
          <w:rFonts w:ascii="Arial" w:hAnsi="Arial" w:cs="Arial"/>
          <w:i/>
          <w:iCs/>
        </w:rPr>
        <w:footnoteRef/>
      </w:r>
      <w:r w:rsidRPr="00D233AE">
        <w:rPr>
          <w:rFonts w:ascii="Arial" w:hAnsi="Arial" w:cs="Arial"/>
          <w:i/>
          <w:iCs/>
        </w:rPr>
        <w:t xml:space="preserve"> </w:t>
      </w:r>
      <w:r w:rsidRPr="00D233AE">
        <w:rPr>
          <w:rFonts w:ascii="Arial" w:hAnsi="Arial" w:cs="Arial"/>
          <w:b/>
          <w:bCs/>
          <w:i/>
          <w:iCs/>
        </w:rPr>
        <w:t>Artículo 18.</w:t>
      </w:r>
      <w:r w:rsidRPr="00D233AE">
        <w:rPr>
          <w:rFonts w:ascii="Arial" w:hAnsi="Arial" w:cs="Arial"/>
          <w:i/>
          <w:iCs/>
        </w:rPr>
        <w:t xml:space="preserve"> Candidaturas de personas migrantes en Diputaciones Los partidos políticos, coaliciones o candidaturas comunes deberán postular al menos una fórmula integrada por personas migrantes a la candidatura de diputación por el principio de mayoría relativa o bien al menos una fórmula a la candidatura por la vía de representación proporcional, la cual deberá estar ubicada dentro de los seis primeros lugares de prelación en la lista correspondiente.</w:t>
      </w:r>
    </w:p>
  </w:footnote>
  <w:footnote w:id="18">
    <w:p w14:paraId="7831C7A0" w14:textId="77777777" w:rsidR="003A4152" w:rsidRPr="00D233AE" w:rsidRDefault="003A4152" w:rsidP="00D233AE">
      <w:pPr>
        <w:pStyle w:val="Textonotapie"/>
        <w:jc w:val="both"/>
        <w:rPr>
          <w:rFonts w:ascii="Arial" w:hAnsi="Arial" w:cs="Arial"/>
          <w:lang w:val="es-ES"/>
        </w:rPr>
      </w:pPr>
      <w:r w:rsidRPr="00D233AE">
        <w:rPr>
          <w:rStyle w:val="Refdenotaalpie"/>
          <w:rFonts w:ascii="Arial" w:hAnsi="Arial" w:cs="Arial"/>
          <w:i/>
          <w:iCs/>
        </w:rPr>
        <w:footnoteRef/>
      </w:r>
      <w:r w:rsidRPr="00D233AE">
        <w:rPr>
          <w:rFonts w:ascii="Arial" w:hAnsi="Arial" w:cs="Arial"/>
          <w:i/>
          <w:iCs/>
        </w:rPr>
        <w:t xml:space="preserve"> </w:t>
      </w:r>
      <w:r w:rsidRPr="00D233AE">
        <w:rPr>
          <w:rFonts w:ascii="Arial" w:hAnsi="Arial" w:cs="Arial"/>
          <w:b/>
          <w:bCs/>
          <w:i/>
          <w:iCs/>
        </w:rPr>
        <w:t>Artículo 20. Requisitos para acreditar la autoadscripción</w:t>
      </w:r>
      <w:r w:rsidRPr="00D233AE">
        <w:rPr>
          <w:rFonts w:ascii="Arial" w:hAnsi="Arial" w:cs="Arial"/>
          <w:i/>
          <w:iCs/>
        </w:rPr>
        <w:t xml:space="preserve"> Las personas que sean postuladas a una candidatura de diputación o para la integración de Ayuntamiento, mediante la acción afirmativa para personas migrantes, además de los requisitos constitucionales y legales que correspondan, deberán acreditar su auto adscripción a este grupo y vínculo con la comunicad migrante a la que pertenece, mediante lo siguiente: </w:t>
      </w:r>
      <w:r w:rsidRPr="00D233AE">
        <w:rPr>
          <w:rFonts w:ascii="Arial" w:hAnsi="Arial" w:cs="Arial"/>
          <w:b/>
          <w:bCs/>
          <w:i/>
          <w:iCs/>
        </w:rPr>
        <w:t>1. Acreditar la residencia binacional.</w:t>
      </w:r>
      <w:r w:rsidRPr="00D233AE">
        <w:rPr>
          <w:rFonts w:ascii="Arial" w:hAnsi="Arial" w:cs="Arial"/>
          <w:i/>
          <w:iCs/>
        </w:rPr>
        <w:t xml:space="preserve"> Se entenderá como residencia binacional, a la condición que asume una persona para tener simultáneamente domicilio en el extranjero durante al menos dos años previos al día de la elección y, al mismo tiempo domicilio en el territorio del Estado de Michoacán, durante al menos dos años previos al día de la elección, en el que mantenga casa, familia e intereses. La residencia binacional se acreditará cuando menos con un documento emitido en el extranjero y otro en el Estado, siendo los siguientes: a) Comprobante original de domicilio en el extranjero. b) Comprobante original de domicilio en territorio del Estado en tratándose de la postulación a candidatura de diputación; o comprobante original de domicilio del municipio que corresponda en tratándose de candidatura a integración de ayuntamiento. c) Copia de la credencial para votar con fotografía emitida por el INE en territorio nacional. d) Copia de la credencial para votar con fotografía emitida por el INE en el extranjero. e) Copia del certificado de matrícula consular. f) Copia de licencia de manejo emitida en el extranjero. g) Copia del </w:t>
      </w:r>
      <w:proofErr w:type="gramStart"/>
      <w:r w:rsidRPr="00D233AE">
        <w:rPr>
          <w:rFonts w:ascii="Arial" w:hAnsi="Arial" w:cs="Arial"/>
          <w:i/>
          <w:iCs/>
        </w:rPr>
        <w:t>carnet</w:t>
      </w:r>
      <w:proofErr w:type="gramEnd"/>
      <w:r w:rsidRPr="00D233AE">
        <w:rPr>
          <w:rFonts w:ascii="Arial" w:hAnsi="Arial" w:cs="Arial"/>
          <w:i/>
          <w:iCs/>
        </w:rPr>
        <w:t xml:space="preserve"> de servicios de salud en el extranjero. h) Comprobante de pago de impuestos en el extranjero. i) Copia de la visa de trabajo o de negocios. j) Copia de cédula de identificación del país en que resida. </w:t>
      </w:r>
      <w:r w:rsidRPr="00D233AE">
        <w:rPr>
          <w:rFonts w:ascii="Arial" w:hAnsi="Arial" w:cs="Arial"/>
          <w:b/>
          <w:bCs/>
          <w:i/>
          <w:iCs/>
        </w:rPr>
        <w:t>2. Acreditar la calidad o condición de migrante, con alguno de los siguientes documentos:</w:t>
      </w:r>
      <w:r w:rsidRPr="00D233AE">
        <w:rPr>
          <w:rFonts w:ascii="Arial" w:hAnsi="Arial" w:cs="Arial"/>
          <w:i/>
          <w:iCs/>
        </w:rPr>
        <w:t xml:space="preserve"> a) Copia de la credencial para votar emitida por el INE en el extranjero. b) Copia de la inscripción a la Lista Nominal de Electores Residentes en el Extranjero. c) Copia del certificado de matrícula consular. d) Copia de la licencia de manejo emitida en el extranjero. e) Copia del </w:t>
      </w:r>
      <w:proofErr w:type="gramStart"/>
      <w:r w:rsidRPr="00D233AE">
        <w:rPr>
          <w:rFonts w:ascii="Arial" w:hAnsi="Arial" w:cs="Arial"/>
          <w:i/>
          <w:iCs/>
        </w:rPr>
        <w:t>carnet</w:t>
      </w:r>
      <w:proofErr w:type="gramEnd"/>
      <w:r w:rsidRPr="00D233AE">
        <w:rPr>
          <w:rFonts w:ascii="Arial" w:hAnsi="Arial" w:cs="Arial"/>
          <w:i/>
          <w:iCs/>
        </w:rPr>
        <w:t xml:space="preserve"> de servicios de salud en el extranjero. f) Comprobante de pago de impuestos en el extranjero. g) Copia de la visa de trabajo o de negocios. h) Copia de la cédula de identificación del país en que resida. </w:t>
      </w:r>
      <w:r w:rsidRPr="00D233AE">
        <w:rPr>
          <w:rFonts w:ascii="Arial" w:hAnsi="Arial" w:cs="Arial"/>
          <w:b/>
          <w:bCs/>
          <w:i/>
          <w:iCs/>
        </w:rPr>
        <w:t>3. Podrán aportar documentos o constancias que acrediten el vínculo con la comunidad migrante, mediante alguna de las siguientes acciones:</w:t>
      </w:r>
      <w:r w:rsidRPr="00D233AE">
        <w:rPr>
          <w:rFonts w:ascii="Arial" w:hAnsi="Arial" w:cs="Arial"/>
          <w:i/>
          <w:iCs/>
        </w:rPr>
        <w:t xml:space="preserve"> a) Haber impulsado la expedición de leyes y/o promovido la defensa de los derechos de los migrantes.</w:t>
      </w:r>
      <w:r w:rsidRPr="00D233AE">
        <w:rPr>
          <w:rFonts w:ascii="Arial" w:eastAsia="Times New Roman" w:hAnsi="Arial" w:cs="Arial"/>
          <w:i/>
          <w:iCs/>
          <w:sz w:val="28"/>
          <w:szCs w:val="28"/>
          <w:lang w:eastAsia="es-MX"/>
        </w:rPr>
        <w:t xml:space="preserve"> </w:t>
      </w:r>
      <w:r w:rsidRPr="00D233AE">
        <w:rPr>
          <w:rFonts w:ascii="Arial" w:hAnsi="Arial" w:cs="Arial"/>
          <w:i/>
          <w:iCs/>
        </w:rPr>
        <w:t>b) Tener membresía activa en clubes o asociaciones de migrantes o haber realizado acciones de promoción de actividades o proyectos comunitarios o culturales entre la comunidad migrante sin pertenecer a alguna organización de carácter migrante, ya sea en el extranjero o en territorio nacional.</w:t>
      </w:r>
    </w:p>
  </w:footnote>
  <w:footnote w:id="19">
    <w:p w14:paraId="28C43991" w14:textId="77777777" w:rsidR="005E0817" w:rsidRPr="00D233AE" w:rsidRDefault="005E0817" w:rsidP="00D233AE">
      <w:pPr>
        <w:pStyle w:val="Textonotapie"/>
        <w:jc w:val="both"/>
        <w:rPr>
          <w:rFonts w:ascii="Arial" w:hAnsi="Arial" w:cs="Arial"/>
          <w:lang w:val="es-ES"/>
        </w:rPr>
      </w:pPr>
      <w:r w:rsidRPr="00D233AE">
        <w:rPr>
          <w:rStyle w:val="Refdenotaalpie"/>
          <w:rFonts w:ascii="Arial" w:hAnsi="Arial" w:cs="Arial"/>
        </w:rPr>
        <w:footnoteRef/>
      </w:r>
      <w:r w:rsidRPr="00D233AE">
        <w:rPr>
          <w:rFonts w:ascii="Arial" w:hAnsi="Arial" w:cs="Arial"/>
        </w:rPr>
        <w:t xml:space="preserve"> </w:t>
      </w:r>
      <w:r w:rsidRPr="00D233AE">
        <w:rPr>
          <w:rFonts w:ascii="Arial" w:hAnsi="Arial" w:cs="Arial"/>
          <w:lang w:val="es-ES"/>
        </w:rPr>
        <w:t>Fojas 144 a la 147.</w:t>
      </w:r>
    </w:p>
  </w:footnote>
  <w:footnote w:id="20">
    <w:p w14:paraId="0AE12DA5" w14:textId="77777777" w:rsidR="00155738" w:rsidRPr="00D233AE" w:rsidRDefault="00155738" w:rsidP="00D233AE">
      <w:pPr>
        <w:pStyle w:val="Textonotapie"/>
        <w:jc w:val="both"/>
        <w:rPr>
          <w:rFonts w:ascii="Arial" w:hAnsi="Arial" w:cs="Arial"/>
          <w:lang w:val="es-ES"/>
        </w:rPr>
      </w:pPr>
      <w:r w:rsidRPr="00D233AE">
        <w:rPr>
          <w:rStyle w:val="Refdenotaalpie"/>
          <w:rFonts w:ascii="Arial" w:hAnsi="Arial" w:cs="Arial"/>
        </w:rPr>
        <w:footnoteRef/>
      </w:r>
      <w:r w:rsidRPr="00D233AE">
        <w:rPr>
          <w:rFonts w:ascii="Arial" w:hAnsi="Arial" w:cs="Arial"/>
        </w:rPr>
        <w:t xml:space="preserve"> </w:t>
      </w:r>
      <w:r w:rsidRPr="00D233AE">
        <w:rPr>
          <w:rFonts w:ascii="Arial" w:hAnsi="Arial" w:cs="Arial"/>
          <w:lang w:val="es-ES"/>
        </w:rPr>
        <w:t xml:space="preserve">En adelante, </w:t>
      </w:r>
      <w:r w:rsidRPr="00D233AE">
        <w:rPr>
          <w:rFonts w:ascii="Arial" w:hAnsi="Arial" w:cs="Arial"/>
          <w:i/>
          <w:iCs/>
          <w:lang w:val="es-ES"/>
        </w:rPr>
        <w:t>Resolución Impugnada.</w:t>
      </w:r>
    </w:p>
  </w:footnote>
  <w:footnote w:id="21">
    <w:p w14:paraId="7BA0CEBB" w14:textId="77777777" w:rsidR="00F77265" w:rsidRPr="00D233AE" w:rsidRDefault="00F77265"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En adelante, </w:t>
      </w:r>
      <w:r w:rsidRPr="00D233AE">
        <w:rPr>
          <w:rFonts w:ascii="Arial" w:hAnsi="Arial" w:cs="Arial"/>
          <w:i/>
          <w:iCs/>
        </w:rPr>
        <w:t>Sala Superior.</w:t>
      </w:r>
    </w:p>
  </w:footnote>
  <w:footnote w:id="22">
    <w:p w14:paraId="6327DA30" w14:textId="77777777" w:rsidR="00F77265" w:rsidRPr="00D233AE" w:rsidRDefault="00F77265"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En las jurisprudencias 4/99 y 3/2000 de rubros, respectivamente</w:t>
      </w:r>
      <w:r w:rsidRPr="00D233AE">
        <w:rPr>
          <w:rFonts w:ascii="Arial" w:hAnsi="Arial" w:cs="Arial"/>
          <w:b/>
          <w:bCs/>
        </w:rPr>
        <w:t xml:space="preserve">: </w:t>
      </w:r>
      <w:r w:rsidRPr="00D233AE">
        <w:rPr>
          <w:rFonts w:ascii="Arial" w:hAnsi="Arial" w:cs="Arial"/>
          <w:b/>
          <w:bCs/>
          <w:i/>
          <w:iCs/>
        </w:rPr>
        <w:t xml:space="preserve">“MEDIOS DE IMPUGNACIÓN EN MATERIA ELECTORAL. EL RESOLUTOR DEBE INTERPRETAR EL OCURSO QUE LOS CONTENGA PARA DETERMINAR LA VERDADERA INTENCIÓN DEL ACTOR” </w:t>
      </w:r>
      <w:r w:rsidRPr="00D233AE">
        <w:rPr>
          <w:rFonts w:ascii="Arial" w:hAnsi="Arial" w:cs="Arial"/>
        </w:rPr>
        <w:t>y</w:t>
      </w:r>
      <w:r w:rsidRPr="00D233AE">
        <w:rPr>
          <w:rFonts w:ascii="Arial" w:hAnsi="Arial" w:cs="Arial"/>
          <w:b/>
          <w:bCs/>
          <w:i/>
          <w:iCs/>
        </w:rPr>
        <w:t xml:space="preserve"> “AGRAVIOS. PARA TENERLOS POR DEBIDAMENTE CONFIGURADOS ES SUFICIENTE CON EXPRESAR LA CAUSA DE PEDIR”</w:t>
      </w:r>
      <w:r w:rsidRPr="00D233AE">
        <w:rPr>
          <w:rFonts w:ascii="Arial" w:hAnsi="Arial" w:cs="Arial"/>
          <w:b/>
          <w:bCs/>
        </w:rPr>
        <w:t>,</w:t>
      </w:r>
      <w:r w:rsidRPr="00D233AE">
        <w:rPr>
          <w:rFonts w:ascii="Arial" w:hAnsi="Arial" w:cs="Arial"/>
        </w:rPr>
        <w:t xml:space="preserve"> consultables en: </w:t>
      </w:r>
      <w:hyperlink r:id="rId1" w:history="1">
        <w:r w:rsidR="0078686B" w:rsidRPr="00D233AE">
          <w:rPr>
            <w:rStyle w:val="Hipervnculo"/>
            <w:rFonts w:ascii="Arial" w:hAnsi="Arial" w:cs="Arial"/>
            <w:i/>
          </w:rPr>
          <w:t>https://www.te.gob.mx/IUSEapp/</w:t>
        </w:r>
      </w:hyperlink>
      <w:r w:rsidR="0078686B" w:rsidRPr="00D233AE">
        <w:rPr>
          <w:rFonts w:ascii="Arial" w:hAnsi="Arial" w:cs="Arial"/>
          <w:i/>
        </w:rPr>
        <w:t xml:space="preserve"> </w:t>
      </w:r>
    </w:p>
  </w:footnote>
  <w:footnote w:id="23">
    <w:p w14:paraId="0AEA3FD4" w14:textId="77777777" w:rsidR="00F77265" w:rsidRPr="00D233AE" w:rsidRDefault="00F77265"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Consultable en el Semanario Judicial de la Federación visible en: </w:t>
      </w:r>
      <w:hyperlink r:id="rId2" w:history="1">
        <w:r w:rsidR="0078686B" w:rsidRPr="00D233AE">
          <w:rPr>
            <w:rStyle w:val="Hipervnculo"/>
            <w:rFonts w:ascii="Arial" w:hAnsi="Arial" w:cs="Arial"/>
            <w:i/>
          </w:rPr>
          <w:t>https://www.scjn.gob.mx/</w:t>
        </w:r>
      </w:hyperlink>
      <w:r w:rsidR="0078686B" w:rsidRPr="00D233AE">
        <w:rPr>
          <w:rFonts w:ascii="Arial" w:hAnsi="Arial" w:cs="Arial"/>
          <w:i/>
        </w:rPr>
        <w:t xml:space="preserve"> </w:t>
      </w:r>
    </w:p>
  </w:footnote>
  <w:footnote w:id="24">
    <w:p w14:paraId="579F5A11" w14:textId="77777777" w:rsidR="00F77265" w:rsidRPr="00D233AE" w:rsidRDefault="00F77265"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Resultando orientador al respecto, por similitud jurídica sustancial, lo sostenido por la Segunda Sala de la Suprema Corte de Justicia de la Nación en su jurisprudencia 2ª. J.58/2010, de rubro: </w:t>
      </w:r>
      <w:r w:rsidRPr="00D233AE">
        <w:rPr>
          <w:rFonts w:ascii="Arial" w:hAnsi="Arial" w:cs="Arial"/>
          <w:b/>
          <w:bCs/>
          <w:i/>
          <w:iCs/>
        </w:rPr>
        <w:t>“CONCEPTOS DE VIOLACIÓN O AGRAVIOS. PARA CUMPLIR CON LOS PRINCIPIOS DE CONGRUENCIA Y EXHAUSTIVIDAD EN LAS SENTENCIAS DE AMPARO ES INNECESARIA SU TRANSCRIPCIÓN,”</w:t>
      </w:r>
      <w:r w:rsidRPr="00D233AE">
        <w:rPr>
          <w:rFonts w:ascii="Arial" w:hAnsi="Arial" w:cs="Arial"/>
        </w:rPr>
        <w:t xml:space="preserve"> asimismo, resultan aplicables los criterios emitidos por la </w:t>
      </w:r>
      <w:r w:rsidRPr="00D233AE">
        <w:rPr>
          <w:rFonts w:ascii="Arial" w:hAnsi="Arial" w:cs="Arial"/>
          <w:i/>
          <w:iCs/>
        </w:rPr>
        <w:t>Sala Superior</w:t>
      </w:r>
      <w:r w:rsidRPr="00D233AE">
        <w:rPr>
          <w:rFonts w:ascii="Arial" w:hAnsi="Arial" w:cs="Arial"/>
        </w:rPr>
        <w:t xml:space="preserve"> en las jurisprudencias 4/99 de rubro: </w:t>
      </w:r>
      <w:r w:rsidRPr="00D233AE">
        <w:rPr>
          <w:rFonts w:ascii="Arial" w:hAnsi="Arial" w:cs="Arial"/>
          <w:b/>
          <w:bCs/>
          <w:i/>
          <w:iCs/>
        </w:rPr>
        <w:t>“MEDIOS DE IMPUGNACIÓN EN MATERIA ELECTORAL. EL RESOLUTOR DEBE INTERPRETAR EL OCURSO QUE LOS CONTENGA PARA DETERMINAR LA VERDADERA INTENCIÓN DEL ACTOR”</w:t>
      </w:r>
      <w:r w:rsidRPr="00D233AE">
        <w:rPr>
          <w:rFonts w:ascii="Arial" w:hAnsi="Arial" w:cs="Arial"/>
        </w:rPr>
        <w:t xml:space="preserve"> y la 3/2000, intitulada: </w:t>
      </w:r>
      <w:r w:rsidRPr="00D233AE">
        <w:rPr>
          <w:rFonts w:ascii="Arial" w:hAnsi="Arial" w:cs="Arial"/>
          <w:b/>
          <w:bCs/>
          <w:i/>
          <w:iCs/>
        </w:rPr>
        <w:t>“AGRAVIOS. PARA TENERLOS POR DEBIDAMENTE CONFIGURADOS ES SUFICIENTE CON EXPRESAR LA CAUSA DE PEDIR”</w:t>
      </w:r>
      <w:r w:rsidRPr="00D233AE">
        <w:rPr>
          <w:rFonts w:ascii="Arial" w:hAnsi="Arial" w:cs="Arial"/>
          <w:b/>
          <w:bCs/>
        </w:rPr>
        <w:t>.</w:t>
      </w:r>
    </w:p>
  </w:footnote>
  <w:footnote w:id="25">
    <w:p w14:paraId="174F24E8" w14:textId="77777777" w:rsidR="00B441C5" w:rsidRPr="00D233AE" w:rsidRDefault="00B441C5"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w:t>
      </w:r>
      <w:r w:rsidRPr="00D233AE">
        <w:rPr>
          <w:rFonts w:ascii="Arial" w:eastAsia="Arial" w:hAnsi="Arial" w:cs="Arial"/>
          <w:spacing w:val="-1"/>
        </w:rPr>
        <w:t>Ci</w:t>
      </w:r>
      <w:r w:rsidRPr="00D233AE">
        <w:rPr>
          <w:rFonts w:ascii="Arial" w:eastAsia="Arial" w:hAnsi="Arial" w:cs="Arial"/>
          <w:spacing w:val="1"/>
        </w:rPr>
        <w:t>r</w:t>
      </w:r>
      <w:r w:rsidRPr="00D233AE">
        <w:rPr>
          <w:rFonts w:ascii="Arial" w:eastAsia="Arial" w:hAnsi="Arial" w:cs="Arial"/>
        </w:rPr>
        <w:t>cu</w:t>
      </w:r>
      <w:r w:rsidRPr="00D233AE">
        <w:rPr>
          <w:rFonts w:ascii="Arial" w:eastAsia="Arial" w:hAnsi="Arial" w:cs="Arial"/>
          <w:spacing w:val="-1"/>
        </w:rPr>
        <w:t>n</w:t>
      </w:r>
      <w:r w:rsidRPr="00D233AE">
        <w:rPr>
          <w:rFonts w:ascii="Arial" w:eastAsia="Arial" w:hAnsi="Arial" w:cs="Arial"/>
        </w:rPr>
        <w:t>s</w:t>
      </w:r>
      <w:r w:rsidRPr="00D233AE">
        <w:rPr>
          <w:rFonts w:ascii="Arial" w:eastAsia="Arial" w:hAnsi="Arial" w:cs="Arial"/>
          <w:spacing w:val="1"/>
        </w:rPr>
        <w:t>t</w:t>
      </w:r>
      <w:r w:rsidRPr="00D233AE">
        <w:rPr>
          <w:rFonts w:ascii="Arial" w:eastAsia="Arial" w:hAnsi="Arial" w:cs="Arial"/>
        </w:rPr>
        <w:t>a</w:t>
      </w:r>
      <w:r w:rsidRPr="00D233AE">
        <w:rPr>
          <w:rFonts w:ascii="Arial" w:eastAsia="Arial" w:hAnsi="Arial" w:cs="Arial"/>
          <w:spacing w:val="-3"/>
        </w:rPr>
        <w:t>n</w:t>
      </w:r>
      <w:r w:rsidRPr="00D233AE">
        <w:rPr>
          <w:rFonts w:ascii="Arial" w:eastAsia="Arial" w:hAnsi="Arial" w:cs="Arial"/>
        </w:rPr>
        <w:t>c</w:t>
      </w:r>
      <w:r w:rsidRPr="00D233AE">
        <w:rPr>
          <w:rFonts w:ascii="Arial" w:eastAsia="Arial" w:hAnsi="Arial" w:cs="Arial"/>
          <w:spacing w:val="-1"/>
        </w:rPr>
        <w:t>i</w:t>
      </w:r>
      <w:r w:rsidRPr="00D233AE">
        <w:rPr>
          <w:rFonts w:ascii="Arial" w:eastAsia="Arial" w:hAnsi="Arial" w:cs="Arial"/>
        </w:rPr>
        <w:t>a</w:t>
      </w:r>
      <w:r w:rsidRPr="00D233AE">
        <w:rPr>
          <w:rFonts w:ascii="Arial" w:eastAsia="Arial" w:hAnsi="Arial" w:cs="Arial"/>
          <w:spacing w:val="15"/>
        </w:rPr>
        <w:t xml:space="preserve"> </w:t>
      </w:r>
      <w:r w:rsidRPr="00D233AE">
        <w:rPr>
          <w:rFonts w:ascii="Arial" w:eastAsia="Arial" w:hAnsi="Arial" w:cs="Arial"/>
        </w:rPr>
        <w:t>q</w:t>
      </w:r>
      <w:r w:rsidRPr="00D233AE">
        <w:rPr>
          <w:rFonts w:ascii="Arial" w:eastAsia="Arial" w:hAnsi="Arial" w:cs="Arial"/>
          <w:spacing w:val="-1"/>
        </w:rPr>
        <w:t>u</w:t>
      </w:r>
      <w:r w:rsidRPr="00D233AE">
        <w:rPr>
          <w:rFonts w:ascii="Arial" w:eastAsia="Arial" w:hAnsi="Arial" w:cs="Arial"/>
        </w:rPr>
        <w:t>e</w:t>
      </w:r>
      <w:r w:rsidRPr="00D233AE">
        <w:rPr>
          <w:rFonts w:ascii="Arial" w:eastAsia="Arial" w:hAnsi="Arial" w:cs="Arial"/>
          <w:spacing w:val="13"/>
        </w:rPr>
        <w:t xml:space="preserve"> </w:t>
      </w:r>
      <w:r w:rsidRPr="00D233AE">
        <w:rPr>
          <w:rFonts w:ascii="Arial" w:eastAsia="Arial" w:hAnsi="Arial" w:cs="Arial"/>
        </w:rPr>
        <w:t>e</w:t>
      </w:r>
      <w:r w:rsidRPr="00D233AE">
        <w:rPr>
          <w:rFonts w:ascii="Arial" w:eastAsia="Arial" w:hAnsi="Arial" w:cs="Arial"/>
          <w:spacing w:val="-1"/>
        </w:rPr>
        <w:t>n</w:t>
      </w:r>
      <w:r w:rsidRPr="00D233AE">
        <w:rPr>
          <w:rFonts w:ascii="Arial" w:eastAsia="Arial" w:hAnsi="Arial" w:cs="Arial"/>
          <w:spacing w:val="-2"/>
        </w:rPr>
        <w:t>c</w:t>
      </w:r>
      <w:r w:rsidRPr="00D233AE">
        <w:rPr>
          <w:rFonts w:ascii="Arial" w:eastAsia="Arial" w:hAnsi="Arial" w:cs="Arial"/>
        </w:rPr>
        <w:t>u</w:t>
      </w:r>
      <w:r w:rsidRPr="00D233AE">
        <w:rPr>
          <w:rFonts w:ascii="Arial" w:eastAsia="Arial" w:hAnsi="Arial" w:cs="Arial"/>
          <w:spacing w:val="-1"/>
        </w:rPr>
        <w:t>e</w:t>
      </w:r>
      <w:r w:rsidRPr="00D233AE">
        <w:rPr>
          <w:rFonts w:ascii="Arial" w:eastAsia="Arial" w:hAnsi="Arial" w:cs="Arial"/>
        </w:rPr>
        <w:t>nt</w:t>
      </w:r>
      <w:r w:rsidRPr="00D233AE">
        <w:rPr>
          <w:rFonts w:ascii="Arial" w:eastAsia="Arial" w:hAnsi="Arial" w:cs="Arial"/>
          <w:spacing w:val="1"/>
        </w:rPr>
        <w:t>r</w:t>
      </w:r>
      <w:r w:rsidRPr="00D233AE">
        <w:rPr>
          <w:rFonts w:ascii="Arial" w:eastAsia="Arial" w:hAnsi="Arial" w:cs="Arial"/>
        </w:rPr>
        <w:t>a</w:t>
      </w:r>
      <w:r w:rsidRPr="00D233AE">
        <w:rPr>
          <w:rFonts w:ascii="Arial" w:eastAsia="Arial" w:hAnsi="Arial" w:cs="Arial"/>
          <w:spacing w:val="13"/>
        </w:rPr>
        <w:t xml:space="preserve"> </w:t>
      </w:r>
      <w:r w:rsidRPr="00D233AE">
        <w:rPr>
          <w:rFonts w:ascii="Arial" w:eastAsia="Arial" w:hAnsi="Arial" w:cs="Arial"/>
        </w:rPr>
        <w:t>su</w:t>
      </w:r>
      <w:r w:rsidRPr="00D233AE">
        <w:rPr>
          <w:rFonts w:ascii="Arial" w:eastAsia="Arial" w:hAnsi="Arial" w:cs="Arial"/>
          <w:spacing w:val="-3"/>
        </w:rPr>
        <w:t>s</w:t>
      </w:r>
      <w:r w:rsidRPr="00D233AE">
        <w:rPr>
          <w:rFonts w:ascii="Arial" w:eastAsia="Arial" w:hAnsi="Arial" w:cs="Arial"/>
          <w:spacing w:val="1"/>
        </w:rPr>
        <w:t>t</w:t>
      </w:r>
      <w:r w:rsidRPr="00D233AE">
        <w:rPr>
          <w:rFonts w:ascii="Arial" w:eastAsia="Arial" w:hAnsi="Arial" w:cs="Arial"/>
        </w:rPr>
        <w:t>e</w:t>
      </w:r>
      <w:r w:rsidRPr="00D233AE">
        <w:rPr>
          <w:rFonts w:ascii="Arial" w:eastAsia="Arial" w:hAnsi="Arial" w:cs="Arial"/>
          <w:spacing w:val="-1"/>
        </w:rPr>
        <w:t>n</w:t>
      </w:r>
      <w:r w:rsidRPr="00D233AE">
        <w:rPr>
          <w:rFonts w:ascii="Arial" w:eastAsia="Arial" w:hAnsi="Arial" w:cs="Arial"/>
          <w:spacing w:val="1"/>
        </w:rPr>
        <w:t>t</w:t>
      </w:r>
      <w:r w:rsidRPr="00D233AE">
        <w:rPr>
          <w:rFonts w:ascii="Arial" w:eastAsia="Arial" w:hAnsi="Arial" w:cs="Arial"/>
        </w:rPr>
        <w:t>o</w:t>
      </w:r>
      <w:r w:rsidRPr="00D233AE">
        <w:rPr>
          <w:rFonts w:ascii="Arial" w:eastAsia="Arial" w:hAnsi="Arial" w:cs="Arial"/>
          <w:spacing w:val="13"/>
        </w:rPr>
        <w:t xml:space="preserve"> </w:t>
      </w:r>
      <w:r w:rsidRPr="00D233AE">
        <w:rPr>
          <w:rFonts w:ascii="Arial" w:eastAsia="Arial" w:hAnsi="Arial" w:cs="Arial"/>
        </w:rPr>
        <w:t>en</w:t>
      </w:r>
      <w:r w:rsidRPr="00D233AE">
        <w:rPr>
          <w:rFonts w:ascii="Arial" w:eastAsia="Arial" w:hAnsi="Arial" w:cs="Arial"/>
          <w:spacing w:val="13"/>
        </w:rPr>
        <w:t xml:space="preserve"> </w:t>
      </w:r>
      <w:r w:rsidRPr="00D233AE">
        <w:rPr>
          <w:rFonts w:ascii="Arial" w:eastAsia="Arial" w:hAnsi="Arial" w:cs="Arial"/>
          <w:spacing w:val="-1"/>
        </w:rPr>
        <w:t>l</w:t>
      </w:r>
      <w:r w:rsidRPr="00D233AE">
        <w:rPr>
          <w:rFonts w:ascii="Arial" w:eastAsia="Arial" w:hAnsi="Arial" w:cs="Arial"/>
        </w:rPr>
        <w:t>a</w:t>
      </w:r>
      <w:r w:rsidRPr="00D233AE">
        <w:rPr>
          <w:rFonts w:ascii="Arial" w:eastAsia="Arial" w:hAnsi="Arial" w:cs="Arial"/>
          <w:spacing w:val="13"/>
        </w:rPr>
        <w:t xml:space="preserve"> </w:t>
      </w:r>
      <w:r w:rsidRPr="00D233AE">
        <w:rPr>
          <w:rFonts w:ascii="Arial" w:eastAsia="Arial" w:hAnsi="Arial" w:cs="Arial"/>
          <w:spacing w:val="-1"/>
        </w:rPr>
        <w:t>j</w:t>
      </w:r>
      <w:r w:rsidRPr="00D233AE">
        <w:rPr>
          <w:rFonts w:ascii="Arial" w:eastAsia="Arial" w:hAnsi="Arial" w:cs="Arial"/>
        </w:rPr>
        <w:t>uris</w:t>
      </w:r>
      <w:r w:rsidRPr="00D233AE">
        <w:rPr>
          <w:rFonts w:ascii="Arial" w:eastAsia="Arial" w:hAnsi="Arial" w:cs="Arial"/>
          <w:spacing w:val="-1"/>
        </w:rPr>
        <w:t>p</w:t>
      </w:r>
      <w:r w:rsidRPr="00D233AE">
        <w:rPr>
          <w:rFonts w:ascii="Arial" w:eastAsia="Arial" w:hAnsi="Arial" w:cs="Arial"/>
          <w:spacing w:val="1"/>
        </w:rPr>
        <w:t>r</w:t>
      </w:r>
      <w:r w:rsidRPr="00D233AE">
        <w:rPr>
          <w:rFonts w:ascii="Arial" w:eastAsia="Arial" w:hAnsi="Arial" w:cs="Arial"/>
        </w:rPr>
        <w:t>u</w:t>
      </w:r>
      <w:r w:rsidRPr="00D233AE">
        <w:rPr>
          <w:rFonts w:ascii="Arial" w:eastAsia="Arial" w:hAnsi="Arial" w:cs="Arial"/>
          <w:spacing w:val="-1"/>
        </w:rPr>
        <w:t>d</w:t>
      </w:r>
      <w:r w:rsidRPr="00D233AE">
        <w:rPr>
          <w:rFonts w:ascii="Arial" w:eastAsia="Arial" w:hAnsi="Arial" w:cs="Arial"/>
        </w:rPr>
        <w:t>e</w:t>
      </w:r>
      <w:r w:rsidRPr="00D233AE">
        <w:rPr>
          <w:rFonts w:ascii="Arial" w:eastAsia="Arial" w:hAnsi="Arial" w:cs="Arial"/>
          <w:spacing w:val="-1"/>
        </w:rPr>
        <w:t>n</w:t>
      </w:r>
      <w:r w:rsidRPr="00D233AE">
        <w:rPr>
          <w:rFonts w:ascii="Arial" w:eastAsia="Arial" w:hAnsi="Arial" w:cs="Arial"/>
        </w:rPr>
        <w:t>c</w:t>
      </w:r>
      <w:r w:rsidRPr="00D233AE">
        <w:rPr>
          <w:rFonts w:ascii="Arial" w:eastAsia="Arial" w:hAnsi="Arial" w:cs="Arial"/>
          <w:spacing w:val="-1"/>
        </w:rPr>
        <w:t>i</w:t>
      </w:r>
      <w:r w:rsidRPr="00D233AE">
        <w:rPr>
          <w:rFonts w:ascii="Arial" w:eastAsia="Arial" w:hAnsi="Arial" w:cs="Arial"/>
        </w:rPr>
        <w:t>a</w:t>
      </w:r>
      <w:r w:rsidRPr="00D233AE">
        <w:rPr>
          <w:rFonts w:ascii="Arial" w:eastAsia="Arial" w:hAnsi="Arial" w:cs="Arial"/>
          <w:spacing w:val="15"/>
        </w:rPr>
        <w:t xml:space="preserve"> </w:t>
      </w:r>
      <w:r w:rsidRPr="00D233AE">
        <w:rPr>
          <w:rFonts w:ascii="Arial" w:eastAsia="Arial" w:hAnsi="Arial" w:cs="Arial"/>
          <w:spacing w:val="-3"/>
        </w:rPr>
        <w:t>4</w:t>
      </w:r>
      <w:r w:rsidRPr="00D233AE">
        <w:rPr>
          <w:rFonts w:ascii="Arial" w:eastAsia="Arial" w:hAnsi="Arial" w:cs="Arial"/>
          <w:spacing w:val="1"/>
        </w:rPr>
        <w:t>/</w:t>
      </w:r>
      <w:r w:rsidRPr="00D233AE">
        <w:rPr>
          <w:rFonts w:ascii="Arial" w:eastAsia="Arial" w:hAnsi="Arial" w:cs="Arial"/>
        </w:rPr>
        <w:t>2</w:t>
      </w:r>
      <w:r w:rsidRPr="00D233AE">
        <w:rPr>
          <w:rFonts w:ascii="Arial" w:eastAsia="Arial" w:hAnsi="Arial" w:cs="Arial"/>
          <w:spacing w:val="-1"/>
        </w:rPr>
        <w:t>0</w:t>
      </w:r>
      <w:r w:rsidRPr="00D233AE">
        <w:rPr>
          <w:rFonts w:ascii="Arial" w:eastAsia="Arial" w:hAnsi="Arial" w:cs="Arial"/>
        </w:rPr>
        <w:t>0</w:t>
      </w:r>
      <w:r w:rsidRPr="00D233AE">
        <w:rPr>
          <w:rFonts w:ascii="Arial" w:eastAsia="Arial" w:hAnsi="Arial" w:cs="Arial"/>
          <w:spacing w:val="-3"/>
        </w:rPr>
        <w:t>0</w:t>
      </w:r>
      <w:r w:rsidRPr="00D233AE">
        <w:rPr>
          <w:rFonts w:ascii="Arial" w:eastAsia="Arial" w:hAnsi="Arial" w:cs="Arial"/>
        </w:rPr>
        <w:t>,</w:t>
      </w:r>
      <w:r w:rsidRPr="00D233AE">
        <w:rPr>
          <w:rFonts w:ascii="Arial" w:eastAsia="Arial" w:hAnsi="Arial" w:cs="Arial"/>
          <w:spacing w:val="17"/>
        </w:rPr>
        <w:t xml:space="preserve"> </w:t>
      </w:r>
      <w:r w:rsidRPr="00D233AE">
        <w:rPr>
          <w:rFonts w:ascii="Arial" w:eastAsia="Arial" w:hAnsi="Arial" w:cs="Arial"/>
          <w:spacing w:val="-3"/>
        </w:rPr>
        <w:t>d</w:t>
      </w:r>
      <w:r w:rsidRPr="00D233AE">
        <w:rPr>
          <w:rFonts w:ascii="Arial" w:eastAsia="Arial" w:hAnsi="Arial" w:cs="Arial"/>
        </w:rPr>
        <w:t>e</w:t>
      </w:r>
      <w:r w:rsidRPr="00D233AE">
        <w:rPr>
          <w:rFonts w:ascii="Arial" w:eastAsia="Arial" w:hAnsi="Arial" w:cs="Arial"/>
          <w:spacing w:val="15"/>
        </w:rPr>
        <w:t xml:space="preserve"> </w:t>
      </w:r>
      <w:r w:rsidRPr="00D233AE">
        <w:rPr>
          <w:rFonts w:ascii="Arial" w:eastAsia="Arial" w:hAnsi="Arial" w:cs="Arial"/>
          <w:spacing w:val="1"/>
        </w:rPr>
        <w:t>r</w:t>
      </w:r>
      <w:r w:rsidRPr="00D233AE">
        <w:rPr>
          <w:rFonts w:ascii="Arial" w:eastAsia="Arial" w:hAnsi="Arial" w:cs="Arial"/>
        </w:rPr>
        <w:t>u</w:t>
      </w:r>
      <w:r w:rsidRPr="00D233AE">
        <w:rPr>
          <w:rFonts w:ascii="Arial" w:eastAsia="Arial" w:hAnsi="Arial" w:cs="Arial"/>
          <w:spacing w:val="-3"/>
        </w:rPr>
        <w:t>b</w:t>
      </w:r>
      <w:r w:rsidRPr="00D233AE">
        <w:rPr>
          <w:rFonts w:ascii="Arial" w:eastAsia="Arial" w:hAnsi="Arial" w:cs="Arial"/>
          <w:spacing w:val="1"/>
        </w:rPr>
        <w:t>r</w:t>
      </w:r>
      <w:r w:rsidRPr="00D233AE">
        <w:rPr>
          <w:rFonts w:ascii="Arial" w:eastAsia="Arial" w:hAnsi="Arial" w:cs="Arial"/>
        </w:rPr>
        <w:t xml:space="preserve">o: </w:t>
      </w:r>
      <w:r w:rsidRPr="00D233AE">
        <w:rPr>
          <w:rFonts w:ascii="Arial" w:eastAsia="Arial" w:hAnsi="Arial" w:cs="Arial"/>
          <w:i/>
          <w:spacing w:val="1"/>
        </w:rPr>
        <w:t>“</w:t>
      </w:r>
      <w:r w:rsidRPr="00D233AE">
        <w:rPr>
          <w:rFonts w:ascii="Arial" w:eastAsia="Arial" w:hAnsi="Arial" w:cs="Arial"/>
          <w:b/>
          <w:i/>
          <w:spacing w:val="-1"/>
        </w:rPr>
        <w:t>A</w:t>
      </w:r>
      <w:r w:rsidRPr="00D233AE">
        <w:rPr>
          <w:rFonts w:ascii="Arial" w:eastAsia="Arial" w:hAnsi="Arial" w:cs="Arial"/>
          <w:b/>
          <w:i/>
          <w:spacing w:val="1"/>
        </w:rPr>
        <w:t>G</w:t>
      </w:r>
      <w:r w:rsidRPr="00D233AE">
        <w:rPr>
          <w:rFonts w:ascii="Arial" w:eastAsia="Arial" w:hAnsi="Arial" w:cs="Arial"/>
          <w:b/>
          <w:i/>
          <w:spacing w:val="-1"/>
        </w:rPr>
        <w:t>RAVI</w:t>
      </w:r>
      <w:r w:rsidRPr="00D233AE">
        <w:rPr>
          <w:rFonts w:ascii="Arial" w:eastAsia="Arial" w:hAnsi="Arial" w:cs="Arial"/>
          <w:b/>
          <w:i/>
          <w:spacing w:val="1"/>
        </w:rPr>
        <w:t>O</w:t>
      </w:r>
      <w:r w:rsidRPr="00D233AE">
        <w:rPr>
          <w:rFonts w:ascii="Arial" w:eastAsia="Arial" w:hAnsi="Arial" w:cs="Arial"/>
          <w:b/>
          <w:i/>
          <w:spacing w:val="-1"/>
        </w:rPr>
        <w:t>S</w:t>
      </w:r>
      <w:r w:rsidRPr="00D233AE">
        <w:rPr>
          <w:rFonts w:ascii="Arial" w:eastAsia="Arial" w:hAnsi="Arial" w:cs="Arial"/>
          <w:b/>
          <w:i/>
        </w:rPr>
        <w:t>,</w:t>
      </w:r>
      <w:r w:rsidRPr="00D233AE">
        <w:rPr>
          <w:rFonts w:ascii="Arial" w:eastAsia="Arial" w:hAnsi="Arial" w:cs="Arial"/>
          <w:b/>
          <w:i/>
          <w:spacing w:val="4"/>
        </w:rPr>
        <w:t xml:space="preserve"> </w:t>
      </w:r>
      <w:r w:rsidRPr="00D233AE">
        <w:rPr>
          <w:rFonts w:ascii="Arial" w:eastAsia="Arial" w:hAnsi="Arial" w:cs="Arial"/>
          <w:b/>
          <w:i/>
          <w:spacing w:val="-1"/>
        </w:rPr>
        <w:t>S</w:t>
      </w:r>
      <w:r w:rsidRPr="00D233AE">
        <w:rPr>
          <w:rFonts w:ascii="Arial" w:eastAsia="Arial" w:hAnsi="Arial" w:cs="Arial"/>
          <w:b/>
          <w:i/>
        </w:rPr>
        <w:t xml:space="preserve">U </w:t>
      </w:r>
      <w:r w:rsidRPr="00D233AE">
        <w:rPr>
          <w:rFonts w:ascii="Arial" w:eastAsia="Arial" w:hAnsi="Arial" w:cs="Arial"/>
          <w:b/>
          <w:i/>
          <w:spacing w:val="-1"/>
        </w:rPr>
        <w:t>EXA</w:t>
      </w:r>
      <w:r w:rsidRPr="00D233AE">
        <w:rPr>
          <w:rFonts w:ascii="Arial" w:eastAsia="Arial" w:hAnsi="Arial" w:cs="Arial"/>
          <w:b/>
          <w:i/>
          <w:spacing w:val="-2"/>
        </w:rPr>
        <w:t>M</w:t>
      </w:r>
      <w:r w:rsidRPr="00D233AE">
        <w:rPr>
          <w:rFonts w:ascii="Arial" w:eastAsia="Arial" w:hAnsi="Arial" w:cs="Arial"/>
          <w:b/>
          <w:i/>
          <w:spacing w:val="-1"/>
        </w:rPr>
        <w:t>E</w:t>
      </w:r>
      <w:r w:rsidRPr="00D233AE">
        <w:rPr>
          <w:rFonts w:ascii="Arial" w:eastAsia="Arial" w:hAnsi="Arial" w:cs="Arial"/>
          <w:b/>
          <w:i/>
        </w:rPr>
        <w:t>N</w:t>
      </w:r>
      <w:r w:rsidRPr="00D233AE">
        <w:rPr>
          <w:rFonts w:ascii="Arial" w:eastAsia="Arial" w:hAnsi="Arial" w:cs="Arial"/>
          <w:b/>
          <w:i/>
          <w:spacing w:val="2"/>
        </w:rPr>
        <w:t xml:space="preserve"> </w:t>
      </w:r>
      <w:r w:rsidRPr="00D233AE">
        <w:rPr>
          <w:rFonts w:ascii="Arial" w:eastAsia="Arial" w:hAnsi="Arial" w:cs="Arial"/>
          <w:b/>
          <w:i/>
          <w:spacing w:val="-1"/>
        </w:rPr>
        <w:t>E</w:t>
      </w:r>
      <w:r w:rsidRPr="00D233AE">
        <w:rPr>
          <w:rFonts w:ascii="Arial" w:eastAsia="Arial" w:hAnsi="Arial" w:cs="Arial"/>
          <w:b/>
          <w:i/>
        </w:rPr>
        <w:t>N</w:t>
      </w:r>
      <w:r w:rsidRPr="00D233AE">
        <w:rPr>
          <w:rFonts w:ascii="Arial" w:eastAsia="Arial" w:hAnsi="Arial" w:cs="Arial"/>
          <w:b/>
          <w:i/>
          <w:spacing w:val="2"/>
        </w:rPr>
        <w:t xml:space="preserve"> </w:t>
      </w:r>
      <w:r w:rsidRPr="00D233AE">
        <w:rPr>
          <w:rFonts w:ascii="Arial" w:eastAsia="Arial" w:hAnsi="Arial" w:cs="Arial"/>
          <w:b/>
          <w:i/>
          <w:spacing w:val="-1"/>
        </w:rPr>
        <w:t>C</w:t>
      </w:r>
      <w:r w:rsidRPr="00D233AE">
        <w:rPr>
          <w:rFonts w:ascii="Arial" w:eastAsia="Arial" w:hAnsi="Arial" w:cs="Arial"/>
          <w:b/>
          <w:i/>
          <w:spacing w:val="1"/>
        </w:rPr>
        <w:t>O</w:t>
      </w:r>
      <w:r w:rsidRPr="00D233AE">
        <w:rPr>
          <w:rFonts w:ascii="Arial" w:eastAsia="Arial" w:hAnsi="Arial" w:cs="Arial"/>
          <w:b/>
          <w:i/>
          <w:spacing w:val="-1"/>
        </w:rPr>
        <w:t>N</w:t>
      </w:r>
      <w:r w:rsidRPr="00D233AE">
        <w:rPr>
          <w:rFonts w:ascii="Arial" w:eastAsia="Arial" w:hAnsi="Arial" w:cs="Arial"/>
          <w:b/>
          <w:i/>
        </w:rPr>
        <w:t>J</w:t>
      </w:r>
      <w:r w:rsidRPr="00D233AE">
        <w:rPr>
          <w:rFonts w:ascii="Arial" w:eastAsia="Arial" w:hAnsi="Arial" w:cs="Arial"/>
          <w:b/>
          <w:i/>
          <w:spacing w:val="-1"/>
        </w:rPr>
        <w:t>UN</w:t>
      </w:r>
      <w:r w:rsidRPr="00D233AE">
        <w:rPr>
          <w:rFonts w:ascii="Arial" w:eastAsia="Arial" w:hAnsi="Arial" w:cs="Arial"/>
          <w:b/>
          <w:i/>
        </w:rPr>
        <w:t>TO</w:t>
      </w:r>
      <w:r w:rsidRPr="00D233AE">
        <w:rPr>
          <w:rFonts w:ascii="Arial" w:eastAsia="Arial" w:hAnsi="Arial" w:cs="Arial"/>
          <w:b/>
          <w:i/>
          <w:spacing w:val="1"/>
        </w:rPr>
        <w:t xml:space="preserve"> </w:t>
      </w:r>
      <w:r w:rsidRPr="00D233AE">
        <w:rPr>
          <w:rFonts w:ascii="Arial" w:eastAsia="Arial" w:hAnsi="Arial" w:cs="Arial"/>
          <w:b/>
          <w:i/>
        </w:rPr>
        <w:t>O</w:t>
      </w:r>
      <w:r w:rsidRPr="00D233AE">
        <w:rPr>
          <w:rFonts w:ascii="Arial" w:eastAsia="Arial" w:hAnsi="Arial" w:cs="Arial"/>
          <w:b/>
          <w:i/>
          <w:spacing w:val="4"/>
        </w:rPr>
        <w:t xml:space="preserve"> </w:t>
      </w:r>
      <w:r w:rsidRPr="00D233AE">
        <w:rPr>
          <w:rFonts w:ascii="Arial" w:eastAsia="Arial" w:hAnsi="Arial" w:cs="Arial"/>
          <w:b/>
          <w:i/>
          <w:spacing w:val="-3"/>
        </w:rPr>
        <w:t>S</w:t>
      </w:r>
      <w:r w:rsidRPr="00D233AE">
        <w:rPr>
          <w:rFonts w:ascii="Arial" w:eastAsia="Arial" w:hAnsi="Arial" w:cs="Arial"/>
          <w:b/>
          <w:i/>
          <w:spacing w:val="-1"/>
        </w:rPr>
        <w:t>EPARAD</w:t>
      </w:r>
      <w:r w:rsidRPr="00D233AE">
        <w:rPr>
          <w:rFonts w:ascii="Arial" w:eastAsia="Arial" w:hAnsi="Arial" w:cs="Arial"/>
          <w:b/>
          <w:i/>
          <w:spacing w:val="1"/>
        </w:rPr>
        <w:t>O</w:t>
      </w:r>
      <w:r w:rsidRPr="00D233AE">
        <w:rPr>
          <w:rFonts w:ascii="Arial" w:eastAsia="Arial" w:hAnsi="Arial" w:cs="Arial"/>
          <w:b/>
          <w:i/>
        </w:rPr>
        <w:t>,</w:t>
      </w:r>
      <w:r w:rsidRPr="00D233AE">
        <w:rPr>
          <w:rFonts w:ascii="Arial" w:eastAsia="Arial" w:hAnsi="Arial" w:cs="Arial"/>
          <w:b/>
          <w:i/>
          <w:spacing w:val="4"/>
        </w:rPr>
        <w:t xml:space="preserve"> </w:t>
      </w:r>
      <w:r w:rsidRPr="00D233AE">
        <w:rPr>
          <w:rFonts w:ascii="Arial" w:eastAsia="Arial" w:hAnsi="Arial" w:cs="Arial"/>
          <w:b/>
          <w:i/>
          <w:spacing w:val="-1"/>
        </w:rPr>
        <w:t>N</w:t>
      </w:r>
      <w:r w:rsidRPr="00D233AE">
        <w:rPr>
          <w:rFonts w:ascii="Arial" w:eastAsia="Arial" w:hAnsi="Arial" w:cs="Arial"/>
          <w:b/>
          <w:i/>
        </w:rPr>
        <w:t>O</w:t>
      </w:r>
      <w:r w:rsidRPr="00D233AE">
        <w:rPr>
          <w:rFonts w:ascii="Arial" w:eastAsia="Arial" w:hAnsi="Arial" w:cs="Arial"/>
          <w:b/>
          <w:i/>
          <w:spacing w:val="2"/>
        </w:rPr>
        <w:t xml:space="preserve"> </w:t>
      </w:r>
      <w:r w:rsidRPr="00D233AE">
        <w:rPr>
          <w:rFonts w:ascii="Arial" w:eastAsia="Arial" w:hAnsi="Arial" w:cs="Arial"/>
          <w:b/>
          <w:i/>
          <w:spacing w:val="-1"/>
        </w:rPr>
        <w:t>CAUS</w:t>
      </w:r>
      <w:r w:rsidRPr="00D233AE">
        <w:rPr>
          <w:rFonts w:ascii="Arial" w:eastAsia="Arial" w:hAnsi="Arial" w:cs="Arial"/>
          <w:b/>
          <w:i/>
        </w:rPr>
        <w:t>A</w:t>
      </w:r>
      <w:r w:rsidRPr="00D233AE">
        <w:rPr>
          <w:rFonts w:ascii="Arial" w:eastAsia="Arial" w:hAnsi="Arial" w:cs="Arial"/>
          <w:b/>
          <w:i/>
          <w:spacing w:val="2"/>
        </w:rPr>
        <w:t xml:space="preserve"> </w:t>
      </w:r>
      <w:r w:rsidRPr="00D233AE">
        <w:rPr>
          <w:rFonts w:ascii="Arial" w:eastAsia="Arial" w:hAnsi="Arial" w:cs="Arial"/>
          <w:b/>
          <w:i/>
        </w:rPr>
        <w:t>L</w:t>
      </w:r>
      <w:r w:rsidRPr="00D233AE">
        <w:rPr>
          <w:rFonts w:ascii="Arial" w:eastAsia="Arial" w:hAnsi="Arial" w:cs="Arial"/>
          <w:b/>
          <w:i/>
          <w:spacing w:val="-1"/>
        </w:rPr>
        <w:t>ES</w:t>
      </w:r>
      <w:r w:rsidRPr="00D233AE">
        <w:rPr>
          <w:rFonts w:ascii="Arial" w:eastAsia="Arial" w:hAnsi="Arial" w:cs="Arial"/>
          <w:b/>
          <w:i/>
          <w:spacing w:val="1"/>
        </w:rPr>
        <w:t>IÓ</w:t>
      </w:r>
      <w:r w:rsidRPr="00D233AE">
        <w:rPr>
          <w:rFonts w:ascii="Arial" w:eastAsia="Arial" w:hAnsi="Arial" w:cs="Arial"/>
          <w:b/>
          <w:i/>
          <w:spacing w:val="-1"/>
        </w:rPr>
        <w:t>N</w:t>
      </w:r>
      <w:r w:rsidRPr="00D233AE">
        <w:rPr>
          <w:rFonts w:ascii="Arial" w:eastAsia="Arial" w:hAnsi="Arial" w:cs="Arial"/>
          <w:b/>
          <w:i/>
          <w:spacing w:val="4"/>
        </w:rPr>
        <w:t>”</w:t>
      </w:r>
      <w:r w:rsidRPr="00D233AE">
        <w:rPr>
          <w:rFonts w:ascii="Arial" w:eastAsia="Arial" w:hAnsi="Arial" w:cs="Arial"/>
        </w:rPr>
        <w:t xml:space="preserve">, </w:t>
      </w:r>
      <w:r w:rsidRPr="00D233AE">
        <w:rPr>
          <w:rFonts w:ascii="Arial" w:eastAsia="Arial" w:hAnsi="Arial" w:cs="Arial"/>
          <w:spacing w:val="-1"/>
        </w:rPr>
        <w:t>C</w:t>
      </w:r>
      <w:r w:rsidRPr="00D233AE">
        <w:rPr>
          <w:rFonts w:ascii="Arial" w:eastAsia="Arial" w:hAnsi="Arial" w:cs="Arial"/>
        </w:rPr>
        <w:t>o</w:t>
      </w:r>
      <w:r w:rsidRPr="00D233AE">
        <w:rPr>
          <w:rFonts w:ascii="Arial" w:eastAsia="Arial" w:hAnsi="Arial" w:cs="Arial"/>
          <w:spacing w:val="-1"/>
        </w:rPr>
        <w:t>n</w:t>
      </w:r>
      <w:r w:rsidRPr="00D233AE">
        <w:rPr>
          <w:rFonts w:ascii="Arial" w:eastAsia="Arial" w:hAnsi="Arial" w:cs="Arial"/>
        </w:rPr>
        <w:t>su</w:t>
      </w:r>
      <w:r w:rsidRPr="00D233AE">
        <w:rPr>
          <w:rFonts w:ascii="Arial" w:eastAsia="Arial" w:hAnsi="Arial" w:cs="Arial"/>
          <w:spacing w:val="-1"/>
        </w:rPr>
        <w:t>l</w:t>
      </w:r>
      <w:r w:rsidRPr="00D233AE">
        <w:rPr>
          <w:rFonts w:ascii="Arial" w:eastAsia="Arial" w:hAnsi="Arial" w:cs="Arial"/>
          <w:spacing w:val="1"/>
        </w:rPr>
        <w:t>t</w:t>
      </w:r>
      <w:r w:rsidRPr="00D233AE">
        <w:rPr>
          <w:rFonts w:ascii="Arial" w:eastAsia="Arial" w:hAnsi="Arial" w:cs="Arial"/>
        </w:rPr>
        <w:t>a</w:t>
      </w:r>
      <w:r w:rsidRPr="00D233AE">
        <w:rPr>
          <w:rFonts w:ascii="Arial" w:eastAsia="Arial" w:hAnsi="Arial" w:cs="Arial"/>
          <w:spacing w:val="-1"/>
        </w:rPr>
        <w:t>bl</w:t>
      </w:r>
      <w:r w:rsidRPr="00D233AE">
        <w:rPr>
          <w:rFonts w:ascii="Arial" w:eastAsia="Arial" w:hAnsi="Arial" w:cs="Arial"/>
        </w:rPr>
        <w:t>e en</w:t>
      </w:r>
      <w:r w:rsidRPr="00D233AE">
        <w:rPr>
          <w:rFonts w:ascii="Arial" w:eastAsia="Arial" w:hAnsi="Arial" w:cs="Arial"/>
          <w:spacing w:val="1"/>
        </w:rPr>
        <w:t xml:space="preserve"> </w:t>
      </w:r>
      <w:r w:rsidRPr="00D233AE">
        <w:rPr>
          <w:rFonts w:ascii="Arial" w:eastAsia="Arial" w:hAnsi="Arial" w:cs="Arial"/>
          <w:spacing w:val="-1"/>
        </w:rPr>
        <w:t>l</w:t>
      </w:r>
      <w:r w:rsidRPr="00D233AE">
        <w:rPr>
          <w:rFonts w:ascii="Arial" w:eastAsia="Arial" w:hAnsi="Arial" w:cs="Arial"/>
        </w:rPr>
        <w:t>a</w:t>
      </w:r>
      <w:r w:rsidRPr="00D233AE">
        <w:rPr>
          <w:rFonts w:ascii="Arial" w:eastAsia="Arial" w:hAnsi="Arial" w:cs="Arial"/>
          <w:spacing w:val="3"/>
        </w:rPr>
        <w:t xml:space="preserve"> </w:t>
      </w:r>
      <w:r w:rsidRPr="00D233AE">
        <w:rPr>
          <w:rFonts w:ascii="Arial" w:eastAsia="Arial" w:hAnsi="Arial" w:cs="Arial"/>
          <w:spacing w:val="-1"/>
        </w:rPr>
        <w:t>C</w:t>
      </w:r>
      <w:r w:rsidRPr="00D233AE">
        <w:rPr>
          <w:rFonts w:ascii="Arial" w:eastAsia="Arial" w:hAnsi="Arial" w:cs="Arial"/>
        </w:rPr>
        <w:t>omp</w:t>
      </w:r>
      <w:r w:rsidRPr="00D233AE">
        <w:rPr>
          <w:rFonts w:ascii="Arial" w:eastAsia="Arial" w:hAnsi="Arial" w:cs="Arial"/>
          <w:spacing w:val="-1"/>
        </w:rPr>
        <w:t>il</w:t>
      </w:r>
      <w:r w:rsidRPr="00D233AE">
        <w:rPr>
          <w:rFonts w:ascii="Arial" w:eastAsia="Arial" w:hAnsi="Arial" w:cs="Arial"/>
        </w:rPr>
        <w:t>ac</w:t>
      </w:r>
      <w:r w:rsidRPr="00D233AE">
        <w:rPr>
          <w:rFonts w:ascii="Arial" w:eastAsia="Arial" w:hAnsi="Arial" w:cs="Arial"/>
          <w:spacing w:val="-1"/>
        </w:rPr>
        <w:t>i</w:t>
      </w:r>
      <w:r w:rsidRPr="00D233AE">
        <w:rPr>
          <w:rFonts w:ascii="Arial" w:eastAsia="Arial" w:hAnsi="Arial" w:cs="Arial"/>
        </w:rPr>
        <w:t>ón</w:t>
      </w:r>
      <w:r w:rsidRPr="00D233AE">
        <w:rPr>
          <w:rFonts w:ascii="Arial" w:eastAsia="Arial" w:hAnsi="Arial" w:cs="Arial"/>
          <w:spacing w:val="1"/>
        </w:rPr>
        <w:t xml:space="preserve"> </w:t>
      </w:r>
      <w:r w:rsidRPr="00D233AE">
        <w:rPr>
          <w:rFonts w:ascii="Arial" w:eastAsia="Arial" w:hAnsi="Arial" w:cs="Arial"/>
        </w:rPr>
        <w:t>1</w:t>
      </w:r>
      <w:r w:rsidRPr="00D233AE">
        <w:rPr>
          <w:rFonts w:ascii="Arial" w:eastAsia="Arial" w:hAnsi="Arial" w:cs="Arial"/>
          <w:spacing w:val="-1"/>
        </w:rPr>
        <w:t>9</w:t>
      </w:r>
      <w:r w:rsidRPr="00D233AE">
        <w:rPr>
          <w:rFonts w:ascii="Arial" w:eastAsia="Arial" w:hAnsi="Arial" w:cs="Arial"/>
        </w:rPr>
        <w:t>97</w:t>
      </w:r>
      <w:r w:rsidRPr="00D233AE">
        <w:rPr>
          <w:rFonts w:ascii="Arial" w:eastAsia="Arial" w:hAnsi="Arial" w:cs="Arial"/>
          <w:spacing w:val="1"/>
        </w:rPr>
        <w:t>-</w:t>
      </w:r>
      <w:r w:rsidRPr="00D233AE">
        <w:rPr>
          <w:rFonts w:ascii="Arial" w:eastAsia="Arial" w:hAnsi="Arial" w:cs="Arial"/>
        </w:rPr>
        <w:t>2</w:t>
      </w:r>
      <w:r w:rsidRPr="00D233AE">
        <w:rPr>
          <w:rFonts w:ascii="Arial" w:eastAsia="Arial" w:hAnsi="Arial" w:cs="Arial"/>
          <w:spacing w:val="-1"/>
        </w:rPr>
        <w:t>0</w:t>
      </w:r>
      <w:r w:rsidRPr="00D233AE">
        <w:rPr>
          <w:rFonts w:ascii="Arial" w:eastAsia="Arial" w:hAnsi="Arial" w:cs="Arial"/>
        </w:rPr>
        <w:t>1</w:t>
      </w:r>
      <w:r w:rsidRPr="00D233AE">
        <w:rPr>
          <w:rFonts w:ascii="Arial" w:eastAsia="Arial" w:hAnsi="Arial" w:cs="Arial"/>
          <w:spacing w:val="-1"/>
        </w:rPr>
        <w:t>3</w:t>
      </w:r>
      <w:r w:rsidRPr="00D233AE">
        <w:rPr>
          <w:rFonts w:ascii="Arial" w:eastAsia="Arial" w:hAnsi="Arial" w:cs="Arial"/>
        </w:rPr>
        <w:t>,</w:t>
      </w:r>
      <w:r w:rsidRPr="00D233AE">
        <w:rPr>
          <w:rFonts w:ascii="Arial" w:eastAsia="Arial" w:hAnsi="Arial" w:cs="Arial"/>
          <w:spacing w:val="1"/>
        </w:rPr>
        <w:t xml:space="preserve"> </w:t>
      </w:r>
      <w:r w:rsidRPr="00D233AE">
        <w:rPr>
          <w:rFonts w:ascii="Arial" w:eastAsia="Arial" w:hAnsi="Arial" w:cs="Arial"/>
        </w:rPr>
        <w:t>Juris</w:t>
      </w:r>
      <w:r w:rsidRPr="00D233AE">
        <w:rPr>
          <w:rFonts w:ascii="Arial" w:eastAsia="Arial" w:hAnsi="Arial" w:cs="Arial"/>
          <w:spacing w:val="-1"/>
        </w:rPr>
        <w:t>p</w:t>
      </w:r>
      <w:r w:rsidRPr="00D233AE">
        <w:rPr>
          <w:rFonts w:ascii="Arial" w:eastAsia="Arial" w:hAnsi="Arial" w:cs="Arial"/>
          <w:spacing w:val="1"/>
        </w:rPr>
        <w:t>r</w:t>
      </w:r>
      <w:r w:rsidRPr="00D233AE">
        <w:rPr>
          <w:rFonts w:ascii="Arial" w:eastAsia="Arial" w:hAnsi="Arial" w:cs="Arial"/>
        </w:rPr>
        <w:t>u</w:t>
      </w:r>
      <w:r w:rsidRPr="00D233AE">
        <w:rPr>
          <w:rFonts w:ascii="Arial" w:eastAsia="Arial" w:hAnsi="Arial" w:cs="Arial"/>
          <w:spacing w:val="-1"/>
        </w:rPr>
        <w:t>d</w:t>
      </w:r>
      <w:r w:rsidRPr="00D233AE">
        <w:rPr>
          <w:rFonts w:ascii="Arial" w:eastAsia="Arial" w:hAnsi="Arial" w:cs="Arial"/>
        </w:rPr>
        <w:t>e</w:t>
      </w:r>
      <w:r w:rsidRPr="00D233AE">
        <w:rPr>
          <w:rFonts w:ascii="Arial" w:eastAsia="Arial" w:hAnsi="Arial" w:cs="Arial"/>
          <w:spacing w:val="-1"/>
        </w:rPr>
        <w:t>n</w:t>
      </w:r>
      <w:r w:rsidRPr="00D233AE">
        <w:rPr>
          <w:rFonts w:ascii="Arial" w:eastAsia="Arial" w:hAnsi="Arial" w:cs="Arial"/>
        </w:rPr>
        <w:t>c</w:t>
      </w:r>
      <w:r w:rsidRPr="00D233AE">
        <w:rPr>
          <w:rFonts w:ascii="Arial" w:eastAsia="Arial" w:hAnsi="Arial" w:cs="Arial"/>
          <w:spacing w:val="-1"/>
        </w:rPr>
        <w:t>i</w:t>
      </w:r>
      <w:r w:rsidRPr="00D233AE">
        <w:rPr>
          <w:rFonts w:ascii="Arial" w:eastAsia="Arial" w:hAnsi="Arial" w:cs="Arial"/>
        </w:rPr>
        <w:t>a</w:t>
      </w:r>
      <w:r w:rsidRPr="00D233AE">
        <w:rPr>
          <w:rFonts w:ascii="Arial" w:eastAsia="Arial" w:hAnsi="Arial" w:cs="Arial"/>
          <w:spacing w:val="2"/>
        </w:rPr>
        <w:t xml:space="preserve"> </w:t>
      </w:r>
      <w:r w:rsidRPr="00D233AE">
        <w:rPr>
          <w:rFonts w:ascii="Arial" w:eastAsia="Arial" w:hAnsi="Arial" w:cs="Arial"/>
        </w:rPr>
        <w:t xml:space="preserve">y </w:t>
      </w:r>
      <w:r w:rsidRPr="00D233AE">
        <w:rPr>
          <w:rFonts w:ascii="Arial" w:eastAsia="Arial" w:hAnsi="Arial" w:cs="Arial"/>
          <w:spacing w:val="1"/>
        </w:rPr>
        <w:t>t</w:t>
      </w:r>
      <w:r w:rsidRPr="00D233AE">
        <w:rPr>
          <w:rFonts w:ascii="Arial" w:eastAsia="Arial" w:hAnsi="Arial" w:cs="Arial"/>
        </w:rPr>
        <w:t>es</w:t>
      </w:r>
      <w:r w:rsidRPr="00D233AE">
        <w:rPr>
          <w:rFonts w:ascii="Arial" w:eastAsia="Arial" w:hAnsi="Arial" w:cs="Arial"/>
          <w:spacing w:val="-1"/>
        </w:rPr>
        <w:t>i</w:t>
      </w:r>
      <w:r w:rsidRPr="00D233AE">
        <w:rPr>
          <w:rFonts w:ascii="Arial" w:eastAsia="Arial" w:hAnsi="Arial" w:cs="Arial"/>
        </w:rPr>
        <w:t xml:space="preserve">s en </w:t>
      </w:r>
      <w:r w:rsidRPr="00D233AE">
        <w:rPr>
          <w:rFonts w:ascii="Arial" w:eastAsia="Arial" w:hAnsi="Arial" w:cs="Arial"/>
          <w:spacing w:val="1"/>
        </w:rPr>
        <w:t>m</w:t>
      </w:r>
      <w:r w:rsidRPr="00D233AE">
        <w:rPr>
          <w:rFonts w:ascii="Arial" w:eastAsia="Arial" w:hAnsi="Arial" w:cs="Arial"/>
          <w:spacing w:val="-3"/>
        </w:rPr>
        <w:t>a</w:t>
      </w:r>
      <w:r w:rsidRPr="00D233AE">
        <w:rPr>
          <w:rFonts w:ascii="Arial" w:eastAsia="Arial" w:hAnsi="Arial" w:cs="Arial"/>
          <w:spacing w:val="1"/>
        </w:rPr>
        <w:t>t</w:t>
      </w:r>
      <w:r w:rsidRPr="00D233AE">
        <w:rPr>
          <w:rFonts w:ascii="Arial" w:eastAsia="Arial" w:hAnsi="Arial" w:cs="Arial"/>
        </w:rPr>
        <w:t>er</w:t>
      </w:r>
      <w:r w:rsidRPr="00D233AE">
        <w:rPr>
          <w:rFonts w:ascii="Arial" w:eastAsia="Arial" w:hAnsi="Arial" w:cs="Arial"/>
          <w:spacing w:val="-3"/>
        </w:rPr>
        <w:t>i</w:t>
      </w:r>
      <w:r w:rsidRPr="00D233AE">
        <w:rPr>
          <w:rFonts w:ascii="Arial" w:eastAsia="Arial" w:hAnsi="Arial" w:cs="Arial"/>
        </w:rPr>
        <w:t>a e</w:t>
      </w:r>
      <w:r w:rsidRPr="00D233AE">
        <w:rPr>
          <w:rFonts w:ascii="Arial" w:eastAsia="Arial" w:hAnsi="Arial" w:cs="Arial"/>
          <w:spacing w:val="-1"/>
        </w:rPr>
        <w:t>l</w:t>
      </w:r>
      <w:r w:rsidRPr="00D233AE">
        <w:rPr>
          <w:rFonts w:ascii="Arial" w:eastAsia="Arial" w:hAnsi="Arial" w:cs="Arial"/>
        </w:rPr>
        <w:t>ecto</w:t>
      </w:r>
      <w:r w:rsidRPr="00D233AE">
        <w:rPr>
          <w:rFonts w:ascii="Arial" w:eastAsia="Arial" w:hAnsi="Arial" w:cs="Arial"/>
          <w:spacing w:val="1"/>
        </w:rPr>
        <w:t>r</w:t>
      </w:r>
      <w:r w:rsidRPr="00D233AE">
        <w:rPr>
          <w:rFonts w:ascii="Arial" w:eastAsia="Arial" w:hAnsi="Arial" w:cs="Arial"/>
        </w:rPr>
        <w:t>a</w:t>
      </w:r>
      <w:r w:rsidRPr="00D233AE">
        <w:rPr>
          <w:rFonts w:ascii="Arial" w:eastAsia="Arial" w:hAnsi="Arial" w:cs="Arial"/>
          <w:spacing w:val="-1"/>
        </w:rPr>
        <w:t>l</w:t>
      </w:r>
      <w:r w:rsidRPr="00D233AE">
        <w:rPr>
          <w:rFonts w:ascii="Arial" w:eastAsia="Arial" w:hAnsi="Arial" w:cs="Arial"/>
        </w:rPr>
        <w:t>. Juris</w:t>
      </w:r>
      <w:r w:rsidRPr="00D233AE">
        <w:rPr>
          <w:rFonts w:ascii="Arial" w:eastAsia="Arial" w:hAnsi="Arial" w:cs="Arial"/>
          <w:spacing w:val="-1"/>
        </w:rPr>
        <w:t>p</w:t>
      </w:r>
      <w:r w:rsidRPr="00D233AE">
        <w:rPr>
          <w:rFonts w:ascii="Arial" w:eastAsia="Arial" w:hAnsi="Arial" w:cs="Arial"/>
          <w:spacing w:val="-2"/>
        </w:rPr>
        <w:t>r</w:t>
      </w:r>
      <w:r w:rsidRPr="00D233AE">
        <w:rPr>
          <w:rFonts w:ascii="Arial" w:eastAsia="Arial" w:hAnsi="Arial" w:cs="Arial"/>
        </w:rPr>
        <w:t>u</w:t>
      </w:r>
      <w:r w:rsidRPr="00D233AE">
        <w:rPr>
          <w:rFonts w:ascii="Arial" w:eastAsia="Arial" w:hAnsi="Arial" w:cs="Arial"/>
          <w:spacing w:val="-1"/>
        </w:rPr>
        <w:t>d</w:t>
      </w:r>
      <w:r w:rsidRPr="00D233AE">
        <w:rPr>
          <w:rFonts w:ascii="Arial" w:eastAsia="Arial" w:hAnsi="Arial" w:cs="Arial"/>
        </w:rPr>
        <w:t>e</w:t>
      </w:r>
      <w:r w:rsidRPr="00D233AE">
        <w:rPr>
          <w:rFonts w:ascii="Arial" w:eastAsia="Arial" w:hAnsi="Arial" w:cs="Arial"/>
          <w:spacing w:val="-1"/>
        </w:rPr>
        <w:t>n</w:t>
      </w:r>
      <w:r w:rsidRPr="00D233AE">
        <w:rPr>
          <w:rFonts w:ascii="Arial" w:eastAsia="Arial" w:hAnsi="Arial" w:cs="Arial"/>
        </w:rPr>
        <w:t>c</w:t>
      </w:r>
      <w:r w:rsidRPr="00D233AE">
        <w:rPr>
          <w:rFonts w:ascii="Arial" w:eastAsia="Arial" w:hAnsi="Arial" w:cs="Arial"/>
          <w:spacing w:val="-1"/>
        </w:rPr>
        <w:t>i</w:t>
      </w:r>
      <w:r w:rsidRPr="00D233AE">
        <w:rPr>
          <w:rFonts w:ascii="Arial" w:eastAsia="Arial" w:hAnsi="Arial" w:cs="Arial"/>
        </w:rPr>
        <w:t xml:space="preserve">a, </w:t>
      </w:r>
      <w:r w:rsidRPr="00D233AE">
        <w:rPr>
          <w:rFonts w:ascii="Arial" w:eastAsia="Arial" w:hAnsi="Arial" w:cs="Arial"/>
          <w:spacing w:val="-1"/>
        </w:rPr>
        <w:t>V</w:t>
      </w:r>
      <w:r w:rsidRPr="00D233AE">
        <w:rPr>
          <w:rFonts w:ascii="Arial" w:eastAsia="Arial" w:hAnsi="Arial" w:cs="Arial"/>
        </w:rPr>
        <w:t>o</w:t>
      </w:r>
      <w:r w:rsidRPr="00D233AE">
        <w:rPr>
          <w:rFonts w:ascii="Arial" w:eastAsia="Arial" w:hAnsi="Arial" w:cs="Arial"/>
          <w:spacing w:val="-1"/>
        </w:rPr>
        <w:t>l</w:t>
      </w:r>
      <w:r w:rsidRPr="00D233AE">
        <w:rPr>
          <w:rFonts w:ascii="Arial" w:eastAsia="Arial" w:hAnsi="Arial" w:cs="Arial"/>
        </w:rPr>
        <w:t>umen</w:t>
      </w:r>
      <w:r w:rsidRPr="00D233AE">
        <w:rPr>
          <w:rFonts w:ascii="Arial" w:eastAsia="Arial" w:hAnsi="Arial" w:cs="Arial"/>
          <w:spacing w:val="1"/>
        </w:rPr>
        <w:t xml:space="preserve"> </w:t>
      </w:r>
      <w:r w:rsidRPr="00D233AE">
        <w:rPr>
          <w:rFonts w:ascii="Arial" w:eastAsia="Arial" w:hAnsi="Arial" w:cs="Arial"/>
          <w:spacing w:val="-3"/>
        </w:rPr>
        <w:t>1</w:t>
      </w:r>
      <w:r w:rsidRPr="00D233AE">
        <w:rPr>
          <w:rFonts w:ascii="Arial" w:eastAsia="Arial" w:hAnsi="Arial" w:cs="Arial"/>
        </w:rPr>
        <w:t>,</w:t>
      </w:r>
      <w:r w:rsidRPr="00D233AE">
        <w:rPr>
          <w:rFonts w:ascii="Arial" w:eastAsia="Arial" w:hAnsi="Arial" w:cs="Arial"/>
          <w:spacing w:val="2"/>
        </w:rPr>
        <w:t xml:space="preserve"> </w:t>
      </w:r>
      <w:r w:rsidRPr="00D233AE">
        <w:rPr>
          <w:rFonts w:ascii="Arial" w:eastAsia="Arial" w:hAnsi="Arial" w:cs="Arial"/>
        </w:rPr>
        <w:t>p</w:t>
      </w:r>
      <w:r w:rsidRPr="00D233AE">
        <w:rPr>
          <w:rFonts w:ascii="Arial" w:eastAsia="Arial" w:hAnsi="Arial" w:cs="Arial"/>
          <w:spacing w:val="-1"/>
        </w:rPr>
        <w:t>á</w:t>
      </w:r>
      <w:r w:rsidRPr="00D233AE">
        <w:rPr>
          <w:rFonts w:ascii="Arial" w:eastAsia="Arial" w:hAnsi="Arial" w:cs="Arial"/>
        </w:rPr>
        <w:t>g</w:t>
      </w:r>
      <w:r w:rsidRPr="00D233AE">
        <w:rPr>
          <w:rFonts w:ascii="Arial" w:eastAsia="Arial" w:hAnsi="Arial" w:cs="Arial"/>
          <w:spacing w:val="-1"/>
        </w:rPr>
        <w:t>i</w:t>
      </w:r>
      <w:r w:rsidRPr="00D233AE">
        <w:rPr>
          <w:rFonts w:ascii="Arial" w:eastAsia="Arial" w:hAnsi="Arial" w:cs="Arial"/>
        </w:rPr>
        <w:t>na</w:t>
      </w:r>
      <w:r w:rsidRPr="00D233AE">
        <w:rPr>
          <w:rFonts w:ascii="Arial" w:eastAsia="Arial" w:hAnsi="Arial" w:cs="Arial"/>
          <w:spacing w:val="-2"/>
        </w:rPr>
        <w:t xml:space="preserve"> </w:t>
      </w:r>
      <w:r w:rsidRPr="00D233AE">
        <w:rPr>
          <w:rFonts w:ascii="Arial" w:eastAsia="Arial" w:hAnsi="Arial" w:cs="Arial"/>
        </w:rPr>
        <w:t>1</w:t>
      </w:r>
      <w:r w:rsidRPr="00D233AE">
        <w:rPr>
          <w:rFonts w:ascii="Arial" w:eastAsia="Arial" w:hAnsi="Arial" w:cs="Arial"/>
          <w:spacing w:val="-1"/>
        </w:rPr>
        <w:t>2</w:t>
      </w:r>
      <w:r w:rsidRPr="00D233AE">
        <w:rPr>
          <w:rFonts w:ascii="Arial" w:eastAsia="Arial" w:hAnsi="Arial" w:cs="Arial"/>
        </w:rPr>
        <w:t>5.</w:t>
      </w:r>
    </w:p>
  </w:footnote>
  <w:footnote w:id="26">
    <w:p w14:paraId="52478CE1" w14:textId="77777777" w:rsidR="007930F1" w:rsidRPr="00D233AE" w:rsidRDefault="007930F1" w:rsidP="00D233AE">
      <w:pPr>
        <w:pStyle w:val="Textonotapie"/>
        <w:adjustRightInd w:val="0"/>
        <w:snapToGrid w:val="0"/>
        <w:jc w:val="both"/>
        <w:rPr>
          <w:rFonts w:ascii="Arial" w:eastAsia="Arial MT" w:hAnsi="Arial" w:cs="Arial"/>
          <w:lang w:val="es-ES_tradnl"/>
        </w:rPr>
      </w:pPr>
      <w:r w:rsidRPr="00D233AE">
        <w:rPr>
          <w:rStyle w:val="Refdenotaalpie"/>
          <w:rFonts w:ascii="Arial" w:hAnsi="Arial" w:cs="Arial"/>
          <w:lang w:val="es-ES_tradnl"/>
        </w:rPr>
        <w:footnoteRef/>
      </w:r>
      <w:r w:rsidRPr="00D233AE">
        <w:rPr>
          <w:rFonts w:ascii="Arial" w:hAnsi="Arial" w:cs="Arial"/>
          <w:lang w:val="es-ES_tradnl"/>
        </w:rPr>
        <w:t xml:space="preserve"> Con apoyo en la Tesis CVIII/2007 de rubro: </w:t>
      </w:r>
      <w:r w:rsidRPr="00D233AE">
        <w:rPr>
          <w:rFonts w:ascii="Arial" w:hAnsi="Arial" w:cs="Arial"/>
          <w:b/>
          <w:bCs/>
          <w:i/>
          <w:iCs/>
          <w:lang w:val="es-ES_tradnl"/>
        </w:rPr>
        <w:t>“GARANTÍA A LA IMPARTICIÓN DE JUSTICIA COMPLETA TUTELADA EN EL ARTÍCULO 17 DE LA CONSTITUCIÓN POLÍTICA DE LOS ESTADOS UNIDOS MEXICANOS. SUS ALCANCES”</w:t>
      </w:r>
      <w:r w:rsidRPr="00D233AE">
        <w:rPr>
          <w:rFonts w:ascii="Arial" w:hAnsi="Arial" w:cs="Arial"/>
          <w:lang w:val="es-ES_tradnl"/>
        </w:rPr>
        <w:t xml:space="preserve">. Asimismo, véase: </w:t>
      </w:r>
      <w:r w:rsidRPr="00D233AE">
        <w:rPr>
          <w:rFonts w:ascii="Arial" w:hAnsi="Arial" w:cs="Arial"/>
          <w:lang w:val="es-ES"/>
        </w:rPr>
        <w:t xml:space="preserve">Corte Interamericana de Derechos Humanos. </w:t>
      </w:r>
      <w:r w:rsidRPr="00D233AE">
        <w:rPr>
          <w:rFonts w:ascii="Arial" w:hAnsi="Arial" w:cs="Arial"/>
          <w:i/>
          <w:iCs/>
          <w:lang w:val="es-ES"/>
        </w:rPr>
        <w:t>Caso Yatama Vs. Nicaragua</w:t>
      </w:r>
      <w:r w:rsidRPr="00D233AE">
        <w:rPr>
          <w:rFonts w:ascii="Arial" w:hAnsi="Arial" w:cs="Arial"/>
          <w:lang w:val="es-ES"/>
        </w:rPr>
        <w:t>. Excepciones Preliminares, Fondo, Reparaciones y Costas. Sentencia de 23 de junio de 2005. Serie C No. 127, párr. 152.</w:t>
      </w:r>
    </w:p>
  </w:footnote>
  <w:footnote w:id="27">
    <w:p w14:paraId="1DF48136" w14:textId="77777777" w:rsidR="007930F1" w:rsidRPr="00D233AE" w:rsidRDefault="007930F1" w:rsidP="00D233AE">
      <w:pPr>
        <w:pStyle w:val="Textonotapie"/>
        <w:adjustRightInd w:val="0"/>
        <w:snapToGrid w:val="0"/>
        <w:jc w:val="both"/>
        <w:rPr>
          <w:rFonts w:ascii="Arial" w:hAnsi="Arial" w:cs="Arial"/>
        </w:rPr>
      </w:pPr>
      <w:r w:rsidRPr="00D233AE">
        <w:rPr>
          <w:rStyle w:val="Refdenotaalpie"/>
          <w:rFonts w:ascii="Arial" w:hAnsi="Arial" w:cs="Arial"/>
        </w:rPr>
        <w:footnoteRef/>
      </w:r>
      <w:r w:rsidRPr="00D233AE">
        <w:rPr>
          <w:rFonts w:ascii="Arial" w:hAnsi="Arial" w:cs="Arial"/>
        </w:rPr>
        <w:t xml:space="preserve"> </w:t>
      </w:r>
      <w:r w:rsidR="00E05FC6" w:rsidRPr="00D233AE">
        <w:rPr>
          <w:rFonts w:ascii="Arial" w:hAnsi="Arial" w:cs="Arial"/>
        </w:rPr>
        <w:t xml:space="preserve">De conformidad con la Jurisprudencia VI.2o. J/43 (9ª) de Tribunales Colegiados de Circuito de rubro y texto: </w:t>
      </w:r>
      <w:r w:rsidR="00E05FC6" w:rsidRPr="00D233AE">
        <w:rPr>
          <w:rFonts w:ascii="Arial" w:hAnsi="Arial" w:cs="Arial"/>
          <w:b/>
          <w:bCs/>
        </w:rPr>
        <w:t>“FUNDAMENTACION Y MOTIVACION</w:t>
      </w:r>
      <w:r w:rsidR="00E05FC6" w:rsidRPr="00D233AE">
        <w:rPr>
          <w:rFonts w:ascii="Arial" w:hAnsi="Arial" w:cs="Arial"/>
        </w:rPr>
        <w:t>. La debida fundamentación y motivación legal deben entenderse, por lo primero, la cita del precepto legal aplicable al caso, y por lo segundo, las razones, motivos o circunstancias especiales que llevaron a la autoridad a concluir que el caso particular encuadra en el supuesto previsto por la norma legal invocada como fundamento”.</w:t>
      </w:r>
    </w:p>
  </w:footnote>
  <w:footnote w:id="28">
    <w:p w14:paraId="480DB68E" w14:textId="77777777" w:rsidR="007930F1" w:rsidRPr="00D233AE" w:rsidRDefault="007930F1" w:rsidP="00D233AE">
      <w:pPr>
        <w:pStyle w:val="Textonotapie"/>
        <w:jc w:val="both"/>
        <w:rPr>
          <w:rFonts w:ascii="Arial" w:hAnsi="Arial" w:cs="Arial"/>
          <w:lang w:val="es-ES"/>
        </w:rPr>
      </w:pPr>
      <w:r w:rsidRPr="00D233AE">
        <w:rPr>
          <w:rStyle w:val="Refdenotaalpie"/>
          <w:rFonts w:ascii="Arial" w:hAnsi="Arial" w:cs="Arial"/>
        </w:rPr>
        <w:footnoteRef/>
      </w:r>
      <w:r w:rsidRPr="00D233AE">
        <w:rPr>
          <w:rFonts w:ascii="Arial" w:hAnsi="Arial" w:cs="Arial"/>
        </w:rPr>
        <w:t xml:space="preserve"> </w:t>
      </w:r>
      <w:r w:rsidRPr="00D233AE">
        <w:rPr>
          <w:rFonts w:ascii="Arial" w:hAnsi="Arial" w:cs="Arial"/>
          <w:lang w:val="es-ES"/>
        </w:rPr>
        <w:t>Al resolver el SUP-REP-64/2024.</w:t>
      </w:r>
    </w:p>
  </w:footnote>
  <w:footnote w:id="29">
    <w:p w14:paraId="5121396E" w14:textId="77777777" w:rsidR="007930F1" w:rsidRPr="00D233AE" w:rsidRDefault="007930F1"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Tal como lo ha sostenido la </w:t>
      </w:r>
      <w:r w:rsidRPr="00D233AE">
        <w:rPr>
          <w:rFonts w:ascii="Arial" w:hAnsi="Arial" w:cs="Arial"/>
          <w:i/>
          <w:iCs/>
        </w:rPr>
        <w:t>Sala Superior</w:t>
      </w:r>
      <w:r w:rsidRPr="00D233AE">
        <w:rPr>
          <w:rFonts w:ascii="Arial" w:hAnsi="Arial" w:cs="Arial"/>
        </w:rPr>
        <w:t xml:space="preserve"> al resolver los SUP-REP-364/2023 y acumulado, SUP-JDC-41/2023, SUP-JE-1413/2023 y SUP-JE-1408/2023, entre otras.</w:t>
      </w:r>
    </w:p>
  </w:footnote>
  <w:footnote w:id="30">
    <w:p w14:paraId="02A5149F" w14:textId="77777777" w:rsidR="00FA288E" w:rsidRPr="00D233AE" w:rsidRDefault="00FA288E" w:rsidP="00D233AE">
      <w:pPr>
        <w:pStyle w:val="Textonotapie"/>
        <w:jc w:val="both"/>
        <w:rPr>
          <w:rFonts w:ascii="Arial" w:hAnsi="Arial" w:cs="Arial"/>
          <w:sz w:val="18"/>
          <w:szCs w:val="18"/>
        </w:rPr>
      </w:pPr>
      <w:r w:rsidRPr="00D233AE">
        <w:rPr>
          <w:rStyle w:val="Refdenotaalpie"/>
          <w:rFonts w:ascii="Arial" w:hAnsi="Arial" w:cs="Arial"/>
        </w:rPr>
        <w:footnoteRef/>
      </w:r>
      <w:r w:rsidRPr="00D233AE">
        <w:rPr>
          <w:rFonts w:ascii="Arial" w:hAnsi="Arial" w:cs="Arial"/>
        </w:rPr>
        <w:t xml:space="preserve"> Jurisprudencia 28/2009 de la </w:t>
      </w:r>
      <w:r w:rsidRPr="00D233AE">
        <w:rPr>
          <w:rFonts w:ascii="Arial" w:hAnsi="Arial" w:cs="Arial"/>
          <w:i/>
          <w:iCs/>
        </w:rPr>
        <w:t>Sala Superior</w:t>
      </w:r>
      <w:r w:rsidRPr="00D233AE">
        <w:rPr>
          <w:rFonts w:ascii="Arial" w:hAnsi="Arial" w:cs="Arial"/>
        </w:rPr>
        <w:t xml:space="preserve">, de rubro: </w:t>
      </w:r>
      <w:r w:rsidR="00753129" w:rsidRPr="00D233AE">
        <w:rPr>
          <w:rFonts w:ascii="Arial" w:hAnsi="Arial" w:cs="Arial"/>
          <w:i/>
          <w:iCs/>
        </w:rPr>
        <w:t>“</w:t>
      </w:r>
      <w:r w:rsidRPr="00D233AE">
        <w:rPr>
          <w:rFonts w:ascii="Arial" w:hAnsi="Arial" w:cs="Arial"/>
          <w:b/>
          <w:bCs/>
          <w:i/>
          <w:iCs/>
        </w:rPr>
        <w:t>CONGRUENCIA EXTERNA E INTERNA. SE DEBE CUMPLIR EN TODA SENTENCIA</w:t>
      </w:r>
      <w:r w:rsidR="00753129" w:rsidRPr="00D233AE">
        <w:rPr>
          <w:rFonts w:ascii="Arial" w:hAnsi="Arial" w:cs="Arial"/>
          <w:i/>
          <w:iCs/>
        </w:rPr>
        <w:t>”</w:t>
      </w:r>
      <w:r w:rsidRPr="00D233AE">
        <w:rPr>
          <w:rFonts w:ascii="Arial" w:hAnsi="Arial" w:cs="Arial"/>
        </w:rPr>
        <w:t>, consultable en Gaceta de Justicia y Tesis en materia electoral, Tribunal Electoral del Poder Judicial de la Federación, Año 3, número 5, 2010, página 23 y 24.</w:t>
      </w:r>
    </w:p>
  </w:footnote>
  <w:footnote w:id="31">
    <w:p w14:paraId="1214BB35" w14:textId="77777777" w:rsidR="00CE68E7" w:rsidRPr="00D233AE" w:rsidRDefault="00CE68E7" w:rsidP="00D233AE">
      <w:pPr>
        <w:pStyle w:val="Textonotapie"/>
        <w:jc w:val="both"/>
        <w:rPr>
          <w:rFonts w:ascii="Arial" w:hAnsi="Arial" w:cs="Arial"/>
          <w:b/>
          <w:bCs/>
          <w:i/>
          <w:iCs/>
        </w:rPr>
      </w:pPr>
      <w:r w:rsidRPr="00D233AE">
        <w:rPr>
          <w:rStyle w:val="Refdenotaalpie"/>
          <w:rFonts w:ascii="Arial" w:hAnsi="Arial" w:cs="Arial"/>
        </w:rPr>
        <w:footnoteRef/>
      </w:r>
      <w:r w:rsidRPr="00D233AE">
        <w:rPr>
          <w:rFonts w:ascii="Arial" w:hAnsi="Arial" w:cs="Arial"/>
        </w:rPr>
        <w:t xml:space="preserve"> Tesis de Jurisprudencia 2a./J 103/2018 (10a.), publicada en la Gaceta del Semanario Judicial de la Federación, Décima Época, Libro 59, octubre de 2018, Tomo I, página 847, con número de registro 2018050, de rubro: </w:t>
      </w:r>
      <w:r w:rsidRPr="00D233AE">
        <w:rPr>
          <w:rFonts w:ascii="Arial" w:hAnsi="Arial" w:cs="Arial"/>
          <w:b/>
          <w:bCs/>
          <w:i/>
          <w:iCs/>
        </w:rPr>
        <w:t>“CONFIANZA LEGÍTIMA. CONSTITUYE UNA MANIFESTACIÓN DEL DERECHO A LA SEGURIDAD JURÍDICA, EN SU FACETA DE INTERDICCIÓN A LA ARBITRARIEDAD.”</w:t>
      </w:r>
    </w:p>
  </w:footnote>
  <w:footnote w:id="32">
    <w:p w14:paraId="405E9083" w14:textId="77777777" w:rsidR="009807CD" w:rsidRPr="00D233AE" w:rsidRDefault="009807CD"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A razón de $113.14 (ciento trece pesos 14/100 M.N.) según lo establecido por el INEGI, consultable en </w:t>
      </w:r>
      <w:hyperlink r:id="rId3" w:history="1">
        <w:r w:rsidRPr="00D233AE">
          <w:rPr>
            <w:rStyle w:val="Hipervnculo"/>
            <w:rFonts w:ascii="Arial" w:hAnsi="Arial" w:cs="Arial"/>
          </w:rPr>
          <w:t>https://www.inegi.org.mx/temas/uma/</w:t>
        </w:r>
      </w:hyperlink>
      <w:r w:rsidR="009A1040" w:rsidRPr="00D233AE">
        <w:rPr>
          <w:rFonts w:ascii="Arial" w:hAnsi="Arial" w:cs="Arial"/>
        </w:rPr>
        <w:t xml:space="preserve">. </w:t>
      </w:r>
    </w:p>
  </w:footnote>
  <w:footnote w:id="33">
    <w:p w14:paraId="06DABB2C" w14:textId="77777777" w:rsidR="006F55B5" w:rsidRPr="00D233AE" w:rsidRDefault="006F55B5"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Por ejemplo, en el recurso de apelación SUP-RAP-85/2006.</w:t>
      </w:r>
    </w:p>
  </w:footnote>
  <w:footnote w:id="34">
    <w:p w14:paraId="104B48B3" w14:textId="77777777" w:rsidR="000A5830" w:rsidRPr="00D233AE" w:rsidRDefault="000A5830" w:rsidP="00D233AE">
      <w:pPr>
        <w:pStyle w:val="Textonotapie"/>
        <w:jc w:val="both"/>
        <w:rPr>
          <w:rFonts w:ascii="Arial" w:hAnsi="Arial" w:cs="Arial"/>
        </w:rPr>
      </w:pPr>
      <w:r w:rsidRPr="00D233AE">
        <w:rPr>
          <w:rStyle w:val="Refdenotaalpie"/>
          <w:rFonts w:ascii="Arial" w:hAnsi="Arial" w:cs="Arial"/>
        </w:rPr>
        <w:footnoteRef/>
      </w:r>
      <w:r w:rsidRPr="00D233AE">
        <w:rPr>
          <w:rFonts w:ascii="Arial" w:hAnsi="Arial" w:cs="Arial"/>
        </w:rPr>
        <w:t xml:space="preserve"> Con sustento en el criterio sostenido por </w:t>
      </w:r>
      <w:r w:rsidRPr="00D233AE">
        <w:rPr>
          <w:rFonts w:ascii="Arial" w:hAnsi="Arial" w:cs="Arial"/>
          <w:i/>
          <w:iCs/>
        </w:rPr>
        <w:t>Sala Superior</w:t>
      </w:r>
      <w:r w:rsidRPr="00D233AE">
        <w:rPr>
          <w:rFonts w:ascii="Arial" w:hAnsi="Arial" w:cs="Arial"/>
        </w:rPr>
        <w:t xml:space="preserve"> al resolver el </w:t>
      </w:r>
      <w:r w:rsidRPr="00D233AE">
        <w:rPr>
          <w:rFonts w:ascii="Arial" w:hAnsi="Arial" w:cs="Arial"/>
          <w:bCs/>
        </w:rPr>
        <w:t>SUP-JDC-338/2023 y acumulados.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29F61" w14:textId="77777777" w:rsidR="008E50D7" w:rsidRDefault="00083F4D" w:rsidP="000371AD">
    <w:pPr>
      <w:pStyle w:val="Encabezado"/>
      <w:rPr>
        <w:noProof/>
      </w:rPr>
    </w:pPr>
    <w:r>
      <w:rPr>
        <w:noProof/>
      </w:rPr>
      <w:pict w14:anchorId="5B2455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5" type="#_x0000_t75" style="position:absolute;margin-left:-10.75pt;margin-top:-12.45pt;width:171pt;height:65pt;z-index:-1;visibility:visible">
          <v:imagedata r:id="rId1" o:title=""/>
          <o:lock v:ext="edit" aspectratio="f"/>
        </v:shape>
      </w:pict>
    </w:r>
  </w:p>
  <w:p w14:paraId="1CE91B84" w14:textId="77777777" w:rsidR="008E50D7" w:rsidRDefault="008E50D7" w:rsidP="000371AD">
    <w:pPr>
      <w:pStyle w:val="Encabezado"/>
      <w:ind w:left="-1260" w:firstLine="1260"/>
      <w:jc w:val="right"/>
      <w:rPr>
        <w:rFonts w:cs="Arial"/>
        <w:b/>
        <w:bCs/>
        <w:color w:val="A6A6A6"/>
        <w:spacing w:val="-3"/>
        <w:sz w:val="23"/>
        <w:szCs w:val="23"/>
      </w:rPr>
    </w:pPr>
    <w:r>
      <w:rPr>
        <w:rFonts w:cs="Arial"/>
        <w:b/>
        <w:bCs/>
        <w:color w:val="A6A6A6"/>
        <w:spacing w:val="-3"/>
        <w:sz w:val="23"/>
        <w:szCs w:val="23"/>
      </w:rPr>
      <w:t>TEEM-RAP-0</w:t>
    </w:r>
    <w:r w:rsidR="00B175FC">
      <w:rPr>
        <w:rFonts w:cs="Arial"/>
        <w:b/>
        <w:bCs/>
        <w:color w:val="A6A6A6"/>
        <w:spacing w:val="-3"/>
        <w:sz w:val="23"/>
        <w:szCs w:val="23"/>
      </w:rPr>
      <w:t>25</w:t>
    </w:r>
    <w:r>
      <w:rPr>
        <w:rFonts w:cs="Arial"/>
        <w:b/>
        <w:bCs/>
        <w:color w:val="A6A6A6"/>
        <w:spacing w:val="-3"/>
        <w:sz w:val="23"/>
        <w:szCs w:val="23"/>
      </w:rPr>
      <w:t>/202</w:t>
    </w:r>
    <w:r w:rsidR="000C3328">
      <w:rPr>
        <w:rFonts w:cs="Arial"/>
        <w:b/>
        <w:bCs/>
        <w:color w:val="A6A6A6"/>
        <w:spacing w:val="-3"/>
        <w:sz w:val="23"/>
        <w:szCs w:val="23"/>
      </w:rPr>
      <w:t>5</w:t>
    </w:r>
  </w:p>
  <w:p w14:paraId="35D1512C" w14:textId="77777777" w:rsidR="001850E2" w:rsidRDefault="001850E2" w:rsidP="00E05FC6">
    <w:pPr>
      <w:pStyle w:val="Encabezado"/>
      <w:rPr>
        <w:b/>
        <w:bCs/>
        <w:noProof/>
        <w:color w:val="A6A6A6"/>
        <w:sz w:val="24"/>
        <w:szCs w:val="24"/>
      </w:rPr>
    </w:pPr>
  </w:p>
  <w:p w14:paraId="3A23E3FE" w14:textId="77777777" w:rsidR="00E05FC6" w:rsidRDefault="00E05FC6" w:rsidP="00E05FC6">
    <w:pPr>
      <w:pStyle w:val="Encabezado"/>
      <w:rPr>
        <w:b/>
        <w:bCs/>
        <w:noProof/>
        <w:color w:val="A6A6A6"/>
        <w:sz w:val="14"/>
        <w:szCs w:val="14"/>
      </w:rPr>
    </w:pPr>
  </w:p>
  <w:p w14:paraId="0DEE6D67" w14:textId="77777777" w:rsidR="001850E2" w:rsidRDefault="001850E2" w:rsidP="000371AD">
    <w:pPr>
      <w:pStyle w:val="Encabezado"/>
      <w:ind w:left="-1260" w:firstLine="1260"/>
      <w:jc w:val="right"/>
      <w:rPr>
        <w:b/>
        <w:bCs/>
        <w:noProof/>
        <w:color w:val="A6A6A6"/>
        <w:sz w:val="14"/>
        <w:szCs w:val="1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E8682" w14:textId="77777777" w:rsidR="008E50D7" w:rsidRDefault="00083F4D" w:rsidP="000371AD">
    <w:pPr>
      <w:pStyle w:val="Encabezado"/>
    </w:pPr>
    <w:r w:rsidRPr="00F33A44">
      <w:rPr>
        <w:noProof/>
      </w:rPr>
      <w:pict w14:anchorId="1BF121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1pt;height:65.25pt;visibility:visible">
          <v:imagedata r:id="rId1" o:title=""/>
          <o:lock v:ext="edit" aspectratio="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254B9"/>
    <w:multiLevelType w:val="hybridMultilevel"/>
    <w:tmpl w:val="C84492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A9C21C0"/>
    <w:multiLevelType w:val="hybridMultilevel"/>
    <w:tmpl w:val="984AF1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CE969D2"/>
    <w:multiLevelType w:val="hybridMultilevel"/>
    <w:tmpl w:val="CE1CA95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A93327F"/>
    <w:multiLevelType w:val="hybridMultilevel"/>
    <w:tmpl w:val="CE1CA95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C625403"/>
    <w:multiLevelType w:val="hybridMultilevel"/>
    <w:tmpl w:val="B768B528"/>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BDD3FA6"/>
    <w:multiLevelType w:val="hybridMultilevel"/>
    <w:tmpl w:val="B9708AFE"/>
    <w:lvl w:ilvl="0" w:tplc="96441CA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D8F68BD"/>
    <w:multiLevelType w:val="hybridMultilevel"/>
    <w:tmpl w:val="B768B528"/>
    <w:lvl w:ilvl="0" w:tplc="3AF8B2F2">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9AD2EC0"/>
    <w:multiLevelType w:val="hybridMultilevel"/>
    <w:tmpl w:val="201E7A4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15:restartNumberingAfterBreak="0">
    <w:nsid w:val="4AEE5BC7"/>
    <w:multiLevelType w:val="hybridMultilevel"/>
    <w:tmpl w:val="404C17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0E7730B"/>
    <w:multiLevelType w:val="hybridMultilevel"/>
    <w:tmpl w:val="B768B528"/>
    <w:lvl w:ilvl="0" w:tplc="FFFFFFFF">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43D79A8"/>
    <w:multiLevelType w:val="hybridMultilevel"/>
    <w:tmpl w:val="F6E2BF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C697676"/>
    <w:multiLevelType w:val="hybridMultilevel"/>
    <w:tmpl w:val="CAD627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D9B4340"/>
    <w:multiLevelType w:val="hybridMultilevel"/>
    <w:tmpl w:val="6C1E4DF6"/>
    <w:lvl w:ilvl="0" w:tplc="8C96C542">
      <w:start w:val="1"/>
      <w:numFmt w:val="decimal"/>
      <w:pStyle w:val="NormalNmerado"/>
      <w:lvlText w:val="%1."/>
      <w:lvlJc w:val="left"/>
      <w:pPr>
        <w:ind w:left="360" w:hanging="360"/>
      </w:pPr>
      <w:rPr>
        <w:b/>
        <w:sz w:val="24"/>
        <w:szCs w:val="26"/>
        <w:vertAlign w:val="baseline"/>
      </w:rPr>
    </w:lvl>
    <w:lvl w:ilvl="1" w:tplc="E03E5EF2">
      <w:start w:val="1"/>
      <w:numFmt w:val="lowerLetter"/>
      <w:lvlText w:val="%2)"/>
      <w:lvlJc w:val="left"/>
      <w:pPr>
        <w:ind w:left="1500" w:hanging="420"/>
      </w:pPr>
      <w:rPr>
        <w:b/>
      </w:r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 w15:restartNumberingAfterBreak="0">
    <w:nsid w:val="6C0416F1"/>
    <w:multiLevelType w:val="hybridMultilevel"/>
    <w:tmpl w:val="CE1CA95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F5148AE"/>
    <w:multiLevelType w:val="hybridMultilevel"/>
    <w:tmpl w:val="CE1CA95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095306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55081214">
    <w:abstractNumId w:val="0"/>
  </w:num>
  <w:num w:numId="3" w16cid:durableId="530726639">
    <w:abstractNumId w:val="5"/>
  </w:num>
  <w:num w:numId="4" w16cid:durableId="453406969">
    <w:abstractNumId w:val="1"/>
  </w:num>
  <w:num w:numId="5" w16cid:durableId="1590889586">
    <w:abstractNumId w:val="7"/>
  </w:num>
  <w:num w:numId="6" w16cid:durableId="545604272">
    <w:abstractNumId w:val="10"/>
  </w:num>
  <w:num w:numId="7" w16cid:durableId="676732739">
    <w:abstractNumId w:val="8"/>
  </w:num>
  <w:num w:numId="8" w16cid:durableId="347803004">
    <w:abstractNumId w:val="11"/>
  </w:num>
  <w:num w:numId="9" w16cid:durableId="29495210">
    <w:abstractNumId w:val="6"/>
  </w:num>
  <w:num w:numId="10" w16cid:durableId="483856813">
    <w:abstractNumId w:val="3"/>
  </w:num>
  <w:num w:numId="11" w16cid:durableId="1039165148">
    <w:abstractNumId w:val="14"/>
  </w:num>
  <w:num w:numId="12" w16cid:durableId="1645308970">
    <w:abstractNumId w:val="13"/>
  </w:num>
  <w:num w:numId="13" w16cid:durableId="1505513541">
    <w:abstractNumId w:val="2"/>
  </w:num>
  <w:num w:numId="14" w16cid:durableId="440685731">
    <w:abstractNumId w:val="9"/>
  </w:num>
  <w:num w:numId="15" w16cid:durableId="917054079">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grammar="clean"/>
  <w:doNotTrackMoves/>
  <w:defaultTabStop w:val="708"/>
  <w:hyphenationZone w:val="425"/>
  <w:drawingGridHorizontalSpacing w:val="140"/>
  <w:drawingGridVerticalSpacing w:val="381"/>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6701"/>
    <w:rsid w:val="0000093B"/>
    <w:rsid w:val="00001B2A"/>
    <w:rsid w:val="000022D7"/>
    <w:rsid w:val="000027D7"/>
    <w:rsid w:val="000036D5"/>
    <w:rsid w:val="00004117"/>
    <w:rsid w:val="000045EB"/>
    <w:rsid w:val="00004BCC"/>
    <w:rsid w:val="00004F10"/>
    <w:rsid w:val="000058D4"/>
    <w:rsid w:val="00005B79"/>
    <w:rsid w:val="00006577"/>
    <w:rsid w:val="00006BE7"/>
    <w:rsid w:val="00007252"/>
    <w:rsid w:val="000076B5"/>
    <w:rsid w:val="00007C3C"/>
    <w:rsid w:val="00007C81"/>
    <w:rsid w:val="00007DE8"/>
    <w:rsid w:val="0001022D"/>
    <w:rsid w:val="000117E0"/>
    <w:rsid w:val="0001212B"/>
    <w:rsid w:val="00013320"/>
    <w:rsid w:val="000133AB"/>
    <w:rsid w:val="0001345F"/>
    <w:rsid w:val="00013565"/>
    <w:rsid w:val="0001388F"/>
    <w:rsid w:val="0001429D"/>
    <w:rsid w:val="0001459A"/>
    <w:rsid w:val="000157DD"/>
    <w:rsid w:val="00016569"/>
    <w:rsid w:val="00016574"/>
    <w:rsid w:val="00017BD3"/>
    <w:rsid w:val="00020544"/>
    <w:rsid w:val="00020CB9"/>
    <w:rsid w:val="0002167D"/>
    <w:rsid w:val="00021CB6"/>
    <w:rsid w:val="000221E6"/>
    <w:rsid w:val="000223FF"/>
    <w:rsid w:val="00022F08"/>
    <w:rsid w:val="0002371B"/>
    <w:rsid w:val="00023EBA"/>
    <w:rsid w:val="000242C1"/>
    <w:rsid w:val="000244C6"/>
    <w:rsid w:val="00024F2B"/>
    <w:rsid w:val="000251D1"/>
    <w:rsid w:val="00025897"/>
    <w:rsid w:val="00027531"/>
    <w:rsid w:val="00031B56"/>
    <w:rsid w:val="00031B9E"/>
    <w:rsid w:val="000327FA"/>
    <w:rsid w:val="000332C1"/>
    <w:rsid w:val="00033384"/>
    <w:rsid w:val="000336DB"/>
    <w:rsid w:val="00033D46"/>
    <w:rsid w:val="000348E9"/>
    <w:rsid w:val="00034D34"/>
    <w:rsid w:val="000356EB"/>
    <w:rsid w:val="000366C3"/>
    <w:rsid w:val="00036BE3"/>
    <w:rsid w:val="00037116"/>
    <w:rsid w:val="000371AD"/>
    <w:rsid w:val="00037CA5"/>
    <w:rsid w:val="000407CD"/>
    <w:rsid w:val="000418A4"/>
    <w:rsid w:val="00042A6B"/>
    <w:rsid w:val="00042A83"/>
    <w:rsid w:val="00044079"/>
    <w:rsid w:val="000448A1"/>
    <w:rsid w:val="00044B3F"/>
    <w:rsid w:val="00044B49"/>
    <w:rsid w:val="00045404"/>
    <w:rsid w:val="00045FA3"/>
    <w:rsid w:val="00046EB6"/>
    <w:rsid w:val="00047201"/>
    <w:rsid w:val="0005095E"/>
    <w:rsid w:val="00051835"/>
    <w:rsid w:val="0005188F"/>
    <w:rsid w:val="00051A47"/>
    <w:rsid w:val="0005224D"/>
    <w:rsid w:val="00053FBB"/>
    <w:rsid w:val="00054541"/>
    <w:rsid w:val="000554DE"/>
    <w:rsid w:val="00055DD1"/>
    <w:rsid w:val="00056B1A"/>
    <w:rsid w:val="00057B57"/>
    <w:rsid w:val="000601D5"/>
    <w:rsid w:val="0006086F"/>
    <w:rsid w:val="00060AA5"/>
    <w:rsid w:val="00060D86"/>
    <w:rsid w:val="00060EA0"/>
    <w:rsid w:val="00060F90"/>
    <w:rsid w:val="000616C8"/>
    <w:rsid w:val="00063E73"/>
    <w:rsid w:val="00063EF1"/>
    <w:rsid w:val="00064335"/>
    <w:rsid w:val="00064872"/>
    <w:rsid w:val="000655A5"/>
    <w:rsid w:val="00066444"/>
    <w:rsid w:val="00066AF8"/>
    <w:rsid w:val="0006777F"/>
    <w:rsid w:val="00070521"/>
    <w:rsid w:val="00070734"/>
    <w:rsid w:val="00070B53"/>
    <w:rsid w:val="00070E22"/>
    <w:rsid w:val="000711AD"/>
    <w:rsid w:val="0007136E"/>
    <w:rsid w:val="00071400"/>
    <w:rsid w:val="000718A9"/>
    <w:rsid w:val="000726EF"/>
    <w:rsid w:val="000726F8"/>
    <w:rsid w:val="0007329C"/>
    <w:rsid w:val="00073545"/>
    <w:rsid w:val="00074A4A"/>
    <w:rsid w:val="000754FC"/>
    <w:rsid w:val="00076134"/>
    <w:rsid w:val="0007671E"/>
    <w:rsid w:val="0008065D"/>
    <w:rsid w:val="0008148D"/>
    <w:rsid w:val="00081AC4"/>
    <w:rsid w:val="0008280B"/>
    <w:rsid w:val="000830F4"/>
    <w:rsid w:val="00083F4D"/>
    <w:rsid w:val="00085947"/>
    <w:rsid w:val="00085EFB"/>
    <w:rsid w:val="0008616A"/>
    <w:rsid w:val="00086D67"/>
    <w:rsid w:val="000878D1"/>
    <w:rsid w:val="00090239"/>
    <w:rsid w:val="00091133"/>
    <w:rsid w:val="0009118F"/>
    <w:rsid w:val="000915AC"/>
    <w:rsid w:val="00092D01"/>
    <w:rsid w:val="00093A28"/>
    <w:rsid w:val="00093D31"/>
    <w:rsid w:val="000940BD"/>
    <w:rsid w:val="000942F4"/>
    <w:rsid w:val="00095445"/>
    <w:rsid w:val="00095578"/>
    <w:rsid w:val="00096A63"/>
    <w:rsid w:val="00096ABF"/>
    <w:rsid w:val="000A1825"/>
    <w:rsid w:val="000A383A"/>
    <w:rsid w:val="000A44E9"/>
    <w:rsid w:val="000A57A9"/>
    <w:rsid w:val="000A57F1"/>
    <w:rsid w:val="000A5830"/>
    <w:rsid w:val="000A5FAC"/>
    <w:rsid w:val="000A6FF7"/>
    <w:rsid w:val="000A79B8"/>
    <w:rsid w:val="000B0130"/>
    <w:rsid w:val="000B15DE"/>
    <w:rsid w:val="000B1CAC"/>
    <w:rsid w:val="000B4C64"/>
    <w:rsid w:val="000B4F50"/>
    <w:rsid w:val="000B57A4"/>
    <w:rsid w:val="000B607E"/>
    <w:rsid w:val="000B62CE"/>
    <w:rsid w:val="000B637E"/>
    <w:rsid w:val="000B6833"/>
    <w:rsid w:val="000B68C3"/>
    <w:rsid w:val="000B6EAD"/>
    <w:rsid w:val="000B755C"/>
    <w:rsid w:val="000C0EF2"/>
    <w:rsid w:val="000C1B5C"/>
    <w:rsid w:val="000C1CD7"/>
    <w:rsid w:val="000C2D31"/>
    <w:rsid w:val="000C3328"/>
    <w:rsid w:val="000C334C"/>
    <w:rsid w:val="000C3EA2"/>
    <w:rsid w:val="000C4722"/>
    <w:rsid w:val="000C492F"/>
    <w:rsid w:val="000C4935"/>
    <w:rsid w:val="000C4DBE"/>
    <w:rsid w:val="000C50A5"/>
    <w:rsid w:val="000C7082"/>
    <w:rsid w:val="000C746C"/>
    <w:rsid w:val="000C7621"/>
    <w:rsid w:val="000C7F36"/>
    <w:rsid w:val="000D0201"/>
    <w:rsid w:val="000D087E"/>
    <w:rsid w:val="000D1D61"/>
    <w:rsid w:val="000D30C6"/>
    <w:rsid w:val="000D3220"/>
    <w:rsid w:val="000D350A"/>
    <w:rsid w:val="000D3D0F"/>
    <w:rsid w:val="000D40E3"/>
    <w:rsid w:val="000D51FE"/>
    <w:rsid w:val="000D5D2D"/>
    <w:rsid w:val="000D6D99"/>
    <w:rsid w:val="000D794E"/>
    <w:rsid w:val="000D7BC9"/>
    <w:rsid w:val="000E0C47"/>
    <w:rsid w:val="000E1B6F"/>
    <w:rsid w:val="000E23DE"/>
    <w:rsid w:val="000E35DB"/>
    <w:rsid w:val="000E49A2"/>
    <w:rsid w:val="000E4CEF"/>
    <w:rsid w:val="000E4E12"/>
    <w:rsid w:val="000E5617"/>
    <w:rsid w:val="000E5AED"/>
    <w:rsid w:val="000E6277"/>
    <w:rsid w:val="000E7246"/>
    <w:rsid w:val="000E7D07"/>
    <w:rsid w:val="000E7D7C"/>
    <w:rsid w:val="000F00FC"/>
    <w:rsid w:val="000F29AE"/>
    <w:rsid w:val="000F2E2B"/>
    <w:rsid w:val="000F3E19"/>
    <w:rsid w:val="000F4FAD"/>
    <w:rsid w:val="000F5CCF"/>
    <w:rsid w:val="000F6152"/>
    <w:rsid w:val="000F620B"/>
    <w:rsid w:val="000F70BF"/>
    <w:rsid w:val="000F766D"/>
    <w:rsid w:val="000F7C65"/>
    <w:rsid w:val="00100D13"/>
    <w:rsid w:val="00100D5B"/>
    <w:rsid w:val="001019D3"/>
    <w:rsid w:val="0010212D"/>
    <w:rsid w:val="00105B17"/>
    <w:rsid w:val="001065F8"/>
    <w:rsid w:val="00107A6E"/>
    <w:rsid w:val="0011095B"/>
    <w:rsid w:val="00110C0B"/>
    <w:rsid w:val="001111F6"/>
    <w:rsid w:val="00111876"/>
    <w:rsid w:val="001119D8"/>
    <w:rsid w:val="00112F59"/>
    <w:rsid w:val="00113092"/>
    <w:rsid w:val="0011358F"/>
    <w:rsid w:val="00113D66"/>
    <w:rsid w:val="00115014"/>
    <w:rsid w:val="00115CA8"/>
    <w:rsid w:val="0011677B"/>
    <w:rsid w:val="00116A5A"/>
    <w:rsid w:val="00117228"/>
    <w:rsid w:val="0012000D"/>
    <w:rsid w:val="00121686"/>
    <w:rsid w:val="001219EF"/>
    <w:rsid w:val="00123CB5"/>
    <w:rsid w:val="00124ED3"/>
    <w:rsid w:val="00125F98"/>
    <w:rsid w:val="001300DA"/>
    <w:rsid w:val="00130EF6"/>
    <w:rsid w:val="00131203"/>
    <w:rsid w:val="00131818"/>
    <w:rsid w:val="00131E02"/>
    <w:rsid w:val="00132534"/>
    <w:rsid w:val="00132BBD"/>
    <w:rsid w:val="001343CE"/>
    <w:rsid w:val="00134505"/>
    <w:rsid w:val="00135CCD"/>
    <w:rsid w:val="00135F6B"/>
    <w:rsid w:val="0013630A"/>
    <w:rsid w:val="001365C8"/>
    <w:rsid w:val="001366CE"/>
    <w:rsid w:val="00136CE1"/>
    <w:rsid w:val="001372BB"/>
    <w:rsid w:val="001374BD"/>
    <w:rsid w:val="00137531"/>
    <w:rsid w:val="00137BD9"/>
    <w:rsid w:val="00137F2E"/>
    <w:rsid w:val="00142DFE"/>
    <w:rsid w:val="00142E57"/>
    <w:rsid w:val="0014353A"/>
    <w:rsid w:val="00143830"/>
    <w:rsid w:val="00143A4B"/>
    <w:rsid w:val="00143B6E"/>
    <w:rsid w:val="00143E00"/>
    <w:rsid w:val="001459DB"/>
    <w:rsid w:val="001461F3"/>
    <w:rsid w:val="00146365"/>
    <w:rsid w:val="001471E3"/>
    <w:rsid w:val="0014788B"/>
    <w:rsid w:val="00147F80"/>
    <w:rsid w:val="00150607"/>
    <w:rsid w:val="00151248"/>
    <w:rsid w:val="001515B7"/>
    <w:rsid w:val="00151FE6"/>
    <w:rsid w:val="001520A0"/>
    <w:rsid w:val="00152AAD"/>
    <w:rsid w:val="00152D5D"/>
    <w:rsid w:val="001542DD"/>
    <w:rsid w:val="00154551"/>
    <w:rsid w:val="00154676"/>
    <w:rsid w:val="00155738"/>
    <w:rsid w:val="001557F1"/>
    <w:rsid w:val="00155DCF"/>
    <w:rsid w:val="0015648E"/>
    <w:rsid w:val="00161180"/>
    <w:rsid w:val="00161783"/>
    <w:rsid w:val="00162F8E"/>
    <w:rsid w:val="0016478C"/>
    <w:rsid w:val="00165F48"/>
    <w:rsid w:val="001664F1"/>
    <w:rsid w:val="00166D62"/>
    <w:rsid w:val="00166DEB"/>
    <w:rsid w:val="0016734F"/>
    <w:rsid w:val="0016735D"/>
    <w:rsid w:val="00167E5F"/>
    <w:rsid w:val="0017032A"/>
    <w:rsid w:val="0017033C"/>
    <w:rsid w:val="001713AA"/>
    <w:rsid w:val="001722D0"/>
    <w:rsid w:val="0017293C"/>
    <w:rsid w:val="00172AA9"/>
    <w:rsid w:val="00173B68"/>
    <w:rsid w:val="00175560"/>
    <w:rsid w:val="00175A51"/>
    <w:rsid w:val="00175E49"/>
    <w:rsid w:val="001760E2"/>
    <w:rsid w:val="00176B9B"/>
    <w:rsid w:val="001773C5"/>
    <w:rsid w:val="00177583"/>
    <w:rsid w:val="001775A4"/>
    <w:rsid w:val="0017762B"/>
    <w:rsid w:val="00177ACB"/>
    <w:rsid w:val="0018025D"/>
    <w:rsid w:val="001823C1"/>
    <w:rsid w:val="00183C4E"/>
    <w:rsid w:val="0018422B"/>
    <w:rsid w:val="0018451C"/>
    <w:rsid w:val="001850E2"/>
    <w:rsid w:val="001850EC"/>
    <w:rsid w:val="001855AC"/>
    <w:rsid w:val="00185702"/>
    <w:rsid w:val="0018605C"/>
    <w:rsid w:val="0018626C"/>
    <w:rsid w:val="0018735D"/>
    <w:rsid w:val="00187DC4"/>
    <w:rsid w:val="00187F49"/>
    <w:rsid w:val="001910E2"/>
    <w:rsid w:val="001924F1"/>
    <w:rsid w:val="00192F3D"/>
    <w:rsid w:val="00193199"/>
    <w:rsid w:val="00193427"/>
    <w:rsid w:val="00194312"/>
    <w:rsid w:val="001946DA"/>
    <w:rsid w:val="001967FB"/>
    <w:rsid w:val="00196F9F"/>
    <w:rsid w:val="001978D4"/>
    <w:rsid w:val="00197A0F"/>
    <w:rsid w:val="001A0179"/>
    <w:rsid w:val="001A1D62"/>
    <w:rsid w:val="001A1F1F"/>
    <w:rsid w:val="001A2D89"/>
    <w:rsid w:val="001A2FB5"/>
    <w:rsid w:val="001A3B7D"/>
    <w:rsid w:val="001A3BC6"/>
    <w:rsid w:val="001A43A3"/>
    <w:rsid w:val="001A53F6"/>
    <w:rsid w:val="001A5771"/>
    <w:rsid w:val="001A5A12"/>
    <w:rsid w:val="001A62FE"/>
    <w:rsid w:val="001A6CD4"/>
    <w:rsid w:val="001B103E"/>
    <w:rsid w:val="001B1AB3"/>
    <w:rsid w:val="001B2046"/>
    <w:rsid w:val="001B3CE5"/>
    <w:rsid w:val="001B4422"/>
    <w:rsid w:val="001B4669"/>
    <w:rsid w:val="001B487A"/>
    <w:rsid w:val="001B558A"/>
    <w:rsid w:val="001B607E"/>
    <w:rsid w:val="001B6087"/>
    <w:rsid w:val="001B6510"/>
    <w:rsid w:val="001B7FDA"/>
    <w:rsid w:val="001C101E"/>
    <w:rsid w:val="001C1047"/>
    <w:rsid w:val="001C2608"/>
    <w:rsid w:val="001C351C"/>
    <w:rsid w:val="001C3A29"/>
    <w:rsid w:val="001C4989"/>
    <w:rsid w:val="001C540F"/>
    <w:rsid w:val="001C54A8"/>
    <w:rsid w:val="001C57C4"/>
    <w:rsid w:val="001C5B78"/>
    <w:rsid w:val="001C5F93"/>
    <w:rsid w:val="001C65A2"/>
    <w:rsid w:val="001C66B3"/>
    <w:rsid w:val="001C6E04"/>
    <w:rsid w:val="001C6E09"/>
    <w:rsid w:val="001C709A"/>
    <w:rsid w:val="001C7276"/>
    <w:rsid w:val="001C7740"/>
    <w:rsid w:val="001C7F7D"/>
    <w:rsid w:val="001D048F"/>
    <w:rsid w:val="001D0D70"/>
    <w:rsid w:val="001D19C0"/>
    <w:rsid w:val="001D2957"/>
    <w:rsid w:val="001D29DE"/>
    <w:rsid w:val="001D2ADA"/>
    <w:rsid w:val="001D3065"/>
    <w:rsid w:val="001D57A6"/>
    <w:rsid w:val="001D764B"/>
    <w:rsid w:val="001E02AC"/>
    <w:rsid w:val="001E4950"/>
    <w:rsid w:val="001E6376"/>
    <w:rsid w:val="001E6969"/>
    <w:rsid w:val="001E6A73"/>
    <w:rsid w:val="001E6D51"/>
    <w:rsid w:val="001E7742"/>
    <w:rsid w:val="001E777E"/>
    <w:rsid w:val="001F049E"/>
    <w:rsid w:val="001F17EC"/>
    <w:rsid w:val="001F1958"/>
    <w:rsid w:val="001F38A3"/>
    <w:rsid w:val="001F3B0A"/>
    <w:rsid w:val="001F3F04"/>
    <w:rsid w:val="001F3F83"/>
    <w:rsid w:val="001F41B3"/>
    <w:rsid w:val="001F5467"/>
    <w:rsid w:val="001F5926"/>
    <w:rsid w:val="001F5D39"/>
    <w:rsid w:val="001F6271"/>
    <w:rsid w:val="001F63E2"/>
    <w:rsid w:val="001F6956"/>
    <w:rsid w:val="0020017B"/>
    <w:rsid w:val="00200482"/>
    <w:rsid w:val="00200948"/>
    <w:rsid w:val="002010F1"/>
    <w:rsid w:val="002023BB"/>
    <w:rsid w:val="002033B9"/>
    <w:rsid w:val="0020381E"/>
    <w:rsid w:val="002044AD"/>
    <w:rsid w:val="00205001"/>
    <w:rsid w:val="002056F0"/>
    <w:rsid w:val="0021143C"/>
    <w:rsid w:val="00211A82"/>
    <w:rsid w:val="0021319C"/>
    <w:rsid w:val="00213662"/>
    <w:rsid w:val="00214CDF"/>
    <w:rsid w:val="00215C8F"/>
    <w:rsid w:val="002163E6"/>
    <w:rsid w:val="00216AA2"/>
    <w:rsid w:val="00217A3F"/>
    <w:rsid w:val="00220E52"/>
    <w:rsid w:val="002217B2"/>
    <w:rsid w:val="002221FA"/>
    <w:rsid w:val="00222C0E"/>
    <w:rsid w:val="002236A0"/>
    <w:rsid w:val="0022417B"/>
    <w:rsid w:val="00225A98"/>
    <w:rsid w:val="00227498"/>
    <w:rsid w:val="00227A88"/>
    <w:rsid w:val="00227FDC"/>
    <w:rsid w:val="00230F41"/>
    <w:rsid w:val="00231205"/>
    <w:rsid w:val="00231A85"/>
    <w:rsid w:val="0023201C"/>
    <w:rsid w:val="0023263E"/>
    <w:rsid w:val="002339BA"/>
    <w:rsid w:val="00233CB3"/>
    <w:rsid w:val="002360E8"/>
    <w:rsid w:val="00237A89"/>
    <w:rsid w:val="0024059B"/>
    <w:rsid w:val="0024253E"/>
    <w:rsid w:val="00242679"/>
    <w:rsid w:val="0024319C"/>
    <w:rsid w:val="002450EC"/>
    <w:rsid w:val="002453F1"/>
    <w:rsid w:val="00245CD6"/>
    <w:rsid w:val="00247274"/>
    <w:rsid w:val="002472C2"/>
    <w:rsid w:val="002477B6"/>
    <w:rsid w:val="00247B78"/>
    <w:rsid w:val="0025114C"/>
    <w:rsid w:val="00252CF3"/>
    <w:rsid w:val="0025316D"/>
    <w:rsid w:val="00253B20"/>
    <w:rsid w:val="00254283"/>
    <w:rsid w:val="00254712"/>
    <w:rsid w:val="00255C09"/>
    <w:rsid w:val="00257A1A"/>
    <w:rsid w:val="00257D5C"/>
    <w:rsid w:val="0026090D"/>
    <w:rsid w:val="00261442"/>
    <w:rsid w:val="00261D63"/>
    <w:rsid w:val="00261D6E"/>
    <w:rsid w:val="002621C2"/>
    <w:rsid w:val="002622AA"/>
    <w:rsid w:val="00262336"/>
    <w:rsid w:val="002626C0"/>
    <w:rsid w:val="00262CF0"/>
    <w:rsid w:val="00262F88"/>
    <w:rsid w:val="00263313"/>
    <w:rsid w:val="00263717"/>
    <w:rsid w:val="002637A0"/>
    <w:rsid w:val="00264CD7"/>
    <w:rsid w:val="00265001"/>
    <w:rsid w:val="00265313"/>
    <w:rsid w:val="0026546D"/>
    <w:rsid w:val="0026569C"/>
    <w:rsid w:val="00265781"/>
    <w:rsid w:val="00266F0B"/>
    <w:rsid w:val="00267DA7"/>
    <w:rsid w:val="00267FD2"/>
    <w:rsid w:val="00270162"/>
    <w:rsid w:val="00270EBC"/>
    <w:rsid w:val="00271EE6"/>
    <w:rsid w:val="00272CB4"/>
    <w:rsid w:val="002739A1"/>
    <w:rsid w:val="0027428B"/>
    <w:rsid w:val="00274FCE"/>
    <w:rsid w:val="00276BFE"/>
    <w:rsid w:val="00277F0F"/>
    <w:rsid w:val="0028015D"/>
    <w:rsid w:val="00280546"/>
    <w:rsid w:val="002805FA"/>
    <w:rsid w:val="0028072B"/>
    <w:rsid w:val="00282612"/>
    <w:rsid w:val="00283D9E"/>
    <w:rsid w:val="00285015"/>
    <w:rsid w:val="00286636"/>
    <w:rsid w:val="0028673F"/>
    <w:rsid w:val="00290D5E"/>
    <w:rsid w:val="00291E8D"/>
    <w:rsid w:val="00292DC4"/>
    <w:rsid w:val="002963CC"/>
    <w:rsid w:val="00297EA4"/>
    <w:rsid w:val="002A0071"/>
    <w:rsid w:val="002A0F25"/>
    <w:rsid w:val="002A13BC"/>
    <w:rsid w:val="002A1D09"/>
    <w:rsid w:val="002A3913"/>
    <w:rsid w:val="002A3EEB"/>
    <w:rsid w:val="002A3FF2"/>
    <w:rsid w:val="002A4585"/>
    <w:rsid w:val="002A4E70"/>
    <w:rsid w:val="002A545C"/>
    <w:rsid w:val="002A706C"/>
    <w:rsid w:val="002A7B49"/>
    <w:rsid w:val="002B139D"/>
    <w:rsid w:val="002B1799"/>
    <w:rsid w:val="002B1C22"/>
    <w:rsid w:val="002B1C61"/>
    <w:rsid w:val="002B1E44"/>
    <w:rsid w:val="002B38E8"/>
    <w:rsid w:val="002B3AD4"/>
    <w:rsid w:val="002B4B51"/>
    <w:rsid w:val="002B501D"/>
    <w:rsid w:val="002B5B03"/>
    <w:rsid w:val="002B6701"/>
    <w:rsid w:val="002B69DF"/>
    <w:rsid w:val="002B6DFD"/>
    <w:rsid w:val="002B737F"/>
    <w:rsid w:val="002B7408"/>
    <w:rsid w:val="002B7B8F"/>
    <w:rsid w:val="002C0009"/>
    <w:rsid w:val="002C082B"/>
    <w:rsid w:val="002C0E5A"/>
    <w:rsid w:val="002C1390"/>
    <w:rsid w:val="002C14D2"/>
    <w:rsid w:val="002C2A65"/>
    <w:rsid w:val="002C2C13"/>
    <w:rsid w:val="002C2DD9"/>
    <w:rsid w:val="002C451F"/>
    <w:rsid w:val="002C48FE"/>
    <w:rsid w:val="002C4E54"/>
    <w:rsid w:val="002C4FB2"/>
    <w:rsid w:val="002C5AB0"/>
    <w:rsid w:val="002C65E8"/>
    <w:rsid w:val="002C7405"/>
    <w:rsid w:val="002C7ACE"/>
    <w:rsid w:val="002D2D43"/>
    <w:rsid w:val="002D2E39"/>
    <w:rsid w:val="002D30DD"/>
    <w:rsid w:val="002D35D3"/>
    <w:rsid w:val="002D4270"/>
    <w:rsid w:val="002D50C5"/>
    <w:rsid w:val="002D55B8"/>
    <w:rsid w:val="002D5689"/>
    <w:rsid w:val="002D573E"/>
    <w:rsid w:val="002D6508"/>
    <w:rsid w:val="002D6D2A"/>
    <w:rsid w:val="002D6DA5"/>
    <w:rsid w:val="002D7776"/>
    <w:rsid w:val="002D7CA9"/>
    <w:rsid w:val="002E05B1"/>
    <w:rsid w:val="002E162E"/>
    <w:rsid w:val="002E18CC"/>
    <w:rsid w:val="002E2A36"/>
    <w:rsid w:val="002E38B1"/>
    <w:rsid w:val="002E67EC"/>
    <w:rsid w:val="002E6FD3"/>
    <w:rsid w:val="002E79E5"/>
    <w:rsid w:val="002F0258"/>
    <w:rsid w:val="002F0B0E"/>
    <w:rsid w:val="002F0D13"/>
    <w:rsid w:val="002F21AD"/>
    <w:rsid w:val="002F2978"/>
    <w:rsid w:val="002F2E4E"/>
    <w:rsid w:val="002F4320"/>
    <w:rsid w:val="002F5100"/>
    <w:rsid w:val="002F5C89"/>
    <w:rsid w:val="002F675A"/>
    <w:rsid w:val="002F68B3"/>
    <w:rsid w:val="002F6EBE"/>
    <w:rsid w:val="002F771B"/>
    <w:rsid w:val="002F7D6D"/>
    <w:rsid w:val="003008ED"/>
    <w:rsid w:val="00300993"/>
    <w:rsid w:val="00301C9A"/>
    <w:rsid w:val="0030465E"/>
    <w:rsid w:val="00304687"/>
    <w:rsid w:val="00305068"/>
    <w:rsid w:val="003058F3"/>
    <w:rsid w:val="00305DBE"/>
    <w:rsid w:val="0030754F"/>
    <w:rsid w:val="0030795E"/>
    <w:rsid w:val="003079FF"/>
    <w:rsid w:val="00307C96"/>
    <w:rsid w:val="00307D97"/>
    <w:rsid w:val="003100C5"/>
    <w:rsid w:val="00310463"/>
    <w:rsid w:val="00311316"/>
    <w:rsid w:val="003120A7"/>
    <w:rsid w:val="003121EA"/>
    <w:rsid w:val="00312310"/>
    <w:rsid w:val="00312C82"/>
    <w:rsid w:val="0031529E"/>
    <w:rsid w:val="00315EB0"/>
    <w:rsid w:val="00315EE8"/>
    <w:rsid w:val="00316161"/>
    <w:rsid w:val="0031631D"/>
    <w:rsid w:val="003174FE"/>
    <w:rsid w:val="00320459"/>
    <w:rsid w:val="0032277A"/>
    <w:rsid w:val="0032355C"/>
    <w:rsid w:val="00324458"/>
    <w:rsid w:val="0032465E"/>
    <w:rsid w:val="00324F5E"/>
    <w:rsid w:val="00325330"/>
    <w:rsid w:val="0032617A"/>
    <w:rsid w:val="003263DF"/>
    <w:rsid w:val="003278DA"/>
    <w:rsid w:val="00331C93"/>
    <w:rsid w:val="00332860"/>
    <w:rsid w:val="003329BB"/>
    <w:rsid w:val="003332A6"/>
    <w:rsid w:val="003332CC"/>
    <w:rsid w:val="0033361F"/>
    <w:rsid w:val="00333F80"/>
    <w:rsid w:val="003340A8"/>
    <w:rsid w:val="0033448C"/>
    <w:rsid w:val="0033450F"/>
    <w:rsid w:val="00334758"/>
    <w:rsid w:val="00334CE5"/>
    <w:rsid w:val="00335464"/>
    <w:rsid w:val="00336859"/>
    <w:rsid w:val="00336FA1"/>
    <w:rsid w:val="00340F05"/>
    <w:rsid w:val="003413E8"/>
    <w:rsid w:val="00341B4D"/>
    <w:rsid w:val="00341C1B"/>
    <w:rsid w:val="00341E4F"/>
    <w:rsid w:val="00342BF2"/>
    <w:rsid w:val="00343DBA"/>
    <w:rsid w:val="0034695E"/>
    <w:rsid w:val="00346A4C"/>
    <w:rsid w:val="003473D3"/>
    <w:rsid w:val="003476E6"/>
    <w:rsid w:val="00347AFF"/>
    <w:rsid w:val="00347D06"/>
    <w:rsid w:val="003502D5"/>
    <w:rsid w:val="0035114D"/>
    <w:rsid w:val="00351271"/>
    <w:rsid w:val="00351F6A"/>
    <w:rsid w:val="00352513"/>
    <w:rsid w:val="0035285F"/>
    <w:rsid w:val="003533B0"/>
    <w:rsid w:val="00355A83"/>
    <w:rsid w:val="00356ECC"/>
    <w:rsid w:val="0035704B"/>
    <w:rsid w:val="00357330"/>
    <w:rsid w:val="0036065B"/>
    <w:rsid w:val="003628EB"/>
    <w:rsid w:val="00362A36"/>
    <w:rsid w:val="003638B8"/>
    <w:rsid w:val="00364201"/>
    <w:rsid w:val="003642BB"/>
    <w:rsid w:val="003644B2"/>
    <w:rsid w:val="00364DC1"/>
    <w:rsid w:val="003653AD"/>
    <w:rsid w:val="003658D0"/>
    <w:rsid w:val="00365B10"/>
    <w:rsid w:val="00365EDD"/>
    <w:rsid w:val="00366AAC"/>
    <w:rsid w:val="0036713E"/>
    <w:rsid w:val="00370404"/>
    <w:rsid w:val="003710F0"/>
    <w:rsid w:val="003711B4"/>
    <w:rsid w:val="00371D64"/>
    <w:rsid w:val="003738BF"/>
    <w:rsid w:val="0037410F"/>
    <w:rsid w:val="0037489B"/>
    <w:rsid w:val="00374B80"/>
    <w:rsid w:val="003758A7"/>
    <w:rsid w:val="00375E23"/>
    <w:rsid w:val="00376107"/>
    <w:rsid w:val="00376A0B"/>
    <w:rsid w:val="00376F0C"/>
    <w:rsid w:val="003805F0"/>
    <w:rsid w:val="003822A2"/>
    <w:rsid w:val="00382D04"/>
    <w:rsid w:val="0038393A"/>
    <w:rsid w:val="00384094"/>
    <w:rsid w:val="003840E9"/>
    <w:rsid w:val="00384971"/>
    <w:rsid w:val="00385218"/>
    <w:rsid w:val="003859FA"/>
    <w:rsid w:val="00385A69"/>
    <w:rsid w:val="0038607F"/>
    <w:rsid w:val="00387579"/>
    <w:rsid w:val="00387974"/>
    <w:rsid w:val="00390996"/>
    <w:rsid w:val="00390AA7"/>
    <w:rsid w:val="00390C72"/>
    <w:rsid w:val="0039169F"/>
    <w:rsid w:val="00393295"/>
    <w:rsid w:val="003939D8"/>
    <w:rsid w:val="003944BC"/>
    <w:rsid w:val="00395010"/>
    <w:rsid w:val="00395C2D"/>
    <w:rsid w:val="00396EF6"/>
    <w:rsid w:val="00396FF3"/>
    <w:rsid w:val="00397869"/>
    <w:rsid w:val="003A0BFC"/>
    <w:rsid w:val="003A10A9"/>
    <w:rsid w:val="003A1173"/>
    <w:rsid w:val="003A15A4"/>
    <w:rsid w:val="003A20B3"/>
    <w:rsid w:val="003A3030"/>
    <w:rsid w:val="003A3315"/>
    <w:rsid w:val="003A3C6A"/>
    <w:rsid w:val="003A4152"/>
    <w:rsid w:val="003A4AB8"/>
    <w:rsid w:val="003A4B1B"/>
    <w:rsid w:val="003A52C5"/>
    <w:rsid w:val="003A656A"/>
    <w:rsid w:val="003A7953"/>
    <w:rsid w:val="003A7CA9"/>
    <w:rsid w:val="003A7E4E"/>
    <w:rsid w:val="003B0590"/>
    <w:rsid w:val="003B1122"/>
    <w:rsid w:val="003B146C"/>
    <w:rsid w:val="003B3161"/>
    <w:rsid w:val="003B338F"/>
    <w:rsid w:val="003B3718"/>
    <w:rsid w:val="003B524B"/>
    <w:rsid w:val="003B5A47"/>
    <w:rsid w:val="003B5D69"/>
    <w:rsid w:val="003B634A"/>
    <w:rsid w:val="003C2239"/>
    <w:rsid w:val="003C2B6D"/>
    <w:rsid w:val="003C2E23"/>
    <w:rsid w:val="003C3382"/>
    <w:rsid w:val="003C3401"/>
    <w:rsid w:val="003C3A59"/>
    <w:rsid w:val="003C4504"/>
    <w:rsid w:val="003C4A45"/>
    <w:rsid w:val="003C5540"/>
    <w:rsid w:val="003C57AF"/>
    <w:rsid w:val="003C5D17"/>
    <w:rsid w:val="003C6282"/>
    <w:rsid w:val="003C6F15"/>
    <w:rsid w:val="003D0E25"/>
    <w:rsid w:val="003D112C"/>
    <w:rsid w:val="003D1DA0"/>
    <w:rsid w:val="003D2591"/>
    <w:rsid w:val="003D26E0"/>
    <w:rsid w:val="003D2B33"/>
    <w:rsid w:val="003D2F32"/>
    <w:rsid w:val="003D3249"/>
    <w:rsid w:val="003D3E66"/>
    <w:rsid w:val="003D4514"/>
    <w:rsid w:val="003D59B8"/>
    <w:rsid w:val="003D5B1F"/>
    <w:rsid w:val="003D7111"/>
    <w:rsid w:val="003D72CB"/>
    <w:rsid w:val="003D7F3C"/>
    <w:rsid w:val="003E0638"/>
    <w:rsid w:val="003E1AB4"/>
    <w:rsid w:val="003E1B0E"/>
    <w:rsid w:val="003E1E9B"/>
    <w:rsid w:val="003E2021"/>
    <w:rsid w:val="003E22DD"/>
    <w:rsid w:val="003E2C4E"/>
    <w:rsid w:val="003E2F9B"/>
    <w:rsid w:val="003E346F"/>
    <w:rsid w:val="003E3800"/>
    <w:rsid w:val="003E4504"/>
    <w:rsid w:val="003E461A"/>
    <w:rsid w:val="003E4F7A"/>
    <w:rsid w:val="003E5532"/>
    <w:rsid w:val="003E71F6"/>
    <w:rsid w:val="003E724E"/>
    <w:rsid w:val="003E7CF3"/>
    <w:rsid w:val="003F1C57"/>
    <w:rsid w:val="003F20A8"/>
    <w:rsid w:val="003F2371"/>
    <w:rsid w:val="003F26A8"/>
    <w:rsid w:val="003F30B6"/>
    <w:rsid w:val="003F3359"/>
    <w:rsid w:val="003F3BE1"/>
    <w:rsid w:val="003F5881"/>
    <w:rsid w:val="003F59A4"/>
    <w:rsid w:val="003F709F"/>
    <w:rsid w:val="003F7C73"/>
    <w:rsid w:val="0040160D"/>
    <w:rsid w:val="004016C8"/>
    <w:rsid w:val="0040262F"/>
    <w:rsid w:val="004036C5"/>
    <w:rsid w:val="0040468B"/>
    <w:rsid w:val="004057D3"/>
    <w:rsid w:val="004078F2"/>
    <w:rsid w:val="00407C48"/>
    <w:rsid w:val="00407EF6"/>
    <w:rsid w:val="0041016A"/>
    <w:rsid w:val="004105E4"/>
    <w:rsid w:val="0041189A"/>
    <w:rsid w:val="00412846"/>
    <w:rsid w:val="004129B5"/>
    <w:rsid w:val="00412E38"/>
    <w:rsid w:val="00413838"/>
    <w:rsid w:val="00414DEB"/>
    <w:rsid w:val="00415239"/>
    <w:rsid w:val="004157B8"/>
    <w:rsid w:val="004158D8"/>
    <w:rsid w:val="004165FD"/>
    <w:rsid w:val="00416DCA"/>
    <w:rsid w:val="004170B9"/>
    <w:rsid w:val="00417457"/>
    <w:rsid w:val="004178E4"/>
    <w:rsid w:val="00420BC3"/>
    <w:rsid w:val="00421179"/>
    <w:rsid w:val="0042135E"/>
    <w:rsid w:val="004215F4"/>
    <w:rsid w:val="00421A44"/>
    <w:rsid w:val="0042207A"/>
    <w:rsid w:val="00422367"/>
    <w:rsid w:val="00422384"/>
    <w:rsid w:val="004235FF"/>
    <w:rsid w:val="00423888"/>
    <w:rsid w:val="00423D3B"/>
    <w:rsid w:val="00423DBE"/>
    <w:rsid w:val="004240C2"/>
    <w:rsid w:val="00424E5C"/>
    <w:rsid w:val="00425D27"/>
    <w:rsid w:val="004261C3"/>
    <w:rsid w:val="00426256"/>
    <w:rsid w:val="0042669A"/>
    <w:rsid w:val="004270AC"/>
    <w:rsid w:val="0042715C"/>
    <w:rsid w:val="0042752B"/>
    <w:rsid w:val="00430153"/>
    <w:rsid w:val="00430C34"/>
    <w:rsid w:val="00430E70"/>
    <w:rsid w:val="00431272"/>
    <w:rsid w:val="0043142F"/>
    <w:rsid w:val="0043180D"/>
    <w:rsid w:val="004320C4"/>
    <w:rsid w:val="00432E7B"/>
    <w:rsid w:val="00433840"/>
    <w:rsid w:val="00433F8D"/>
    <w:rsid w:val="00437B33"/>
    <w:rsid w:val="00440DC9"/>
    <w:rsid w:val="00441755"/>
    <w:rsid w:val="00441F15"/>
    <w:rsid w:val="00442253"/>
    <w:rsid w:val="00442B61"/>
    <w:rsid w:val="00442E3F"/>
    <w:rsid w:val="004432C5"/>
    <w:rsid w:val="004459A1"/>
    <w:rsid w:val="00445BD6"/>
    <w:rsid w:val="00447046"/>
    <w:rsid w:val="00447682"/>
    <w:rsid w:val="004479DD"/>
    <w:rsid w:val="00447A51"/>
    <w:rsid w:val="00447C47"/>
    <w:rsid w:val="00450465"/>
    <w:rsid w:val="00451147"/>
    <w:rsid w:val="00452815"/>
    <w:rsid w:val="00453EA7"/>
    <w:rsid w:val="004540A9"/>
    <w:rsid w:val="004542A3"/>
    <w:rsid w:val="0045695B"/>
    <w:rsid w:val="004604A3"/>
    <w:rsid w:val="00460567"/>
    <w:rsid w:val="00460961"/>
    <w:rsid w:val="00462E63"/>
    <w:rsid w:val="004635FA"/>
    <w:rsid w:val="004652A9"/>
    <w:rsid w:val="00466737"/>
    <w:rsid w:val="00466D3E"/>
    <w:rsid w:val="00467166"/>
    <w:rsid w:val="00467C65"/>
    <w:rsid w:val="00470354"/>
    <w:rsid w:val="00471A13"/>
    <w:rsid w:val="0047210C"/>
    <w:rsid w:val="004734D2"/>
    <w:rsid w:val="004739C9"/>
    <w:rsid w:val="00473BBE"/>
    <w:rsid w:val="00474BD7"/>
    <w:rsid w:val="00476183"/>
    <w:rsid w:val="0047639A"/>
    <w:rsid w:val="00477B45"/>
    <w:rsid w:val="004801F8"/>
    <w:rsid w:val="004808B7"/>
    <w:rsid w:val="00481D70"/>
    <w:rsid w:val="00483CE2"/>
    <w:rsid w:val="00484244"/>
    <w:rsid w:val="004844D6"/>
    <w:rsid w:val="00485BDA"/>
    <w:rsid w:val="004861B6"/>
    <w:rsid w:val="00486829"/>
    <w:rsid w:val="00487042"/>
    <w:rsid w:val="00487700"/>
    <w:rsid w:val="00487E19"/>
    <w:rsid w:val="00490161"/>
    <w:rsid w:val="004907BD"/>
    <w:rsid w:val="00490B1E"/>
    <w:rsid w:val="00490FE8"/>
    <w:rsid w:val="0049248A"/>
    <w:rsid w:val="00492ADB"/>
    <w:rsid w:val="00492DB9"/>
    <w:rsid w:val="00493060"/>
    <w:rsid w:val="004938FF"/>
    <w:rsid w:val="004939E9"/>
    <w:rsid w:val="00493FAD"/>
    <w:rsid w:val="004954AD"/>
    <w:rsid w:val="004959EF"/>
    <w:rsid w:val="00495DC9"/>
    <w:rsid w:val="00496461"/>
    <w:rsid w:val="004976E8"/>
    <w:rsid w:val="004977AE"/>
    <w:rsid w:val="00497825"/>
    <w:rsid w:val="00497DEF"/>
    <w:rsid w:val="004A0C07"/>
    <w:rsid w:val="004A263A"/>
    <w:rsid w:val="004A3F57"/>
    <w:rsid w:val="004A4137"/>
    <w:rsid w:val="004A47CB"/>
    <w:rsid w:val="004A6ED8"/>
    <w:rsid w:val="004A7315"/>
    <w:rsid w:val="004A7376"/>
    <w:rsid w:val="004A7A2D"/>
    <w:rsid w:val="004B0820"/>
    <w:rsid w:val="004B083E"/>
    <w:rsid w:val="004B17C4"/>
    <w:rsid w:val="004B1D87"/>
    <w:rsid w:val="004B2227"/>
    <w:rsid w:val="004B2823"/>
    <w:rsid w:val="004B297C"/>
    <w:rsid w:val="004B2FC9"/>
    <w:rsid w:val="004B31F5"/>
    <w:rsid w:val="004B3409"/>
    <w:rsid w:val="004B513E"/>
    <w:rsid w:val="004B540F"/>
    <w:rsid w:val="004B5927"/>
    <w:rsid w:val="004B5DBB"/>
    <w:rsid w:val="004B5F40"/>
    <w:rsid w:val="004B61F4"/>
    <w:rsid w:val="004B6776"/>
    <w:rsid w:val="004B6B38"/>
    <w:rsid w:val="004B717B"/>
    <w:rsid w:val="004B7B9B"/>
    <w:rsid w:val="004C0C87"/>
    <w:rsid w:val="004C2230"/>
    <w:rsid w:val="004C2705"/>
    <w:rsid w:val="004C2A14"/>
    <w:rsid w:val="004C2C4F"/>
    <w:rsid w:val="004C49EE"/>
    <w:rsid w:val="004C4AED"/>
    <w:rsid w:val="004C57A8"/>
    <w:rsid w:val="004C5979"/>
    <w:rsid w:val="004C5AED"/>
    <w:rsid w:val="004C5B51"/>
    <w:rsid w:val="004C5C26"/>
    <w:rsid w:val="004C62CB"/>
    <w:rsid w:val="004C6803"/>
    <w:rsid w:val="004C7ECE"/>
    <w:rsid w:val="004C7FD8"/>
    <w:rsid w:val="004D12CE"/>
    <w:rsid w:val="004D13BC"/>
    <w:rsid w:val="004D2060"/>
    <w:rsid w:val="004D2108"/>
    <w:rsid w:val="004D24CB"/>
    <w:rsid w:val="004D25B7"/>
    <w:rsid w:val="004D2E4A"/>
    <w:rsid w:val="004D325C"/>
    <w:rsid w:val="004D5825"/>
    <w:rsid w:val="004D70FF"/>
    <w:rsid w:val="004D726B"/>
    <w:rsid w:val="004D7FAD"/>
    <w:rsid w:val="004E025D"/>
    <w:rsid w:val="004E038B"/>
    <w:rsid w:val="004E067E"/>
    <w:rsid w:val="004E0D47"/>
    <w:rsid w:val="004E129D"/>
    <w:rsid w:val="004E172E"/>
    <w:rsid w:val="004E176D"/>
    <w:rsid w:val="004E19B7"/>
    <w:rsid w:val="004E1D06"/>
    <w:rsid w:val="004E2DE1"/>
    <w:rsid w:val="004E320C"/>
    <w:rsid w:val="004E344A"/>
    <w:rsid w:val="004E3462"/>
    <w:rsid w:val="004E367B"/>
    <w:rsid w:val="004E381F"/>
    <w:rsid w:val="004E5AC1"/>
    <w:rsid w:val="004E6E36"/>
    <w:rsid w:val="004E7F99"/>
    <w:rsid w:val="004F027D"/>
    <w:rsid w:val="004F0C67"/>
    <w:rsid w:val="004F11A8"/>
    <w:rsid w:val="004F1DD2"/>
    <w:rsid w:val="004F3160"/>
    <w:rsid w:val="004F3917"/>
    <w:rsid w:val="004F3FA8"/>
    <w:rsid w:val="004F41C1"/>
    <w:rsid w:val="004F5137"/>
    <w:rsid w:val="004F5AE9"/>
    <w:rsid w:val="004F60B0"/>
    <w:rsid w:val="004F63F3"/>
    <w:rsid w:val="004F68AF"/>
    <w:rsid w:val="004F6F2A"/>
    <w:rsid w:val="004F6FE2"/>
    <w:rsid w:val="005019D0"/>
    <w:rsid w:val="00502699"/>
    <w:rsid w:val="005034D1"/>
    <w:rsid w:val="005043C4"/>
    <w:rsid w:val="00505261"/>
    <w:rsid w:val="005057FA"/>
    <w:rsid w:val="00505A38"/>
    <w:rsid w:val="00505ACC"/>
    <w:rsid w:val="0050633C"/>
    <w:rsid w:val="00506BDB"/>
    <w:rsid w:val="00507591"/>
    <w:rsid w:val="005101B8"/>
    <w:rsid w:val="00511109"/>
    <w:rsid w:val="00511891"/>
    <w:rsid w:val="00511A5A"/>
    <w:rsid w:val="005128C3"/>
    <w:rsid w:val="00512E5D"/>
    <w:rsid w:val="00512EDF"/>
    <w:rsid w:val="005139CE"/>
    <w:rsid w:val="00513DB3"/>
    <w:rsid w:val="0051485A"/>
    <w:rsid w:val="00515086"/>
    <w:rsid w:val="005152E5"/>
    <w:rsid w:val="00515732"/>
    <w:rsid w:val="00515F3E"/>
    <w:rsid w:val="0051685F"/>
    <w:rsid w:val="005174D7"/>
    <w:rsid w:val="00517C0E"/>
    <w:rsid w:val="00520584"/>
    <w:rsid w:val="00520B3D"/>
    <w:rsid w:val="005215FB"/>
    <w:rsid w:val="00521832"/>
    <w:rsid w:val="00521942"/>
    <w:rsid w:val="00521D79"/>
    <w:rsid w:val="00521F27"/>
    <w:rsid w:val="00522120"/>
    <w:rsid w:val="0052352E"/>
    <w:rsid w:val="00523FE3"/>
    <w:rsid w:val="00524100"/>
    <w:rsid w:val="00524C08"/>
    <w:rsid w:val="00525F74"/>
    <w:rsid w:val="0052625D"/>
    <w:rsid w:val="005262EF"/>
    <w:rsid w:val="00526C30"/>
    <w:rsid w:val="00527095"/>
    <w:rsid w:val="00527D67"/>
    <w:rsid w:val="00530497"/>
    <w:rsid w:val="00530A02"/>
    <w:rsid w:val="00530E3A"/>
    <w:rsid w:val="00530F82"/>
    <w:rsid w:val="00531557"/>
    <w:rsid w:val="005316BC"/>
    <w:rsid w:val="00531AA2"/>
    <w:rsid w:val="00533039"/>
    <w:rsid w:val="00533084"/>
    <w:rsid w:val="0053312A"/>
    <w:rsid w:val="005346E0"/>
    <w:rsid w:val="00534B61"/>
    <w:rsid w:val="00535CB5"/>
    <w:rsid w:val="00536422"/>
    <w:rsid w:val="00536813"/>
    <w:rsid w:val="00536A32"/>
    <w:rsid w:val="00537D10"/>
    <w:rsid w:val="00537E97"/>
    <w:rsid w:val="00540097"/>
    <w:rsid w:val="0054064A"/>
    <w:rsid w:val="005410A3"/>
    <w:rsid w:val="00541CAC"/>
    <w:rsid w:val="0054209F"/>
    <w:rsid w:val="00542152"/>
    <w:rsid w:val="00542D1D"/>
    <w:rsid w:val="00542F4B"/>
    <w:rsid w:val="00543339"/>
    <w:rsid w:val="005436BA"/>
    <w:rsid w:val="005444FA"/>
    <w:rsid w:val="00544F2E"/>
    <w:rsid w:val="00546819"/>
    <w:rsid w:val="00550254"/>
    <w:rsid w:val="0055074B"/>
    <w:rsid w:val="00550A53"/>
    <w:rsid w:val="0055120F"/>
    <w:rsid w:val="00551220"/>
    <w:rsid w:val="00551397"/>
    <w:rsid w:val="00554238"/>
    <w:rsid w:val="00554458"/>
    <w:rsid w:val="00556073"/>
    <w:rsid w:val="005570FC"/>
    <w:rsid w:val="00564AC2"/>
    <w:rsid w:val="0056521B"/>
    <w:rsid w:val="005658B9"/>
    <w:rsid w:val="00565E99"/>
    <w:rsid w:val="00570240"/>
    <w:rsid w:val="00570CD8"/>
    <w:rsid w:val="00571043"/>
    <w:rsid w:val="0057380A"/>
    <w:rsid w:val="00573B86"/>
    <w:rsid w:val="00574358"/>
    <w:rsid w:val="00574B91"/>
    <w:rsid w:val="00574B9C"/>
    <w:rsid w:val="00574D1D"/>
    <w:rsid w:val="00574ED6"/>
    <w:rsid w:val="005761E8"/>
    <w:rsid w:val="00576FBB"/>
    <w:rsid w:val="00577942"/>
    <w:rsid w:val="00577C67"/>
    <w:rsid w:val="005802A3"/>
    <w:rsid w:val="0058030A"/>
    <w:rsid w:val="00581538"/>
    <w:rsid w:val="00582D18"/>
    <w:rsid w:val="00582D92"/>
    <w:rsid w:val="00582F15"/>
    <w:rsid w:val="00583110"/>
    <w:rsid w:val="005835E5"/>
    <w:rsid w:val="0058396D"/>
    <w:rsid w:val="00584918"/>
    <w:rsid w:val="00584952"/>
    <w:rsid w:val="00584CF4"/>
    <w:rsid w:val="00585613"/>
    <w:rsid w:val="00585F75"/>
    <w:rsid w:val="00585FE8"/>
    <w:rsid w:val="00591909"/>
    <w:rsid w:val="00593EAA"/>
    <w:rsid w:val="0059444B"/>
    <w:rsid w:val="0059528C"/>
    <w:rsid w:val="005963B3"/>
    <w:rsid w:val="0059682D"/>
    <w:rsid w:val="00597C57"/>
    <w:rsid w:val="00597D6D"/>
    <w:rsid w:val="005A0626"/>
    <w:rsid w:val="005A0757"/>
    <w:rsid w:val="005A07E3"/>
    <w:rsid w:val="005A2167"/>
    <w:rsid w:val="005A2534"/>
    <w:rsid w:val="005A3CCC"/>
    <w:rsid w:val="005A4460"/>
    <w:rsid w:val="005A49FF"/>
    <w:rsid w:val="005A5856"/>
    <w:rsid w:val="005A719D"/>
    <w:rsid w:val="005A770F"/>
    <w:rsid w:val="005B007E"/>
    <w:rsid w:val="005B0100"/>
    <w:rsid w:val="005B2371"/>
    <w:rsid w:val="005B274A"/>
    <w:rsid w:val="005B29CB"/>
    <w:rsid w:val="005B4EAA"/>
    <w:rsid w:val="005B521F"/>
    <w:rsid w:val="005B541F"/>
    <w:rsid w:val="005B63C4"/>
    <w:rsid w:val="005B68FD"/>
    <w:rsid w:val="005B6D63"/>
    <w:rsid w:val="005B7834"/>
    <w:rsid w:val="005B78D3"/>
    <w:rsid w:val="005C01EA"/>
    <w:rsid w:val="005C1084"/>
    <w:rsid w:val="005C17FB"/>
    <w:rsid w:val="005C19CA"/>
    <w:rsid w:val="005C1C35"/>
    <w:rsid w:val="005C5472"/>
    <w:rsid w:val="005C54A8"/>
    <w:rsid w:val="005C6353"/>
    <w:rsid w:val="005C6AA5"/>
    <w:rsid w:val="005D0926"/>
    <w:rsid w:val="005D0AB4"/>
    <w:rsid w:val="005D1288"/>
    <w:rsid w:val="005D17C2"/>
    <w:rsid w:val="005D23CA"/>
    <w:rsid w:val="005D2769"/>
    <w:rsid w:val="005D3E98"/>
    <w:rsid w:val="005D4321"/>
    <w:rsid w:val="005D51D9"/>
    <w:rsid w:val="005D6283"/>
    <w:rsid w:val="005D749F"/>
    <w:rsid w:val="005D7A17"/>
    <w:rsid w:val="005D7BE7"/>
    <w:rsid w:val="005D7C05"/>
    <w:rsid w:val="005E0817"/>
    <w:rsid w:val="005E08B0"/>
    <w:rsid w:val="005E097F"/>
    <w:rsid w:val="005E0A26"/>
    <w:rsid w:val="005E22FC"/>
    <w:rsid w:val="005E289F"/>
    <w:rsid w:val="005E2B9D"/>
    <w:rsid w:val="005E2E5F"/>
    <w:rsid w:val="005E5067"/>
    <w:rsid w:val="005E54DB"/>
    <w:rsid w:val="005F0555"/>
    <w:rsid w:val="005F0927"/>
    <w:rsid w:val="005F0D84"/>
    <w:rsid w:val="005F0D97"/>
    <w:rsid w:val="005F12EC"/>
    <w:rsid w:val="005F13C1"/>
    <w:rsid w:val="005F1439"/>
    <w:rsid w:val="005F2416"/>
    <w:rsid w:val="005F28F6"/>
    <w:rsid w:val="005F2B96"/>
    <w:rsid w:val="005F2D27"/>
    <w:rsid w:val="005F3390"/>
    <w:rsid w:val="005F3C75"/>
    <w:rsid w:val="005F4570"/>
    <w:rsid w:val="005F5049"/>
    <w:rsid w:val="005F6F5F"/>
    <w:rsid w:val="005F6FBE"/>
    <w:rsid w:val="005F779B"/>
    <w:rsid w:val="005F7D1E"/>
    <w:rsid w:val="006003B3"/>
    <w:rsid w:val="00600CD9"/>
    <w:rsid w:val="00600D97"/>
    <w:rsid w:val="0060327D"/>
    <w:rsid w:val="00604D88"/>
    <w:rsid w:val="006050FA"/>
    <w:rsid w:val="006054F0"/>
    <w:rsid w:val="00607A37"/>
    <w:rsid w:val="0061031A"/>
    <w:rsid w:val="00610944"/>
    <w:rsid w:val="00611019"/>
    <w:rsid w:val="00611F77"/>
    <w:rsid w:val="00613010"/>
    <w:rsid w:val="006132A1"/>
    <w:rsid w:val="00613388"/>
    <w:rsid w:val="00613815"/>
    <w:rsid w:val="00614291"/>
    <w:rsid w:val="00614C8B"/>
    <w:rsid w:val="0061561C"/>
    <w:rsid w:val="006162B9"/>
    <w:rsid w:val="00616A61"/>
    <w:rsid w:val="0061770D"/>
    <w:rsid w:val="00620584"/>
    <w:rsid w:val="006210AE"/>
    <w:rsid w:val="00621560"/>
    <w:rsid w:val="00621D6A"/>
    <w:rsid w:val="006223D4"/>
    <w:rsid w:val="00622ACD"/>
    <w:rsid w:val="0062398A"/>
    <w:rsid w:val="00623E5B"/>
    <w:rsid w:val="00623F1D"/>
    <w:rsid w:val="006240E6"/>
    <w:rsid w:val="006241CA"/>
    <w:rsid w:val="006250E4"/>
    <w:rsid w:val="006265CF"/>
    <w:rsid w:val="006266EC"/>
    <w:rsid w:val="0062743C"/>
    <w:rsid w:val="006276F0"/>
    <w:rsid w:val="00627B8E"/>
    <w:rsid w:val="006304CB"/>
    <w:rsid w:val="0063056D"/>
    <w:rsid w:val="00630C91"/>
    <w:rsid w:val="00631269"/>
    <w:rsid w:val="00631542"/>
    <w:rsid w:val="006322CD"/>
    <w:rsid w:val="00632D4D"/>
    <w:rsid w:val="00632F46"/>
    <w:rsid w:val="006335E4"/>
    <w:rsid w:val="0063364D"/>
    <w:rsid w:val="00634631"/>
    <w:rsid w:val="0063543F"/>
    <w:rsid w:val="006355FA"/>
    <w:rsid w:val="00635715"/>
    <w:rsid w:val="00635754"/>
    <w:rsid w:val="00635D1C"/>
    <w:rsid w:val="00636638"/>
    <w:rsid w:val="006369E0"/>
    <w:rsid w:val="00636B01"/>
    <w:rsid w:val="00637936"/>
    <w:rsid w:val="00637CBE"/>
    <w:rsid w:val="00641279"/>
    <w:rsid w:val="006425CF"/>
    <w:rsid w:val="00643658"/>
    <w:rsid w:val="00645152"/>
    <w:rsid w:val="00646308"/>
    <w:rsid w:val="00646BAE"/>
    <w:rsid w:val="00647149"/>
    <w:rsid w:val="00647789"/>
    <w:rsid w:val="00647D36"/>
    <w:rsid w:val="00647E4C"/>
    <w:rsid w:val="00650733"/>
    <w:rsid w:val="00652214"/>
    <w:rsid w:val="00652280"/>
    <w:rsid w:val="006535D9"/>
    <w:rsid w:val="006536F3"/>
    <w:rsid w:val="00654CC3"/>
    <w:rsid w:val="00654E80"/>
    <w:rsid w:val="00655025"/>
    <w:rsid w:val="006552CD"/>
    <w:rsid w:val="00655E4B"/>
    <w:rsid w:val="006566E5"/>
    <w:rsid w:val="00656723"/>
    <w:rsid w:val="00656D28"/>
    <w:rsid w:val="00657134"/>
    <w:rsid w:val="00657633"/>
    <w:rsid w:val="006578EA"/>
    <w:rsid w:val="00657F04"/>
    <w:rsid w:val="00660BAC"/>
    <w:rsid w:val="00660DD9"/>
    <w:rsid w:val="0066193A"/>
    <w:rsid w:val="006627DF"/>
    <w:rsid w:val="00663C4F"/>
    <w:rsid w:val="00663EFC"/>
    <w:rsid w:val="00665440"/>
    <w:rsid w:val="0066547D"/>
    <w:rsid w:val="00665C4E"/>
    <w:rsid w:val="00665CE2"/>
    <w:rsid w:val="006665D1"/>
    <w:rsid w:val="00666C7C"/>
    <w:rsid w:val="00666FA5"/>
    <w:rsid w:val="00667E92"/>
    <w:rsid w:val="0067036C"/>
    <w:rsid w:val="00670A20"/>
    <w:rsid w:val="006711BB"/>
    <w:rsid w:val="00671ECB"/>
    <w:rsid w:val="006726A9"/>
    <w:rsid w:val="0067299F"/>
    <w:rsid w:val="0067312D"/>
    <w:rsid w:val="006738B4"/>
    <w:rsid w:val="00674741"/>
    <w:rsid w:val="00675D78"/>
    <w:rsid w:val="00676101"/>
    <w:rsid w:val="00676370"/>
    <w:rsid w:val="00680EF6"/>
    <w:rsid w:val="00681293"/>
    <w:rsid w:val="006825F2"/>
    <w:rsid w:val="0068304C"/>
    <w:rsid w:val="0068371D"/>
    <w:rsid w:val="00684294"/>
    <w:rsid w:val="0068485B"/>
    <w:rsid w:val="00684921"/>
    <w:rsid w:val="0068493C"/>
    <w:rsid w:val="006849A9"/>
    <w:rsid w:val="00684DD3"/>
    <w:rsid w:val="00685B39"/>
    <w:rsid w:val="00685D1C"/>
    <w:rsid w:val="00687127"/>
    <w:rsid w:val="00690773"/>
    <w:rsid w:val="00691298"/>
    <w:rsid w:val="0069177F"/>
    <w:rsid w:val="00691D2E"/>
    <w:rsid w:val="0069380D"/>
    <w:rsid w:val="00693FFD"/>
    <w:rsid w:val="00695565"/>
    <w:rsid w:val="006957DF"/>
    <w:rsid w:val="00696F29"/>
    <w:rsid w:val="006A0594"/>
    <w:rsid w:val="006A1058"/>
    <w:rsid w:val="006A1F2D"/>
    <w:rsid w:val="006A2184"/>
    <w:rsid w:val="006A27ED"/>
    <w:rsid w:val="006A2D49"/>
    <w:rsid w:val="006A41AC"/>
    <w:rsid w:val="006A4BCC"/>
    <w:rsid w:val="006A6A1E"/>
    <w:rsid w:val="006A6F1B"/>
    <w:rsid w:val="006A73F0"/>
    <w:rsid w:val="006A7F9A"/>
    <w:rsid w:val="006B028D"/>
    <w:rsid w:val="006B02E3"/>
    <w:rsid w:val="006B0EFA"/>
    <w:rsid w:val="006B12F9"/>
    <w:rsid w:val="006B20D9"/>
    <w:rsid w:val="006B2129"/>
    <w:rsid w:val="006B2184"/>
    <w:rsid w:val="006B41A0"/>
    <w:rsid w:val="006B41B8"/>
    <w:rsid w:val="006B4341"/>
    <w:rsid w:val="006B53D4"/>
    <w:rsid w:val="006B54AF"/>
    <w:rsid w:val="006B5C39"/>
    <w:rsid w:val="006B61EA"/>
    <w:rsid w:val="006B66DA"/>
    <w:rsid w:val="006B68C9"/>
    <w:rsid w:val="006B759B"/>
    <w:rsid w:val="006B7B77"/>
    <w:rsid w:val="006C0C2C"/>
    <w:rsid w:val="006C20C8"/>
    <w:rsid w:val="006C24FF"/>
    <w:rsid w:val="006C2C01"/>
    <w:rsid w:val="006C30E3"/>
    <w:rsid w:val="006C3274"/>
    <w:rsid w:val="006C35DC"/>
    <w:rsid w:val="006C3868"/>
    <w:rsid w:val="006C3992"/>
    <w:rsid w:val="006C4D71"/>
    <w:rsid w:val="006C5E2E"/>
    <w:rsid w:val="006C64C0"/>
    <w:rsid w:val="006C6A15"/>
    <w:rsid w:val="006C7356"/>
    <w:rsid w:val="006C7AD4"/>
    <w:rsid w:val="006C7D29"/>
    <w:rsid w:val="006D1631"/>
    <w:rsid w:val="006D41D2"/>
    <w:rsid w:val="006D5999"/>
    <w:rsid w:val="006D5ECF"/>
    <w:rsid w:val="006D7D50"/>
    <w:rsid w:val="006E03E4"/>
    <w:rsid w:val="006E11A4"/>
    <w:rsid w:val="006E1C79"/>
    <w:rsid w:val="006E2AE7"/>
    <w:rsid w:val="006E5A69"/>
    <w:rsid w:val="006E63BF"/>
    <w:rsid w:val="006E6662"/>
    <w:rsid w:val="006E67B6"/>
    <w:rsid w:val="006E6A02"/>
    <w:rsid w:val="006F00FC"/>
    <w:rsid w:val="006F109D"/>
    <w:rsid w:val="006F1BE0"/>
    <w:rsid w:val="006F21AF"/>
    <w:rsid w:val="006F270D"/>
    <w:rsid w:val="006F3124"/>
    <w:rsid w:val="006F3147"/>
    <w:rsid w:val="006F3CAE"/>
    <w:rsid w:val="006F4048"/>
    <w:rsid w:val="006F4F98"/>
    <w:rsid w:val="006F55B5"/>
    <w:rsid w:val="006F7495"/>
    <w:rsid w:val="006F7B86"/>
    <w:rsid w:val="00701ABB"/>
    <w:rsid w:val="00702420"/>
    <w:rsid w:val="00703601"/>
    <w:rsid w:val="00703F63"/>
    <w:rsid w:val="007041CB"/>
    <w:rsid w:val="0070522D"/>
    <w:rsid w:val="00705A53"/>
    <w:rsid w:val="00706305"/>
    <w:rsid w:val="007063AE"/>
    <w:rsid w:val="00707F31"/>
    <w:rsid w:val="00710834"/>
    <w:rsid w:val="0071273A"/>
    <w:rsid w:val="00712BD4"/>
    <w:rsid w:val="00713358"/>
    <w:rsid w:val="00713536"/>
    <w:rsid w:val="0071374A"/>
    <w:rsid w:val="0071706F"/>
    <w:rsid w:val="00717778"/>
    <w:rsid w:val="00717C13"/>
    <w:rsid w:val="00717FF6"/>
    <w:rsid w:val="00720E3A"/>
    <w:rsid w:val="007218A5"/>
    <w:rsid w:val="00722B24"/>
    <w:rsid w:val="00722B56"/>
    <w:rsid w:val="0072440E"/>
    <w:rsid w:val="0072460F"/>
    <w:rsid w:val="007249FC"/>
    <w:rsid w:val="00725702"/>
    <w:rsid w:val="007267F5"/>
    <w:rsid w:val="00730615"/>
    <w:rsid w:val="007310D0"/>
    <w:rsid w:val="00731DF0"/>
    <w:rsid w:val="0073246D"/>
    <w:rsid w:val="00732934"/>
    <w:rsid w:val="00732B05"/>
    <w:rsid w:val="00733FF5"/>
    <w:rsid w:val="00735962"/>
    <w:rsid w:val="00735A64"/>
    <w:rsid w:val="00735DCE"/>
    <w:rsid w:val="007369A8"/>
    <w:rsid w:val="007369FC"/>
    <w:rsid w:val="00737A06"/>
    <w:rsid w:val="00737F69"/>
    <w:rsid w:val="00740084"/>
    <w:rsid w:val="007408FF"/>
    <w:rsid w:val="00740E5C"/>
    <w:rsid w:val="007420F7"/>
    <w:rsid w:val="00743B2C"/>
    <w:rsid w:val="00743C4E"/>
    <w:rsid w:val="00744261"/>
    <w:rsid w:val="00744C83"/>
    <w:rsid w:val="007451CF"/>
    <w:rsid w:val="00745468"/>
    <w:rsid w:val="007457DC"/>
    <w:rsid w:val="00746435"/>
    <w:rsid w:val="00746A64"/>
    <w:rsid w:val="00746C3B"/>
    <w:rsid w:val="0074795A"/>
    <w:rsid w:val="00747A68"/>
    <w:rsid w:val="00747FFA"/>
    <w:rsid w:val="00750950"/>
    <w:rsid w:val="0075115E"/>
    <w:rsid w:val="00751289"/>
    <w:rsid w:val="00751C5B"/>
    <w:rsid w:val="00752969"/>
    <w:rsid w:val="00753129"/>
    <w:rsid w:val="007539D0"/>
    <w:rsid w:val="00753C24"/>
    <w:rsid w:val="0075450E"/>
    <w:rsid w:val="0075578E"/>
    <w:rsid w:val="00755EAF"/>
    <w:rsid w:val="00756D66"/>
    <w:rsid w:val="00756E28"/>
    <w:rsid w:val="00757805"/>
    <w:rsid w:val="0076001C"/>
    <w:rsid w:val="0076045F"/>
    <w:rsid w:val="00760673"/>
    <w:rsid w:val="007607CF"/>
    <w:rsid w:val="00760A04"/>
    <w:rsid w:val="00761EA0"/>
    <w:rsid w:val="007621EF"/>
    <w:rsid w:val="00762DE2"/>
    <w:rsid w:val="00763776"/>
    <w:rsid w:val="00763E7D"/>
    <w:rsid w:val="00764284"/>
    <w:rsid w:val="007651E8"/>
    <w:rsid w:val="00765367"/>
    <w:rsid w:val="00766374"/>
    <w:rsid w:val="0076662E"/>
    <w:rsid w:val="0076791B"/>
    <w:rsid w:val="007709AE"/>
    <w:rsid w:val="00771124"/>
    <w:rsid w:val="0077130F"/>
    <w:rsid w:val="00772451"/>
    <w:rsid w:val="00772529"/>
    <w:rsid w:val="00772A15"/>
    <w:rsid w:val="00775579"/>
    <w:rsid w:val="00776B21"/>
    <w:rsid w:val="0077771C"/>
    <w:rsid w:val="0078094B"/>
    <w:rsid w:val="00780A2E"/>
    <w:rsid w:val="0078180C"/>
    <w:rsid w:val="0078189A"/>
    <w:rsid w:val="007818BE"/>
    <w:rsid w:val="00782C04"/>
    <w:rsid w:val="00783C41"/>
    <w:rsid w:val="007840E3"/>
    <w:rsid w:val="00785BA0"/>
    <w:rsid w:val="0078686B"/>
    <w:rsid w:val="00786E9C"/>
    <w:rsid w:val="007878E4"/>
    <w:rsid w:val="007904E6"/>
    <w:rsid w:val="00790F47"/>
    <w:rsid w:val="00791904"/>
    <w:rsid w:val="007926DF"/>
    <w:rsid w:val="00792E28"/>
    <w:rsid w:val="007930F1"/>
    <w:rsid w:val="007936B8"/>
    <w:rsid w:val="007949D8"/>
    <w:rsid w:val="007951B9"/>
    <w:rsid w:val="007961CF"/>
    <w:rsid w:val="007969C8"/>
    <w:rsid w:val="00797389"/>
    <w:rsid w:val="007A1294"/>
    <w:rsid w:val="007A13C7"/>
    <w:rsid w:val="007A152D"/>
    <w:rsid w:val="007A196D"/>
    <w:rsid w:val="007A1F0A"/>
    <w:rsid w:val="007A1FE4"/>
    <w:rsid w:val="007A295C"/>
    <w:rsid w:val="007A2C74"/>
    <w:rsid w:val="007A55F7"/>
    <w:rsid w:val="007A5EEB"/>
    <w:rsid w:val="007A6020"/>
    <w:rsid w:val="007A69D5"/>
    <w:rsid w:val="007A6A69"/>
    <w:rsid w:val="007A6A94"/>
    <w:rsid w:val="007A7A49"/>
    <w:rsid w:val="007B0AEE"/>
    <w:rsid w:val="007B0C42"/>
    <w:rsid w:val="007B13C9"/>
    <w:rsid w:val="007B160A"/>
    <w:rsid w:val="007B2426"/>
    <w:rsid w:val="007B2FF3"/>
    <w:rsid w:val="007B316C"/>
    <w:rsid w:val="007B359E"/>
    <w:rsid w:val="007B3DA2"/>
    <w:rsid w:val="007B49CF"/>
    <w:rsid w:val="007B7EF1"/>
    <w:rsid w:val="007C04B4"/>
    <w:rsid w:val="007C0711"/>
    <w:rsid w:val="007C0C76"/>
    <w:rsid w:val="007C0CCF"/>
    <w:rsid w:val="007C150F"/>
    <w:rsid w:val="007C1738"/>
    <w:rsid w:val="007C1746"/>
    <w:rsid w:val="007C20DE"/>
    <w:rsid w:val="007C27B0"/>
    <w:rsid w:val="007C2A56"/>
    <w:rsid w:val="007C3835"/>
    <w:rsid w:val="007C4A98"/>
    <w:rsid w:val="007C4D48"/>
    <w:rsid w:val="007C592D"/>
    <w:rsid w:val="007C69AC"/>
    <w:rsid w:val="007C6EE2"/>
    <w:rsid w:val="007D042F"/>
    <w:rsid w:val="007D074E"/>
    <w:rsid w:val="007D168A"/>
    <w:rsid w:val="007D28EC"/>
    <w:rsid w:val="007D38FA"/>
    <w:rsid w:val="007D3917"/>
    <w:rsid w:val="007D3AC2"/>
    <w:rsid w:val="007D3CB5"/>
    <w:rsid w:val="007D3D65"/>
    <w:rsid w:val="007D4C61"/>
    <w:rsid w:val="007D4D65"/>
    <w:rsid w:val="007D4F7D"/>
    <w:rsid w:val="007D5B73"/>
    <w:rsid w:val="007D67A3"/>
    <w:rsid w:val="007D78E0"/>
    <w:rsid w:val="007E068B"/>
    <w:rsid w:val="007E07C0"/>
    <w:rsid w:val="007E0C6B"/>
    <w:rsid w:val="007E2C37"/>
    <w:rsid w:val="007E31CE"/>
    <w:rsid w:val="007E34A3"/>
    <w:rsid w:val="007E3D69"/>
    <w:rsid w:val="007E3EE0"/>
    <w:rsid w:val="007E410F"/>
    <w:rsid w:val="007E412C"/>
    <w:rsid w:val="007E45A8"/>
    <w:rsid w:val="007E5243"/>
    <w:rsid w:val="007E56D8"/>
    <w:rsid w:val="007F0BEC"/>
    <w:rsid w:val="007F2BFE"/>
    <w:rsid w:val="007F34B5"/>
    <w:rsid w:val="007F3A48"/>
    <w:rsid w:val="007F471E"/>
    <w:rsid w:val="007F49EC"/>
    <w:rsid w:val="007F4C17"/>
    <w:rsid w:val="007F4C77"/>
    <w:rsid w:val="007F4E2B"/>
    <w:rsid w:val="007F61BA"/>
    <w:rsid w:val="007F6FD3"/>
    <w:rsid w:val="007F733E"/>
    <w:rsid w:val="007F7E05"/>
    <w:rsid w:val="008009D6"/>
    <w:rsid w:val="00801461"/>
    <w:rsid w:val="00801943"/>
    <w:rsid w:val="0080221C"/>
    <w:rsid w:val="00803344"/>
    <w:rsid w:val="00803928"/>
    <w:rsid w:val="0080469F"/>
    <w:rsid w:val="00804CCF"/>
    <w:rsid w:val="00805914"/>
    <w:rsid w:val="00805C7C"/>
    <w:rsid w:val="008070D2"/>
    <w:rsid w:val="00807187"/>
    <w:rsid w:val="0081007D"/>
    <w:rsid w:val="0081098E"/>
    <w:rsid w:val="00812EAA"/>
    <w:rsid w:val="008130DE"/>
    <w:rsid w:val="008136F9"/>
    <w:rsid w:val="008138F0"/>
    <w:rsid w:val="00813A86"/>
    <w:rsid w:val="00813E24"/>
    <w:rsid w:val="00814560"/>
    <w:rsid w:val="00815B22"/>
    <w:rsid w:val="0081791A"/>
    <w:rsid w:val="00817F86"/>
    <w:rsid w:val="00820081"/>
    <w:rsid w:val="00821D20"/>
    <w:rsid w:val="00823222"/>
    <w:rsid w:val="00823E96"/>
    <w:rsid w:val="00825093"/>
    <w:rsid w:val="00825125"/>
    <w:rsid w:val="00826BA8"/>
    <w:rsid w:val="00826E9F"/>
    <w:rsid w:val="00827483"/>
    <w:rsid w:val="00827903"/>
    <w:rsid w:val="0082790A"/>
    <w:rsid w:val="008306A5"/>
    <w:rsid w:val="00831C32"/>
    <w:rsid w:val="00832474"/>
    <w:rsid w:val="008328A9"/>
    <w:rsid w:val="0083344B"/>
    <w:rsid w:val="00834896"/>
    <w:rsid w:val="008348E2"/>
    <w:rsid w:val="0083559E"/>
    <w:rsid w:val="00835748"/>
    <w:rsid w:val="008362AE"/>
    <w:rsid w:val="00836B9A"/>
    <w:rsid w:val="00836D10"/>
    <w:rsid w:val="00836F0A"/>
    <w:rsid w:val="00837074"/>
    <w:rsid w:val="00837353"/>
    <w:rsid w:val="00837F2B"/>
    <w:rsid w:val="00840260"/>
    <w:rsid w:val="0084071D"/>
    <w:rsid w:val="00842248"/>
    <w:rsid w:val="008428FD"/>
    <w:rsid w:val="00843821"/>
    <w:rsid w:val="00843EA1"/>
    <w:rsid w:val="0084486E"/>
    <w:rsid w:val="00844F4C"/>
    <w:rsid w:val="00846003"/>
    <w:rsid w:val="00846099"/>
    <w:rsid w:val="00850261"/>
    <w:rsid w:val="0085057B"/>
    <w:rsid w:val="00850D09"/>
    <w:rsid w:val="00850EF6"/>
    <w:rsid w:val="00852194"/>
    <w:rsid w:val="00852C39"/>
    <w:rsid w:val="00853891"/>
    <w:rsid w:val="008539A2"/>
    <w:rsid w:val="008545AE"/>
    <w:rsid w:val="008549A4"/>
    <w:rsid w:val="00854DA2"/>
    <w:rsid w:val="00855484"/>
    <w:rsid w:val="00855AF7"/>
    <w:rsid w:val="008563EE"/>
    <w:rsid w:val="008571DF"/>
    <w:rsid w:val="008572EC"/>
    <w:rsid w:val="008574FF"/>
    <w:rsid w:val="00857BD7"/>
    <w:rsid w:val="008605A0"/>
    <w:rsid w:val="008605C3"/>
    <w:rsid w:val="00860796"/>
    <w:rsid w:val="00860E1F"/>
    <w:rsid w:val="00860E6F"/>
    <w:rsid w:val="008610F7"/>
    <w:rsid w:val="00861791"/>
    <w:rsid w:val="00862CD4"/>
    <w:rsid w:val="008638DC"/>
    <w:rsid w:val="00866F8F"/>
    <w:rsid w:val="0086714E"/>
    <w:rsid w:val="0087002B"/>
    <w:rsid w:val="00870153"/>
    <w:rsid w:val="0087145C"/>
    <w:rsid w:val="0087157D"/>
    <w:rsid w:val="00871F12"/>
    <w:rsid w:val="008731AD"/>
    <w:rsid w:val="00874178"/>
    <w:rsid w:val="00874E2A"/>
    <w:rsid w:val="00874F6B"/>
    <w:rsid w:val="00875202"/>
    <w:rsid w:val="008755C2"/>
    <w:rsid w:val="00875E8C"/>
    <w:rsid w:val="0087630D"/>
    <w:rsid w:val="00876366"/>
    <w:rsid w:val="008768F8"/>
    <w:rsid w:val="00880CC5"/>
    <w:rsid w:val="00881209"/>
    <w:rsid w:val="0088156E"/>
    <w:rsid w:val="008817BB"/>
    <w:rsid w:val="008825F4"/>
    <w:rsid w:val="00882E30"/>
    <w:rsid w:val="00882F9C"/>
    <w:rsid w:val="00883AC4"/>
    <w:rsid w:val="00885206"/>
    <w:rsid w:val="008854FC"/>
    <w:rsid w:val="00885829"/>
    <w:rsid w:val="00885DBE"/>
    <w:rsid w:val="00885F24"/>
    <w:rsid w:val="0088612C"/>
    <w:rsid w:val="0088650C"/>
    <w:rsid w:val="00887234"/>
    <w:rsid w:val="00890C04"/>
    <w:rsid w:val="0089109D"/>
    <w:rsid w:val="0089191B"/>
    <w:rsid w:val="00892863"/>
    <w:rsid w:val="00892A04"/>
    <w:rsid w:val="008930A6"/>
    <w:rsid w:val="00894090"/>
    <w:rsid w:val="00894352"/>
    <w:rsid w:val="0089573E"/>
    <w:rsid w:val="00895BE1"/>
    <w:rsid w:val="00895C0D"/>
    <w:rsid w:val="00895D28"/>
    <w:rsid w:val="00895E16"/>
    <w:rsid w:val="00896997"/>
    <w:rsid w:val="008969F1"/>
    <w:rsid w:val="00896B26"/>
    <w:rsid w:val="00897820"/>
    <w:rsid w:val="00897A0F"/>
    <w:rsid w:val="00897ED4"/>
    <w:rsid w:val="008A096D"/>
    <w:rsid w:val="008A1552"/>
    <w:rsid w:val="008A1DA7"/>
    <w:rsid w:val="008A2C81"/>
    <w:rsid w:val="008A42F2"/>
    <w:rsid w:val="008A4501"/>
    <w:rsid w:val="008A4E65"/>
    <w:rsid w:val="008A5E1E"/>
    <w:rsid w:val="008A6115"/>
    <w:rsid w:val="008A61BC"/>
    <w:rsid w:val="008A6422"/>
    <w:rsid w:val="008A7062"/>
    <w:rsid w:val="008A734B"/>
    <w:rsid w:val="008A776C"/>
    <w:rsid w:val="008A77E3"/>
    <w:rsid w:val="008B042F"/>
    <w:rsid w:val="008B0B83"/>
    <w:rsid w:val="008B1ED7"/>
    <w:rsid w:val="008B21B0"/>
    <w:rsid w:val="008B2468"/>
    <w:rsid w:val="008B2A06"/>
    <w:rsid w:val="008B3CF8"/>
    <w:rsid w:val="008B4536"/>
    <w:rsid w:val="008B7E4B"/>
    <w:rsid w:val="008C16CC"/>
    <w:rsid w:val="008C2383"/>
    <w:rsid w:val="008C2485"/>
    <w:rsid w:val="008C44EB"/>
    <w:rsid w:val="008C49DD"/>
    <w:rsid w:val="008C52A3"/>
    <w:rsid w:val="008C59AF"/>
    <w:rsid w:val="008C5F3F"/>
    <w:rsid w:val="008C69DC"/>
    <w:rsid w:val="008C717F"/>
    <w:rsid w:val="008C7C66"/>
    <w:rsid w:val="008C7D14"/>
    <w:rsid w:val="008D05B9"/>
    <w:rsid w:val="008D0955"/>
    <w:rsid w:val="008D1864"/>
    <w:rsid w:val="008D1B93"/>
    <w:rsid w:val="008D1EBD"/>
    <w:rsid w:val="008D2366"/>
    <w:rsid w:val="008D23D3"/>
    <w:rsid w:val="008D2446"/>
    <w:rsid w:val="008D35E3"/>
    <w:rsid w:val="008D3E05"/>
    <w:rsid w:val="008D46B1"/>
    <w:rsid w:val="008D4F72"/>
    <w:rsid w:val="008D5893"/>
    <w:rsid w:val="008D5A15"/>
    <w:rsid w:val="008D5E7E"/>
    <w:rsid w:val="008D5EA6"/>
    <w:rsid w:val="008D6293"/>
    <w:rsid w:val="008D6586"/>
    <w:rsid w:val="008E03B4"/>
    <w:rsid w:val="008E09AA"/>
    <w:rsid w:val="008E179E"/>
    <w:rsid w:val="008E2CDF"/>
    <w:rsid w:val="008E2D3C"/>
    <w:rsid w:val="008E2E58"/>
    <w:rsid w:val="008E300B"/>
    <w:rsid w:val="008E3060"/>
    <w:rsid w:val="008E3AC1"/>
    <w:rsid w:val="008E3EB3"/>
    <w:rsid w:val="008E50D7"/>
    <w:rsid w:val="008E68F0"/>
    <w:rsid w:val="008E78E9"/>
    <w:rsid w:val="008F0841"/>
    <w:rsid w:val="008F0A4F"/>
    <w:rsid w:val="008F12D5"/>
    <w:rsid w:val="008F27B2"/>
    <w:rsid w:val="008F28A0"/>
    <w:rsid w:val="008F3385"/>
    <w:rsid w:val="008F45BF"/>
    <w:rsid w:val="008F4A9C"/>
    <w:rsid w:val="008F4BBC"/>
    <w:rsid w:val="008F559C"/>
    <w:rsid w:val="008F5819"/>
    <w:rsid w:val="00900734"/>
    <w:rsid w:val="00900A9C"/>
    <w:rsid w:val="009012BE"/>
    <w:rsid w:val="009026EA"/>
    <w:rsid w:val="009029FB"/>
    <w:rsid w:val="00903092"/>
    <w:rsid w:val="00903410"/>
    <w:rsid w:val="00903962"/>
    <w:rsid w:val="00903E94"/>
    <w:rsid w:val="0090530E"/>
    <w:rsid w:val="00906204"/>
    <w:rsid w:val="0090658F"/>
    <w:rsid w:val="00906BDC"/>
    <w:rsid w:val="00906DDB"/>
    <w:rsid w:val="0091050B"/>
    <w:rsid w:val="0091152E"/>
    <w:rsid w:val="00912132"/>
    <w:rsid w:val="00912238"/>
    <w:rsid w:val="009124F8"/>
    <w:rsid w:val="009126FE"/>
    <w:rsid w:val="00913259"/>
    <w:rsid w:val="009135AF"/>
    <w:rsid w:val="0091499B"/>
    <w:rsid w:val="00915A4A"/>
    <w:rsid w:val="009169D9"/>
    <w:rsid w:val="00917004"/>
    <w:rsid w:val="009171B6"/>
    <w:rsid w:val="00920C07"/>
    <w:rsid w:val="00921103"/>
    <w:rsid w:val="00921163"/>
    <w:rsid w:val="009211A0"/>
    <w:rsid w:val="00922217"/>
    <w:rsid w:val="0092239E"/>
    <w:rsid w:val="0092254A"/>
    <w:rsid w:val="00923990"/>
    <w:rsid w:val="00923DD9"/>
    <w:rsid w:val="00924323"/>
    <w:rsid w:val="0092526A"/>
    <w:rsid w:val="009258E4"/>
    <w:rsid w:val="00925E7E"/>
    <w:rsid w:val="00927AB5"/>
    <w:rsid w:val="00930F50"/>
    <w:rsid w:val="00931346"/>
    <w:rsid w:val="00931BF1"/>
    <w:rsid w:val="0093223A"/>
    <w:rsid w:val="0093305D"/>
    <w:rsid w:val="00933341"/>
    <w:rsid w:val="00934132"/>
    <w:rsid w:val="009344AB"/>
    <w:rsid w:val="00934C96"/>
    <w:rsid w:val="00935B2F"/>
    <w:rsid w:val="00935D79"/>
    <w:rsid w:val="00935EBD"/>
    <w:rsid w:val="00937C47"/>
    <w:rsid w:val="00940914"/>
    <w:rsid w:val="00941F9C"/>
    <w:rsid w:val="00942E89"/>
    <w:rsid w:val="00943DEC"/>
    <w:rsid w:val="00944515"/>
    <w:rsid w:val="00944C72"/>
    <w:rsid w:val="00944CBE"/>
    <w:rsid w:val="0094623D"/>
    <w:rsid w:val="00946654"/>
    <w:rsid w:val="009470F1"/>
    <w:rsid w:val="00950ACC"/>
    <w:rsid w:val="00950AD5"/>
    <w:rsid w:val="009511CA"/>
    <w:rsid w:val="009514F0"/>
    <w:rsid w:val="00951AD2"/>
    <w:rsid w:val="0095357B"/>
    <w:rsid w:val="00953C1B"/>
    <w:rsid w:val="00953C67"/>
    <w:rsid w:val="009542B4"/>
    <w:rsid w:val="009542C7"/>
    <w:rsid w:val="0095535B"/>
    <w:rsid w:val="00955A79"/>
    <w:rsid w:val="00955B77"/>
    <w:rsid w:val="009564D4"/>
    <w:rsid w:val="0095657C"/>
    <w:rsid w:val="0095773F"/>
    <w:rsid w:val="00960459"/>
    <w:rsid w:val="009609C1"/>
    <w:rsid w:val="00960A4D"/>
    <w:rsid w:val="00963E60"/>
    <w:rsid w:val="009641A0"/>
    <w:rsid w:val="009646AD"/>
    <w:rsid w:val="009653A5"/>
    <w:rsid w:val="00965A69"/>
    <w:rsid w:val="009664EE"/>
    <w:rsid w:val="00966E25"/>
    <w:rsid w:val="00967360"/>
    <w:rsid w:val="009678C3"/>
    <w:rsid w:val="009710C7"/>
    <w:rsid w:val="00972A4C"/>
    <w:rsid w:val="00972F87"/>
    <w:rsid w:val="00973BEF"/>
    <w:rsid w:val="00973CCC"/>
    <w:rsid w:val="00973F4F"/>
    <w:rsid w:val="009748DB"/>
    <w:rsid w:val="00974C5D"/>
    <w:rsid w:val="00974E84"/>
    <w:rsid w:val="00974F58"/>
    <w:rsid w:val="009752EC"/>
    <w:rsid w:val="009753A0"/>
    <w:rsid w:val="009754B5"/>
    <w:rsid w:val="00976FAA"/>
    <w:rsid w:val="009802F4"/>
    <w:rsid w:val="009807CD"/>
    <w:rsid w:val="00980E2A"/>
    <w:rsid w:val="00981AE8"/>
    <w:rsid w:val="00983341"/>
    <w:rsid w:val="00983866"/>
    <w:rsid w:val="00983CF1"/>
    <w:rsid w:val="00984226"/>
    <w:rsid w:val="009856C0"/>
    <w:rsid w:val="0098668E"/>
    <w:rsid w:val="00987936"/>
    <w:rsid w:val="00991E58"/>
    <w:rsid w:val="009930A2"/>
    <w:rsid w:val="00994198"/>
    <w:rsid w:val="009941BA"/>
    <w:rsid w:val="0099678C"/>
    <w:rsid w:val="00997210"/>
    <w:rsid w:val="009A08A2"/>
    <w:rsid w:val="009A1040"/>
    <w:rsid w:val="009A1771"/>
    <w:rsid w:val="009A2508"/>
    <w:rsid w:val="009A30B3"/>
    <w:rsid w:val="009A35BE"/>
    <w:rsid w:val="009A37E3"/>
    <w:rsid w:val="009A41B7"/>
    <w:rsid w:val="009A4531"/>
    <w:rsid w:val="009A4B92"/>
    <w:rsid w:val="009A4D6A"/>
    <w:rsid w:val="009A4F4C"/>
    <w:rsid w:val="009A53A3"/>
    <w:rsid w:val="009A7FA1"/>
    <w:rsid w:val="009B0106"/>
    <w:rsid w:val="009B04CE"/>
    <w:rsid w:val="009B06B7"/>
    <w:rsid w:val="009B22C0"/>
    <w:rsid w:val="009B2692"/>
    <w:rsid w:val="009B365C"/>
    <w:rsid w:val="009B3B97"/>
    <w:rsid w:val="009B41CB"/>
    <w:rsid w:val="009B41FF"/>
    <w:rsid w:val="009B4604"/>
    <w:rsid w:val="009B4688"/>
    <w:rsid w:val="009B48F8"/>
    <w:rsid w:val="009B58B7"/>
    <w:rsid w:val="009B60D7"/>
    <w:rsid w:val="009B6446"/>
    <w:rsid w:val="009B70B8"/>
    <w:rsid w:val="009B7D40"/>
    <w:rsid w:val="009C0587"/>
    <w:rsid w:val="009C19B1"/>
    <w:rsid w:val="009C1D40"/>
    <w:rsid w:val="009C1F85"/>
    <w:rsid w:val="009C3594"/>
    <w:rsid w:val="009C42BF"/>
    <w:rsid w:val="009C4C81"/>
    <w:rsid w:val="009C5B6C"/>
    <w:rsid w:val="009C6295"/>
    <w:rsid w:val="009C6A5B"/>
    <w:rsid w:val="009C6ADB"/>
    <w:rsid w:val="009C6FF0"/>
    <w:rsid w:val="009D03D3"/>
    <w:rsid w:val="009D07D0"/>
    <w:rsid w:val="009D0BE4"/>
    <w:rsid w:val="009D0D96"/>
    <w:rsid w:val="009D12B6"/>
    <w:rsid w:val="009D1344"/>
    <w:rsid w:val="009D291B"/>
    <w:rsid w:val="009D3CDD"/>
    <w:rsid w:val="009D4AD0"/>
    <w:rsid w:val="009D4D04"/>
    <w:rsid w:val="009D4F87"/>
    <w:rsid w:val="009D640F"/>
    <w:rsid w:val="009D738B"/>
    <w:rsid w:val="009E0084"/>
    <w:rsid w:val="009E03CC"/>
    <w:rsid w:val="009E1382"/>
    <w:rsid w:val="009E1886"/>
    <w:rsid w:val="009E1BF9"/>
    <w:rsid w:val="009E28E0"/>
    <w:rsid w:val="009E2959"/>
    <w:rsid w:val="009E43B0"/>
    <w:rsid w:val="009E4ADA"/>
    <w:rsid w:val="009E4AEA"/>
    <w:rsid w:val="009E4C29"/>
    <w:rsid w:val="009E5469"/>
    <w:rsid w:val="009E589A"/>
    <w:rsid w:val="009E6E67"/>
    <w:rsid w:val="009E7497"/>
    <w:rsid w:val="009F05DF"/>
    <w:rsid w:val="009F0AA0"/>
    <w:rsid w:val="009F1471"/>
    <w:rsid w:val="009F177C"/>
    <w:rsid w:val="009F180F"/>
    <w:rsid w:val="009F40B4"/>
    <w:rsid w:val="009F4BA5"/>
    <w:rsid w:val="009F4C80"/>
    <w:rsid w:val="009F56ED"/>
    <w:rsid w:val="009F5A4B"/>
    <w:rsid w:val="009F5CC7"/>
    <w:rsid w:val="009F6EE9"/>
    <w:rsid w:val="009F716B"/>
    <w:rsid w:val="009F7843"/>
    <w:rsid w:val="009F7BEC"/>
    <w:rsid w:val="00A004C8"/>
    <w:rsid w:val="00A00A17"/>
    <w:rsid w:val="00A00EDA"/>
    <w:rsid w:val="00A01DD8"/>
    <w:rsid w:val="00A0286B"/>
    <w:rsid w:val="00A02A30"/>
    <w:rsid w:val="00A03175"/>
    <w:rsid w:val="00A03719"/>
    <w:rsid w:val="00A04472"/>
    <w:rsid w:val="00A0484D"/>
    <w:rsid w:val="00A04CC5"/>
    <w:rsid w:val="00A04D3A"/>
    <w:rsid w:val="00A04E31"/>
    <w:rsid w:val="00A056BE"/>
    <w:rsid w:val="00A0584D"/>
    <w:rsid w:val="00A05980"/>
    <w:rsid w:val="00A05CD5"/>
    <w:rsid w:val="00A05FF2"/>
    <w:rsid w:val="00A06A00"/>
    <w:rsid w:val="00A107FC"/>
    <w:rsid w:val="00A10C7B"/>
    <w:rsid w:val="00A116B9"/>
    <w:rsid w:val="00A11951"/>
    <w:rsid w:val="00A12145"/>
    <w:rsid w:val="00A12A65"/>
    <w:rsid w:val="00A12C0B"/>
    <w:rsid w:val="00A12D64"/>
    <w:rsid w:val="00A133C1"/>
    <w:rsid w:val="00A13B5C"/>
    <w:rsid w:val="00A14525"/>
    <w:rsid w:val="00A14669"/>
    <w:rsid w:val="00A15300"/>
    <w:rsid w:val="00A16222"/>
    <w:rsid w:val="00A16D0E"/>
    <w:rsid w:val="00A1739D"/>
    <w:rsid w:val="00A20703"/>
    <w:rsid w:val="00A22214"/>
    <w:rsid w:val="00A224F5"/>
    <w:rsid w:val="00A22F11"/>
    <w:rsid w:val="00A232A6"/>
    <w:rsid w:val="00A239C5"/>
    <w:rsid w:val="00A2407B"/>
    <w:rsid w:val="00A2443F"/>
    <w:rsid w:val="00A24B5D"/>
    <w:rsid w:val="00A25A57"/>
    <w:rsid w:val="00A26184"/>
    <w:rsid w:val="00A265EA"/>
    <w:rsid w:val="00A265ED"/>
    <w:rsid w:val="00A300D9"/>
    <w:rsid w:val="00A3016C"/>
    <w:rsid w:val="00A30195"/>
    <w:rsid w:val="00A31948"/>
    <w:rsid w:val="00A32F29"/>
    <w:rsid w:val="00A330BA"/>
    <w:rsid w:val="00A331B0"/>
    <w:rsid w:val="00A331DC"/>
    <w:rsid w:val="00A337CC"/>
    <w:rsid w:val="00A33F5D"/>
    <w:rsid w:val="00A33FFE"/>
    <w:rsid w:val="00A34A1A"/>
    <w:rsid w:val="00A35477"/>
    <w:rsid w:val="00A36CA0"/>
    <w:rsid w:val="00A37266"/>
    <w:rsid w:val="00A373CD"/>
    <w:rsid w:val="00A37C3E"/>
    <w:rsid w:val="00A4063C"/>
    <w:rsid w:val="00A42CEA"/>
    <w:rsid w:val="00A42D7C"/>
    <w:rsid w:val="00A44195"/>
    <w:rsid w:val="00A44BC7"/>
    <w:rsid w:val="00A44BD6"/>
    <w:rsid w:val="00A44F4F"/>
    <w:rsid w:val="00A45160"/>
    <w:rsid w:val="00A453CD"/>
    <w:rsid w:val="00A4565B"/>
    <w:rsid w:val="00A45A90"/>
    <w:rsid w:val="00A47AF7"/>
    <w:rsid w:val="00A50276"/>
    <w:rsid w:val="00A50B46"/>
    <w:rsid w:val="00A5154D"/>
    <w:rsid w:val="00A51FF3"/>
    <w:rsid w:val="00A52627"/>
    <w:rsid w:val="00A53071"/>
    <w:rsid w:val="00A5361E"/>
    <w:rsid w:val="00A54430"/>
    <w:rsid w:val="00A54C6E"/>
    <w:rsid w:val="00A562C9"/>
    <w:rsid w:val="00A571A7"/>
    <w:rsid w:val="00A57DC3"/>
    <w:rsid w:val="00A60257"/>
    <w:rsid w:val="00A61BE4"/>
    <w:rsid w:val="00A63171"/>
    <w:rsid w:val="00A633D1"/>
    <w:rsid w:val="00A64ACE"/>
    <w:rsid w:val="00A64B82"/>
    <w:rsid w:val="00A64FC1"/>
    <w:rsid w:val="00A6578C"/>
    <w:rsid w:val="00A657F3"/>
    <w:rsid w:val="00A65DD1"/>
    <w:rsid w:val="00A66613"/>
    <w:rsid w:val="00A66BD5"/>
    <w:rsid w:val="00A66D30"/>
    <w:rsid w:val="00A676A1"/>
    <w:rsid w:val="00A67FCE"/>
    <w:rsid w:val="00A7015F"/>
    <w:rsid w:val="00A70277"/>
    <w:rsid w:val="00A70D23"/>
    <w:rsid w:val="00A711A7"/>
    <w:rsid w:val="00A72293"/>
    <w:rsid w:val="00A7240A"/>
    <w:rsid w:val="00A725B1"/>
    <w:rsid w:val="00A72A78"/>
    <w:rsid w:val="00A72ACD"/>
    <w:rsid w:val="00A73160"/>
    <w:rsid w:val="00A73AD1"/>
    <w:rsid w:val="00A7493C"/>
    <w:rsid w:val="00A74974"/>
    <w:rsid w:val="00A750A8"/>
    <w:rsid w:val="00A760CB"/>
    <w:rsid w:val="00A7628C"/>
    <w:rsid w:val="00A767D1"/>
    <w:rsid w:val="00A76E82"/>
    <w:rsid w:val="00A800CA"/>
    <w:rsid w:val="00A802D9"/>
    <w:rsid w:val="00A8046D"/>
    <w:rsid w:val="00A8063D"/>
    <w:rsid w:val="00A80705"/>
    <w:rsid w:val="00A82286"/>
    <w:rsid w:val="00A82DC6"/>
    <w:rsid w:val="00A83309"/>
    <w:rsid w:val="00A859DB"/>
    <w:rsid w:val="00A86BDD"/>
    <w:rsid w:val="00A91D7F"/>
    <w:rsid w:val="00A92171"/>
    <w:rsid w:val="00A92ABA"/>
    <w:rsid w:val="00A943FA"/>
    <w:rsid w:val="00A94A77"/>
    <w:rsid w:val="00A94E69"/>
    <w:rsid w:val="00A94ED5"/>
    <w:rsid w:val="00A96E82"/>
    <w:rsid w:val="00A970F9"/>
    <w:rsid w:val="00A97352"/>
    <w:rsid w:val="00AA0192"/>
    <w:rsid w:val="00AA0943"/>
    <w:rsid w:val="00AA0BD8"/>
    <w:rsid w:val="00AA0E11"/>
    <w:rsid w:val="00AA2FDE"/>
    <w:rsid w:val="00AA35D6"/>
    <w:rsid w:val="00AA3D84"/>
    <w:rsid w:val="00AA42A1"/>
    <w:rsid w:val="00AA461A"/>
    <w:rsid w:val="00AA51F1"/>
    <w:rsid w:val="00AA52C1"/>
    <w:rsid w:val="00AA53D5"/>
    <w:rsid w:val="00AA576E"/>
    <w:rsid w:val="00AA57C2"/>
    <w:rsid w:val="00AA5BB0"/>
    <w:rsid w:val="00AA6267"/>
    <w:rsid w:val="00AA639A"/>
    <w:rsid w:val="00AA6583"/>
    <w:rsid w:val="00AA6BA9"/>
    <w:rsid w:val="00AA6CCF"/>
    <w:rsid w:val="00AA6E09"/>
    <w:rsid w:val="00AB09D6"/>
    <w:rsid w:val="00AB12C6"/>
    <w:rsid w:val="00AB365D"/>
    <w:rsid w:val="00AB41FF"/>
    <w:rsid w:val="00AB48AF"/>
    <w:rsid w:val="00AB5127"/>
    <w:rsid w:val="00AB5C58"/>
    <w:rsid w:val="00AB5D5B"/>
    <w:rsid w:val="00AB6AC3"/>
    <w:rsid w:val="00AB6FD4"/>
    <w:rsid w:val="00AC0E2F"/>
    <w:rsid w:val="00AC19A9"/>
    <w:rsid w:val="00AC2EBA"/>
    <w:rsid w:val="00AC3219"/>
    <w:rsid w:val="00AC4627"/>
    <w:rsid w:val="00AC4E31"/>
    <w:rsid w:val="00AC4F09"/>
    <w:rsid w:val="00AC5427"/>
    <w:rsid w:val="00AC60E1"/>
    <w:rsid w:val="00AC6D50"/>
    <w:rsid w:val="00AC7EB3"/>
    <w:rsid w:val="00AD05B7"/>
    <w:rsid w:val="00AD0BA1"/>
    <w:rsid w:val="00AD0DE9"/>
    <w:rsid w:val="00AD2C4C"/>
    <w:rsid w:val="00AD3724"/>
    <w:rsid w:val="00AD3EF8"/>
    <w:rsid w:val="00AD5FB5"/>
    <w:rsid w:val="00AD61FA"/>
    <w:rsid w:val="00AD6218"/>
    <w:rsid w:val="00AD6E8A"/>
    <w:rsid w:val="00AD77A3"/>
    <w:rsid w:val="00AD7CE5"/>
    <w:rsid w:val="00AE089D"/>
    <w:rsid w:val="00AE089E"/>
    <w:rsid w:val="00AE1100"/>
    <w:rsid w:val="00AE1450"/>
    <w:rsid w:val="00AE2E4D"/>
    <w:rsid w:val="00AE3194"/>
    <w:rsid w:val="00AE388B"/>
    <w:rsid w:val="00AE39E9"/>
    <w:rsid w:val="00AE4CD6"/>
    <w:rsid w:val="00AE5597"/>
    <w:rsid w:val="00AE5744"/>
    <w:rsid w:val="00AE5A02"/>
    <w:rsid w:val="00AE5A9D"/>
    <w:rsid w:val="00AE6DF5"/>
    <w:rsid w:val="00AE7354"/>
    <w:rsid w:val="00AF01EE"/>
    <w:rsid w:val="00AF2115"/>
    <w:rsid w:val="00AF2B8B"/>
    <w:rsid w:val="00AF32C7"/>
    <w:rsid w:val="00AF3924"/>
    <w:rsid w:val="00AF3AD3"/>
    <w:rsid w:val="00AF45A4"/>
    <w:rsid w:val="00AF4BF6"/>
    <w:rsid w:val="00AF4C93"/>
    <w:rsid w:val="00AF4D0E"/>
    <w:rsid w:val="00AF51E4"/>
    <w:rsid w:val="00AF529E"/>
    <w:rsid w:val="00AF5B28"/>
    <w:rsid w:val="00AF5D01"/>
    <w:rsid w:val="00AF62CC"/>
    <w:rsid w:val="00AF6487"/>
    <w:rsid w:val="00AF6F34"/>
    <w:rsid w:val="00B0091E"/>
    <w:rsid w:val="00B00AD1"/>
    <w:rsid w:val="00B02534"/>
    <w:rsid w:val="00B02BFC"/>
    <w:rsid w:val="00B0307A"/>
    <w:rsid w:val="00B0314D"/>
    <w:rsid w:val="00B03F94"/>
    <w:rsid w:val="00B05478"/>
    <w:rsid w:val="00B0672B"/>
    <w:rsid w:val="00B06EC5"/>
    <w:rsid w:val="00B104C7"/>
    <w:rsid w:val="00B106A3"/>
    <w:rsid w:val="00B10990"/>
    <w:rsid w:val="00B111FD"/>
    <w:rsid w:val="00B11927"/>
    <w:rsid w:val="00B1219D"/>
    <w:rsid w:val="00B132C6"/>
    <w:rsid w:val="00B13770"/>
    <w:rsid w:val="00B1395B"/>
    <w:rsid w:val="00B14607"/>
    <w:rsid w:val="00B14645"/>
    <w:rsid w:val="00B158E3"/>
    <w:rsid w:val="00B161FA"/>
    <w:rsid w:val="00B17421"/>
    <w:rsid w:val="00B175FC"/>
    <w:rsid w:val="00B17609"/>
    <w:rsid w:val="00B17793"/>
    <w:rsid w:val="00B20BF7"/>
    <w:rsid w:val="00B20FB5"/>
    <w:rsid w:val="00B21272"/>
    <w:rsid w:val="00B2148A"/>
    <w:rsid w:val="00B235D2"/>
    <w:rsid w:val="00B23979"/>
    <w:rsid w:val="00B25F28"/>
    <w:rsid w:val="00B26C3B"/>
    <w:rsid w:val="00B26E23"/>
    <w:rsid w:val="00B3048D"/>
    <w:rsid w:val="00B30FD2"/>
    <w:rsid w:val="00B3116B"/>
    <w:rsid w:val="00B32330"/>
    <w:rsid w:val="00B324EE"/>
    <w:rsid w:val="00B329D5"/>
    <w:rsid w:val="00B33BD6"/>
    <w:rsid w:val="00B34242"/>
    <w:rsid w:val="00B34347"/>
    <w:rsid w:val="00B3589D"/>
    <w:rsid w:val="00B35A16"/>
    <w:rsid w:val="00B36B38"/>
    <w:rsid w:val="00B37122"/>
    <w:rsid w:val="00B374FE"/>
    <w:rsid w:val="00B413E6"/>
    <w:rsid w:val="00B41694"/>
    <w:rsid w:val="00B41A34"/>
    <w:rsid w:val="00B421D6"/>
    <w:rsid w:val="00B436F3"/>
    <w:rsid w:val="00B43744"/>
    <w:rsid w:val="00B4382E"/>
    <w:rsid w:val="00B43D5E"/>
    <w:rsid w:val="00B441C3"/>
    <w:rsid w:val="00B441C5"/>
    <w:rsid w:val="00B44264"/>
    <w:rsid w:val="00B44FAC"/>
    <w:rsid w:val="00B4538D"/>
    <w:rsid w:val="00B5049B"/>
    <w:rsid w:val="00B51001"/>
    <w:rsid w:val="00B51153"/>
    <w:rsid w:val="00B51787"/>
    <w:rsid w:val="00B51B8C"/>
    <w:rsid w:val="00B52701"/>
    <w:rsid w:val="00B52EEC"/>
    <w:rsid w:val="00B530D0"/>
    <w:rsid w:val="00B5522E"/>
    <w:rsid w:val="00B554E9"/>
    <w:rsid w:val="00B5583F"/>
    <w:rsid w:val="00B55BD7"/>
    <w:rsid w:val="00B564D4"/>
    <w:rsid w:val="00B576DF"/>
    <w:rsid w:val="00B577A3"/>
    <w:rsid w:val="00B578A8"/>
    <w:rsid w:val="00B611E5"/>
    <w:rsid w:val="00B61C9C"/>
    <w:rsid w:val="00B61F19"/>
    <w:rsid w:val="00B62666"/>
    <w:rsid w:val="00B6330D"/>
    <w:rsid w:val="00B6391E"/>
    <w:rsid w:val="00B63E94"/>
    <w:rsid w:val="00B63F3E"/>
    <w:rsid w:val="00B64ED4"/>
    <w:rsid w:val="00B6528A"/>
    <w:rsid w:val="00B6772F"/>
    <w:rsid w:val="00B67E14"/>
    <w:rsid w:val="00B70930"/>
    <w:rsid w:val="00B709AB"/>
    <w:rsid w:val="00B70F00"/>
    <w:rsid w:val="00B711BD"/>
    <w:rsid w:val="00B712E7"/>
    <w:rsid w:val="00B716A6"/>
    <w:rsid w:val="00B72D07"/>
    <w:rsid w:val="00B7308E"/>
    <w:rsid w:val="00B73272"/>
    <w:rsid w:val="00B7367D"/>
    <w:rsid w:val="00B738A5"/>
    <w:rsid w:val="00B738E0"/>
    <w:rsid w:val="00B73BA9"/>
    <w:rsid w:val="00B74932"/>
    <w:rsid w:val="00B76308"/>
    <w:rsid w:val="00B76A1F"/>
    <w:rsid w:val="00B76EA8"/>
    <w:rsid w:val="00B77C05"/>
    <w:rsid w:val="00B80BAB"/>
    <w:rsid w:val="00B81CE3"/>
    <w:rsid w:val="00B820B8"/>
    <w:rsid w:val="00B82304"/>
    <w:rsid w:val="00B82A59"/>
    <w:rsid w:val="00B83408"/>
    <w:rsid w:val="00B83859"/>
    <w:rsid w:val="00B838C3"/>
    <w:rsid w:val="00B83D45"/>
    <w:rsid w:val="00B84271"/>
    <w:rsid w:val="00B845BA"/>
    <w:rsid w:val="00B84D3F"/>
    <w:rsid w:val="00B858AC"/>
    <w:rsid w:val="00B873E0"/>
    <w:rsid w:val="00B87BB1"/>
    <w:rsid w:val="00B904BB"/>
    <w:rsid w:val="00B90A9F"/>
    <w:rsid w:val="00B9212C"/>
    <w:rsid w:val="00B92BE9"/>
    <w:rsid w:val="00B92E48"/>
    <w:rsid w:val="00B93E69"/>
    <w:rsid w:val="00B9435C"/>
    <w:rsid w:val="00B94590"/>
    <w:rsid w:val="00B95210"/>
    <w:rsid w:val="00B96988"/>
    <w:rsid w:val="00B9703B"/>
    <w:rsid w:val="00B97B0F"/>
    <w:rsid w:val="00BA021C"/>
    <w:rsid w:val="00BA1072"/>
    <w:rsid w:val="00BA1DFC"/>
    <w:rsid w:val="00BA24FA"/>
    <w:rsid w:val="00BA310F"/>
    <w:rsid w:val="00BA4A4B"/>
    <w:rsid w:val="00BA5D7B"/>
    <w:rsid w:val="00BA6F24"/>
    <w:rsid w:val="00BA7016"/>
    <w:rsid w:val="00BA7C07"/>
    <w:rsid w:val="00BB0009"/>
    <w:rsid w:val="00BB1D94"/>
    <w:rsid w:val="00BB2E5C"/>
    <w:rsid w:val="00BB2F77"/>
    <w:rsid w:val="00BB3346"/>
    <w:rsid w:val="00BB340E"/>
    <w:rsid w:val="00BB38C4"/>
    <w:rsid w:val="00BB4444"/>
    <w:rsid w:val="00BB46DE"/>
    <w:rsid w:val="00BB5128"/>
    <w:rsid w:val="00BB5243"/>
    <w:rsid w:val="00BB56C2"/>
    <w:rsid w:val="00BB61AA"/>
    <w:rsid w:val="00BB679A"/>
    <w:rsid w:val="00BB6887"/>
    <w:rsid w:val="00BB6B1B"/>
    <w:rsid w:val="00BB6B30"/>
    <w:rsid w:val="00BB763C"/>
    <w:rsid w:val="00BB7E93"/>
    <w:rsid w:val="00BC00B4"/>
    <w:rsid w:val="00BC047F"/>
    <w:rsid w:val="00BC06F0"/>
    <w:rsid w:val="00BC1D9B"/>
    <w:rsid w:val="00BC20F6"/>
    <w:rsid w:val="00BC250A"/>
    <w:rsid w:val="00BC3113"/>
    <w:rsid w:val="00BC3D25"/>
    <w:rsid w:val="00BC496D"/>
    <w:rsid w:val="00BC4AEE"/>
    <w:rsid w:val="00BC5EC5"/>
    <w:rsid w:val="00BC609D"/>
    <w:rsid w:val="00BC6623"/>
    <w:rsid w:val="00BD06E3"/>
    <w:rsid w:val="00BD0874"/>
    <w:rsid w:val="00BD094D"/>
    <w:rsid w:val="00BD1B4B"/>
    <w:rsid w:val="00BD2A16"/>
    <w:rsid w:val="00BD2A8F"/>
    <w:rsid w:val="00BD3082"/>
    <w:rsid w:val="00BD44DD"/>
    <w:rsid w:val="00BD4985"/>
    <w:rsid w:val="00BD4CDB"/>
    <w:rsid w:val="00BD585F"/>
    <w:rsid w:val="00BD5D68"/>
    <w:rsid w:val="00BD5DA0"/>
    <w:rsid w:val="00BD6BFD"/>
    <w:rsid w:val="00BE0901"/>
    <w:rsid w:val="00BE13F2"/>
    <w:rsid w:val="00BE1694"/>
    <w:rsid w:val="00BE1D8B"/>
    <w:rsid w:val="00BE1F8C"/>
    <w:rsid w:val="00BE3CBB"/>
    <w:rsid w:val="00BE42A7"/>
    <w:rsid w:val="00BE512B"/>
    <w:rsid w:val="00BE5167"/>
    <w:rsid w:val="00BE538D"/>
    <w:rsid w:val="00BE60D4"/>
    <w:rsid w:val="00BE73A6"/>
    <w:rsid w:val="00BF207D"/>
    <w:rsid w:val="00BF2AE3"/>
    <w:rsid w:val="00BF2D7B"/>
    <w:rsid w:val="00BF3C58"/>
    <w:rsid w:val="00BF46C7"/>
    <w:rsid w:val="00BF4CEB"/>
    <w:rsid w:val="00BF667F"/>
    <w:rsid w:val="00BF6AD9"/>
    <w:rsid w:val="00BF71E3"/>
    <w:rsid w:val="00C00EF4"/>
    <w:rsid w:val="00C0171E"/>
    <w:rsid w:val="00C01F94"/>
    <w:rsid w:val="00C023EC"/>
    <w:rsid w:val="00C03D33"/>
    <w:rsid w:val="00C03F36"/>
    <w:rsid w:val="00C04F83"/>
    <w:rsid w:val="00C0531A"/>
    <w:rsid w:val="00C05705"/>
    <w:rsid w:val="00C05C98"/>
    <w:rsid w:val="00C06643"/>
    <w:rsid w:val="00C07EE5"/>
    <w:rsid w:val="00C10E41"/>
    <w:rsid w:val="00C11137"/>
    <w:rsid w:val="00C118CF"/>
    <w:rsid w:val="00C128D6"/>
    <w:rsid w:val="00C12A5E"/>
    <w:rsid w:val="00C13377"/>
    <w:rsid w:val="00C13994"/>
    <w:rsid w:val="00C13E40"/>
    <w:rsid w:val="00C158E5"/>
    <w:rsid w:val="00C15E40"/>
    <w:rsid w:val="00C16377"/>
    <w:rsid w:val="00C16427"/>
    <w:rsid w:val="00C164C8"/>
    <w:rsid w:val="00C16C9E"/>
    <w:rsid w:val="00C1780F"/>
    <w:rsid w:val="00C17E73"/>
    <w:rsid w:val="00C201F7"/>
    <w:rsid w:val="00C209F0"/>
    <w:rsid w:val="00C21941"/>
    <w:rsid w:val="00C21AE7"/>
    <w:rsid w:val="00C21F22"/>
    <w:rsid w:val="00C21FCD"/>
    <w:rsid w:val="00C22634"/>
    <w:rsid w:val="00C22B82"/>
    <w:rsid w:val="00C243A8"/>
    <w:rsid w:val="00C24D85"/>
    <w:rsid w:val="00C258F8"/>
    <w:rsid w:val="00C261E0"/>
    <w:rsid w:val="00C26AD6"/>
    <w:rsid w:val="00C26C49"/>
    <w:rsid w:val="00C30CFE"/>
    <w:rsid w:val="00C30ED6"/>
    <w:rsid w:val="00C313B2"/>
    <w:rsid w:val="00C3188B"/>
    <w:rsid w:val="00C323BA"/>
    <w:rsid w:val="00C32706"/>
    <w:rsid w:val="00C32AD1"/>
    <w:rsid w:val="00C34E6B"/>
    <w:rsid w:val="00C3581C"/>
    <w:rsid w:val="00C3621B"/>
    <w:rsid w:val="00C3666E"/>
    <w:rsid w:val="00C369FD"/>
    <w:rsid w:val="00C3730F"/>
    <w:rsid w:val="00C3771B"/>
    <w:rsid w:val="00C402A9"/>
    <w:rsid w:val="00C409E8"/>
    <w:rsid w:val="00C40B24"/>
    <w:rsid w:val="00C40EA2"/>
    <w:rsid w:val="00C41784"/>
    <w:rsid w:val="00C4252C"/>
    <w:rsid w:val="00C42BBA"/>
    <w:rsid w:val="00C43529"/>
    <w:rsid w:val="00C43C5F"/>
    <w:rsid w:val="00C43EE5"/>
    <w:rsid w:val="00C442DE"/>
    <w:rsid w:val="00C443BE"/>
    <w:rsid w:val="00C44513"/>
    <w:rsid w:val="00C44A9D"/>
    <w:rsid w:val="00C44EC1"/>
    <w:rsid w:val="00C45727"/>
    <w:rsid w:val="00C4599E"/>
    <w:rsid w:val="00C45F00"/>
    <w:rsid w:val="00C4695D"/>
    <w:rsid w:val="00C46B23"/>
    <w:rsid w:val="00C4735C"/>
    <w:rsid w:val="00C50995"/>
    <w:rsid w:val="00C519CA"/>
    <w:rsid w:val="00C51A32"/>
    <w:rsid w:val="00C51F34"/>
    <w:rsid w:val="00C523F7"/>
    <w:rsid w:val="00C5258A"/>
    <w:rsid w:val="00C52C1E"/>
    <w:rsid w:val="00C52F0E"/>
    <w:rsid w:val="00C55874"/>
    <w:rsid w:val="00C5590B"/>
    <w:rsid w:val="00C560D2"/>
    <w:rsid w:val="00C56E7D"/>
    <w:rsid w:val="00C57AAF"/>
    <w:rsid w:val="00C57BA7"/>
    <w:rsid w:val="00C600A9"/>
    <w:rsid w:val="00C602BC"/>
    <w:rsid w:val="00C6050F"/>
    <w:rsid w:val="00C6066B"/>
    <w:rsid w:val="00C60B5F"/>
    <w:rsid w:val="00C60F64"/>
    <w:rsid w:val="00C61760"/>
    <w:rsid w:val="00C618B0"/>
    <w:rsid w:val="00C61BC4"/>
    <w:rsid w:val="00C6320D"/>
    <w:rsid w:val="00C6347D"/>
    <w:rsid w:val="00C63AEA"/>
    <w:rsid w:val="00C645A2"/>
    <w:rsid w:val="00C6478A"/>
    <w:rsid w:val="00C647FB"/>
    <w:rsid w:val="00C658CE"/>
    <w:rsid w:val="00C659CB"/>
    <w:rsid w:val="00C66186"/>
    <w:rsid w:val="00C674D6"/>
    <w:rsid w:val="00C67891"/>
    <w:rsid w:val="00C70440"/>
    <w:rsid w:val="00C70519"/>
    <w:rsid w:val="00C70D65"/>
    <w:rsid w:val="00C70EF1"/>
    <w:rsid w:val="00C7116D"/>
    <w:rsid w:val="00C7121B"/>
    <w:rsid w:val="00C716A7"/>
    <w:rsid w:val="00C73222"/>
    <w:rsid w:val="00C733E0"/>
    <w:rsid w:val="00C73810"/>
    <w:rsid w:val="00C74133"/>
    <w:rsid w:val="00C75DF0"/>
    <w:rsid w:val="00C771F9"/>
    <w:rsid w:val="00C77C47"/>
    <w:rsid w:val="00C8013B"/>
    <w:rsid w:val="00C8134B"/>
    <w:rsid w:val="00C82BF6"/>
    <w:rsid w:val="00C8335E"/>
    <w:rsid w:val="00C83B5A"/>
    <w:rsid w:val="00C84F5C"/>
    <w:rsid w:val="00C84FEA"/>
    <w:rsid w:val="00C85096"/>
    <w:rsid w:val="00C850DC"/>
    <w:rsid w:val="00C85155"/>
    <w:rsid w:val="00C85259"/>
    <w:rsid w:val="00C85776"/>
    <w:rsid w:val="00C85EC2"/>
    <w:rsid w:val="00C86250"/>
    <w:rsid w:val="00C86A3A"/>
    <w:rsid w:val="00C9075C"/>
    <w:rsid w:val="00C9194F"/>
    <w:rsid w:val="00C9252C"/>
    <w:rsid w:val="00C92973"/>
    <w:rsid w:val="00C936D2"/>
    <w:rsid w:val="00C94211"/>
    <w:rsid w:val="00C94BC1"/>
    <w:rsid w:val="00C95DBA"/>
    <w:rsid w:val="00C97346"/>
    <w:rsid w:val="00C9746F"/>
    <w:rsid w:val="00C97D07"/>
    <w:rsid w:val="00CA0445"/>
    <w:rsid w:val="00CA106B"/>
    <w:rsid w:val="00CA1297"/>
    <w:rsid w:val="00CA2913"/>
    <w:rsid w:val="00CA2FE6"/>
    <w:rsid w:val="00CA3898"/>
    <w:rsid w:val="00CA40D0"/>
    <w:rsid w:val="00CA41D9"/>
    <w:rsid w:val="00CA43B0"/>
    <w:rsid w:val="00CA452A"/>
    <w:rsid w:val="00CA4755"/>
    <w:rsid w:val="00CA48AF"/>
    <w:rsid w:val="00CA4F52"/>
    <w:rsid w:val="00CA57F3"/>
    <w:rsid w:val="00CA6062"/>
    <w:rsid w:val="00CA6441"/>
    <w:rsid w:val="00CA6641"/>
    <w:rsid w:val="00CA706F"/>
    <w:rsid w:val="00CA780D"/>
    <w:rsid w:val="00CA7895"/>
    <w:rsid w:val="00CB0A90"/>
    <w:rsid w:val="00CB0F55"/>
    <w:rsid w:val="00CB1B18"/>
    <w:rsid w:val="00CB2DC8"/>
    <w:rsid w:val="00CB3FA9"/>
    <w:rsid w:val="00CB41DB"/>
    <w:rsid w:val="00CB48CA"/>
    <w:rsid w:val="00CB60B1"/>
    <w:rsid w:val="00CB6A5B"/>
    <w:rsid w:val="00CB7358"/>
    <w:rsid w:val="00CC0EBD"/>
    <w:rsid w:val="00CC0FBF"/>
    <w:rsid w:val="00CC1319"/>
    <w:rsid w:val="00CC17A4"/>
    <w:rsid w:val="00CC1B28"/>
    <w:rsid w:val="00CC1C5C"/>
    <w:rsid w:val="00CC2359"/>
    <w:rsid w:val="00CC29F5"/>
    <w:rsid w:val="00CC2BEA"/>
    <w:rsid w:val="00CC4001"/>
    <w:rsid w:val="00CC413E"/>
    <w:rsid w:val="00CC46B8"/>
    <w:rsid w:val="00CC55FD"/>
    <w:rsid w:val="00CC6600"/>
    <w:rsid w:val="00CC66F3"/>
    <w:rsid w:val="00CD00F7"/>
    <w:rsid w:val="00CD0E3D"/>
    <w:rsid w:val="00CD126F"/>
    <w:rsid w:val="00CD21B7"/>
    <w:rsid w:val="00CD2330"/>
    <w:rsid w:val="00CD238A"/>
    <w:rsid w:val="00CD2CCE"/>
    <w:rsid w:val="00CD4B33"/>
    <w:rsid w:val="00CD4C67"/>
    <w:rsid w:val="00CD4E4C"/>
    <w:rsid w:val="00CD51B3"/>
    <w:rsid w:val="00CD70DB"/>
    <w:rsid w:val="00CD79B2"/>
    <w:rsid w:val="00CE118C"/>
    <w:rsid w:val="00CE134F"/>
    <w:rsid w:val="00CE1506"/>
    <w:rsid w:val="00CE15B1"/>
    <w:rsid w:val="00CE2B41"/>
    <w:rsid w:val="00CE4BF6"/>
    <w:rsid w:val="00CE4C14"/>
    <w:rsid w:val="00CE5534"/>
    <w:rsid w:val="00CE5760"/>
    <w:rsid w:val="00CE5E90"/>
    <w:rsid w:val="00CE5E9E"/>
    <w:rsid w:val="00CE68E7"/>
    <w:rsid w:val="00CE6A32"/>
    <w:rsid w:val="00CE7A9A"/>
    <w:rsid w:val="00CE7F4A"/>
    <w:rsid w:val="00CF03AA"/>
    <w:rsid w:val="00CF0A1B"/>
    <w:rsid w:val="00CF275B"/>
    <w:rsid w:val="00CF2925"/>
    <w:rsid w:val="00CF387B"/>
    <w:rsid w:val="00CF39ED"/>
    <w:rsid w:val="00CF5DDE"/>
    <w:rsid w:val="00CF6554"/>
    <w:rsid w:val="00CF7038"/>
    <w:rsid w:val="00D00736"/>
    <w:rsid w:val="00D00EF5"/>
    <w:rsid w:val="00D00F59"/>
    <w:rsid w:val="00D011DE"/>
    <w:rsid w:val="00D026FE"/>
    <w:rsid w:val="00D035D6"/>
    <w:rsid w:val="00D04474"/>
    <w:rsid w:val="00D04DEA"/>
    <w:rsid w:val="00D0578C"/>
    <w:rsid w:val="00D06C17"/>
    <w:rsid w:val="00D07506"/>
    <w:rsid w:val="00D077A8"/>
    <w:rsid w:val="00D10638"/>
    <w:rsid w:val="00D110A0"/>
    <w:rsid w:val="00D111F3"/>
    <w:rsid w:val="00D114DA"/>
    <w:rsid w:val="00D12326"/>
    <w:rsid w:val="00D127E6"/>
    <w:rsid w:val="00D12E55"/>
    <w:rsid w:val="00D133F6"/>
    <w:rsid w:val="00D13AE5"/>
    <w:rsid w:val="00D14014"/>
    <w:rsid w:val="00D15055"/>
    <w:rsid w:val="00D1507B"/>
    <w:rsid w:val="00D15440"/>
    <w:rsid w:val="00D15847"/>
    <w:rsid w:val="00D1608E"/>
    <w:rsid w:val="00D17CCB"/>
    <w:rsid w:val="00D20203"/>
    <w:rsid w:val="00D206EB"/>
    <w:rsid w:val="00D20C12"/>
    <w:rsid w:val="00D21B4E"/>
    <w:rsid w:val="00D22180"/>
    <w:rsid w:val="00D221E0"/>
    <w:rsid w:val="00D233AE"/>
    <w:rsid w:val="00D23568"/>
    <w:rsid w:val="00D23713"/>
    <w:rsid w:val="00D23EC4"/>
    <w:rsid w:val="00D248DA"/>
    <w:rsid w:val="00D24938"/>
    <w:rsid w:val="00D258F4"/>
    <w:rsid w:val="00D27674"/>
    <w:rsid w:val="00D27BD3"/>
    <w:rsid w:val="00D27DFB"/>
    <w:rsid w:val="00D30036"/>
    <w:rsid w:val="00D308A6"/>
    <w:rsid w:val="00D31123"/>
    <w:rsid w:val="00D31699"/>
    <w:rsid w:val="00D322F5"/>
    <w:rsid w:val="00D325BE"/>
    <w:rsid w:val="00D33C84"/>
    <w:rsid w:val="00D33F68"/>
    <w:rsid w:val="00D3488B"/>
    <w:rsid w:val="00D366E3"/>
    <w:rsid w:val="00D36B03"/>
    <w:rsid w:val="00D36D36"/>
    <w:rsid w:val="00D3751A"/>
    <w:rsid w:val="00D40AFC"/>
    <w:rsid w:val="00D40BD0"/>
    <w:rsid w:val="00D41C20"/>
    <w:rsid w:val="00D436CB"/>
    <w:rsid w:val="00D439D3"/>
    <w:rsid w:val="00D45355"/>
    <w:rsid w:val="00D4546E"/>
    <w:rsid w:val="00D45879"/>
    <w:rsid w:val="00D45D27"/>
    <w:rsid w:val="00D468A2"/>
    <w:rsid w:val="00D50DDC"/>
    <w:rsid w:val="00D51A5F"/>
    <w:rsid w:val="00D51AA0"/>
    <w:rsid w:val="00D523F9"/>
    <w:rsid w:val="00D524F2"/>
    <w:rsid w:val="00D52572"/>
    <w:rsid w:val="00D52B8F"/>
    <w:rsid w:val="00D54133"/>
    <w:rsid w:val="00D561FD"/>
    <w:rsid w:val="00D60644"/>
    <w:rsid w:val="00D61E06"/>
    <w:rsid w:val="00D63D0C"/>
    <w:rsid w:val="00D65F98"/>
    <w:rsid w:val="00D662EB"/>
    <w:rsid w:val="00D670D9"/>
    <w:rsid w:val="00D67587"/>
    <w:rsid w:val="00D701DE"/>
    <w:rsid w:val="00D702B0"/>
    <w:rsid w:val="00D70388"/>
    <w:rsid w:val="00D70F1A"/>
    <w:rsid w:val="00D71A3E"/>
    <w:rsid w:val="00D72F0A"/>
    <w:rsid w:val="00D72FDF"/>
    <w:rsid w:val="00D74C39"/>
    <w:rsid w:val="00D77EA6"/>
    <w:rsid w:val="00D8002B"/>
    <w:rsid w:val="00D826C8"/>
    <w:rsid w:val="00D839B3"/>
    <w:rsid w:val="00D84157"/>
    <w:rsid w:val="00D845F7"/>
    <w:rsid w:val="00D851EB"/>
    <w:rsid w:val="00D852CC"/>
    <w:rsid w:val="00D853DD"/>
    <w:rsid w:val="00D85C9D"/>
    <w:rsid w:val="00D8604D"/>
    <w:rsid w:val="00D861AE"/>
    <w:rsid w:val="00D86646"/>
    <w:rsid w:val="00D86961"/>
    <w:rsid w:val="00D8699B"/>
    <w:rsid w:val="00D86E1D"/>
    <w:rsid w:val="00D87EA5"/>
    <w:rsid w:val="00D908E9"/>
    <w:rsid w:val="00D910D9"/>
    <w:rsid w:val="00D91D02"/>
    <w:rsid w:val="00D9413A"/>
    <w:rsid w:val="00D94153"/>
    <w:rsid w:val="00D94561"/>
    <w:rsid w:val="00D945B4"/>
    <w:rsid w:val="00D95423"/>
    <w:rsid w:val="00D95720"/>
    <w:rsid w:val="00D95AD9"/>
    <w:rsid w:val="00D96D8E"/>
    <w:rsid w:val="00DA087C"/>
    <w:rsid w:val="00DA13F2"/>
    <w:rsid w:val="00DA1F33"/>
    <w:rsid w:val="00DA223A"/>
    <w:rsid w:val="00DA2DBD"/>
    <w:rsid w:val="00DA366B"/>
    <w:rsid w:val="00DA455B"/>
    <w:rsid w:val="00DA5A87"/>
    <w:rsid w:val="00DA5C36"/>
    <w:rsid w:val="00DA605F"/>
    <w:rsid w:val="00DA6A0F"/>
    <w:rsid w:val="00DB0ACB"/>
    <w:rsid w:val="00DB1214"/>
    <w:rsid w:val="00DB1EB4"/>
    <w:rsid w:val="00DB23AD"/>
    <w:rsid w:val="00DB26EE"/>
    <w:rsid w:val="00DB3312"/>
    <w:rsid w:val="00DB3492"/>
    <w:rsid w:val="00DB39D3"/>
    <w:rsid w:val="00DB4231"/>
    <w:rsid w:val="00DB42E2"/>
    <w:rsid w:val="00DB4625"/>
    <w:rsid w:val="00DB46DB"/>
    <w:rsid w:val="00DB5603"/>
    <w:rsid w:val="00DB5954"/>
    <w:rsid w:val="00DB5BD7"/>
    <w:rsid w:val="00DB65D4"/>
    <w:rsid w:val="00DB68CC"/>
    <w:rsid w:val="00DB68F9"/>
    <w:rsid w:val="00DB6B2A"/>
    <w:rsid w:val="00DB6B75"/>
    <w:rsid w:val="00DB7508"/>
    <w:rsid w:val="00DC10A2"/>
    <w:rsid w:val="00DC18A5"/>
    <w:rsid w:val="00DC1ACB"/>
    <w:rsid w:val="00DC34BF"/>
    <w:rsid w:val="00DC39D4"/>
    <w:rsid w:val="00DC3DA3"/>
    <w:rsid w:val="00DC5A1B"/>
    <w:rsid w:val="00DC5A46"/>
    <w:rsid w:val="00DC5FE1"/>
    <w:rsid w:val="00DC6280"/>
    <w:rsid w:val="00DC653B"/>
    <w:rsid w:val="00DC692F"/>
    <w:rsid w:val="00DC7443"/>
    <w:rsid w:val="00DC7C07"/>
    <w:rsid w:val="00DD0772"/>
    <w:rsid w:val="00DD0AD6"/>
    <w:rsid w:val="00DD0D63"/>
    <w:rsid w:val="00DD2274"/>
    <w:rsid w:val="00DD23EB"/>
    <w:rsid w:val="00DD2CD0"/>
    <w:rsid w:val="00DD3110"/>
    <w:rsid w:val="00DD3F04"/>
    <w:rsid w:val="00DD3FE5"/>
    <w:rsid w:val="00DD4E98"/>
    <w:rsid w:val="00DD5075"/>
    <w:rsid w:val="00DD5412"/>
    <w:rsid w:val="00DD5624"/>
    <w:rsid w:val="00DD5A66"/>
    <w:rsid w:val="00DD600E"/>
    <w:rsid w:val="00DD6779"/>
    <w:rsid w:val="00DE00A1"/>
    <w:rsid w:val="00DE0431"/>
    <w:rsid w:val="00DE2A28"/>
    <w:rsid w:val="00DE2DF6"/>
    <w:rsid w:val="00DE38A3"/>
    <w:rsid w:val="00DE3B8E"/>
    <w:rsid w:val="00DE4059"/>
    <w:rsid w:val="00DE54D6"/>
    <w:rsid w:val="00DE5CDF"/>
    <w:rsid w:val="00DE6FEC"/>
    <w:rsid w:val="00DE7F35"/>
    <w:rsid w:val="00DF099D"/>
    <w:rsid w:val="00DF09BB"/>
    <w:rsid w:val="00DF0A36"/>
    <w:rsid w:val="00DF0EB2"/>
    <w:rsid w:val="00DF0EF0"/>
    <w:rsid w:val="00DF1558"/>
    <w:rsid w:val="00DF1A2E"/>
    <w:rsid w:val="00DF1D65"/>
    <w:rsid w:val="00DF3BA6"/>
    <w:rsid w:val="00DF5930"/>
    <w:rsid w:val="00DF796F"/>
    <w:rsid w:val="00E00780"/>
    <w:rsid w:val="00E008CA"/>
    <w:rsid w:val="00E01151"/>
    <w:rsid w:val="00E0116B"/>
    <w:rsid w:val="00E0199A"/>
    <w:rsid w:val="00E01A9A"/>
    <w:rsid w:val="00E03377"/>
    <w:rsid w:val="00E03F09"/>
    <w:rsid w:val="00E04660"/>
    <w:rsid w:val="00E04C52"/>
    <w:rsid w:val="00E04FA5"/>
    <w:rsid w:val="00E05FC6"/>
    <w:rsid w:val="00E062DF"/>
    <w:rsid w:val="00E06B44"/>
    <w:rsid w:val="00E06B9F"/>
    <w:rsid w:val="00E07D74"/>
    <w:rsid w:val="00E12424"/>
    <w:rsid w:val="00E12686"/>
    <w:rsid w:val="00E12B0E"/>
    <w:rsid w:val="00E13946"/>
    <w:rsid w:val="00E14FBD"/>
    <w:rsid w:val="00E1538B"/>
    <w:rsid w:val="00E15A8B"/>
    <w:rsid w:val="00E16B08"/>
    <w:rsid w:val="00E175C8"/>
    <w:rsid w:val="00E20C22"/>
    <w:rsid w:val="00E20E6C"/>
    <w:rsid w:val="00E20EEC"/>
    <w:rsid w:val="00E20F61"/>
    <w:rsid w:val="00E21EFA"/>
    <w:rsid w:val="00E2286F"/>
    <w:rsid w:val="00E22F9B"/>
    <w:rsid w:val="00E248EF"/>
    <w:rsid w:val="00E25253"/>
    <w:rsid w:val="00E25601"/>
    <w:rsid w:val="00E25D35"/>
    <w:rsid w:val="00E2615A"/>
    <w:rsid w:val="00E265FB"/>
    <w:rsid w:val="00E26907"/>
    <w:rsid w:val="00E269E5"/>
    <w:rsid w:val="00E27E28"/>
    <w:rsid w:val="00E31674"/>
    <w:rsid w:val="00E317EB"/>
    <w:rsid w:val="00E31FCA"/>
    <w:rsid w:val="00E32D34"/>
    <w:rsid w:val="00E3357D"/>
    <w:rsid w:val="00E3359A"/>
    <w:rsid w:val="00E338F6"/>
    <w:rsid w:val="00E33B98"/>
    <w:rsid w:val="00E34185"/>
    <w:rsid w:val="00E34A7D"/>
    <w:rsid w:val="00E35003"/>
    <w:rsid w:val="00E35890"/>
    <w:rsid w:val="00E35CB5"/>
    <w:rsid w:val="00E35F13"/>
    <w:rsid w:val="00E3747D"/>
    <w:rsid w:val="00E376FB"/>
    <w:rsid w:val="00E40697"/>
    <w:rsid w:val="00E40A82"/>
    <w:rsid w:val="00E41EDF"/>
    <w:rsid w:val="00E4248F"/>
    <w:rsid w:val="00E42580"/>
    <w:rsid w:val="00E434BB"/>
    <w:rsid w:val="00E43938"/>
    <w:rsid w:val="00E43B32"/>
    <w:rsid w:val="00E43D14"/>
    <w:rsid w:val="00E446B8"/>
    <w:rsid w:val="00E45E71"/>
    <w:rsid w:val="00E50F14"/>
    <w:rsid w:val="00E5110A"/>
    <w:rsid w:val="00E51188"/>
    <w:rsid w:val="00E51547"/>
    <w:rsid w:val="00E51A07"/>
    <w:rsid w:val="00E52B5B"/>
    <w:rsid w:val="00E52C03"/>
    <w:rsid w:val="00E52D49"/>
    <w:rsid w:val="00E54ECD"/>
    <w:rsid w:val="00E54F28"/>
    <w:rsid w:val="00E55454"/>
    <w:rsid w:val="00E56147"/>
    <w:rsid w:val="00E564B4"/>
    <w:rsid w:val="00E5782F"/>
    <w:rsid w:val="00E60852"/>
    <w:rsid w:val="00E60C90"/>
    <w:rsid w:val="00E61530"/>
    <w:rsid w:val="00E61FB5"/>
    <w:rsid w:val="00E62B2A"/>
    <w:rsid w:val="00E632FB"/>
    <w:rsid w:val="00E63389"/>
    <w:rsid w:val="00E64718"/>
    <w:rsid w:val="00E647D4"/>
    <w:rsid w:val="00E64CF9"/>
    <w:rsid w:val="00E651FC"/>
    <w:rsid w:val="00E65B7B"/>
    <w:rsid w:val="00E668B2"/>
    <w:rsid w:val="00E66D50"/>
    <w:rsid w:val="00E67319"/>
    <w:rsid w:val="00E67725"/>
    <w:rsid w:val="00E715D1"/>
    <w:rsid w:val="00E73118"/>
    <w:rsid w:val="00E73DE6"/>
    <w:rsid w:val="00E74CB4"/>
    <w:rsid w:val="00E75131"/>
    <w:rsid w:val="00E75766"/>
    <w:rsid w:val="00E760F0"/>
    <w:rsid w:val="00E76A16"/>
    <w:rsid w:val="00E776D2"/>
    <w:rsid w:val="00E77AB8"/>
    <w:rsid w:val="00E81120"/>
    <w:rsid w:val="00E820CE"/>
    <w:rsid w:val="00E83DF9"/>
    <w:rsid w:val="00E84004"/>
    <w:rsid w:val="00E853E1"/>
    <w:rsid w:val="00E92243"/>
    <w:rsid w:val="00E923D2"/>
    <w:rsid w:val="00E92559"/>
    <w:rsid w:val="00E93A5D"/>
    <w:rsid w:val="00E93D36"/>
    <w:rsid w:val="00E96125"/>
    <w:rsid w:val="00E962B7"/>
    <w:rsid w:val="00E9640E"/>
    <w:rsid w:val="00E964CC"/>
    <w:rsid w:val="00E97505"/>
    <w:rsid w:val="00E977CA"/>
    <w:rsid w:val="00EA0884"/>
    <w:rsid w:val="00EA2622"/>
    <w:rsid w:val="00EA3100"/>
    <w:rsid w:val="00EA60F6"/>
    <w:rsid w:val="00EA6251"/>
    <w:rsid w:val="00EA73FA"/>
    <w:rsid w:val="00EB0302"/>
    <w:rsid w:val="00EB0E2B"/>
    <w:rsid w:val="00EB1A81"/>
    <w:rsid w:val="00EB2D21"/>
    <w:rsid w:val="00EB2FEE"/>
    <w:rsid w:val="00EB4CA3"/>
    <w:rsid w:val="00EB6B98"/>
    <w:rsid w:val="00EB6D7B"/>
    <w:rsid w:val="00EC118C"/>
    <w:rsid w:val="00EC127E"/>
    <w:rsid w:val="00EC2B21"/>
    <w:rsid w:val="00EC2B2A"/>
    <w:rsid w:val="00EC2B8B"/>
    <w:rsid w:val="00EC2CE9"/>
    <w:rsid w:val="00EC3318"/>
    <w:rsid w:val="00EC36F6"/>
    <w:rsid w:val="00EC45CD"/>
    <w:rsid w:val="00EC4CDA"/>
    <w:rsid w:val="00EC5104"/>
    <w:rsid w:val="00EC633E"/>
    <w:rsid w:val="00EC640C"/>
    <w:rsid w:val="00EC766C"/>
    <w:rsid w:val="00ED0109"/>
    <w:rsid w:val="00ED0263"/>
    <w:rsid w:val="00ED1207"/>
    <w:rsid w:val="00ED20BD"/>
    <w:rsid w:val="00ED224A"/>
    <w:rsid w:val="00ED2510"/>
    <w:rsid w:val="00ED2791"/>
    <w:rsid w:val="00ED2BC7"/>
    <w:rsid w:val="00ED2ED2"/>
    <w:rsid w:val="00ED3A63"/>
    <w:rsid w:val="00ED3D97"/>
    <w:rsid w:val="00ED3EBA"/>
    <w:rsid w:val="00ED63F4"/>
    <w:rsid w:val="00ED6A50"/>
    <w:rsid w:val="00ED72D2"/>
    <w:rsid w:val="00ED7F3C"/>
    <w:rsid w:val="00EE0D2F"/>
    <w:rsid w:val="00EE120E"/>
    <w:rsid w:val="00EE2E3F"/>
    <w:rsid w:val="00EE31AC"/>
    <w:rsid w:val="00EE3217"/>
    <w:rsid w:val="00EE6BB3"/>
    <w:rsid w:val="00EE7342"/>
    <w:rsid w:val="00EF0F58"/>
    <w:rsid w:val="00EF1BBA"/>
    <w:rsid w:val="00EF30E3"/>
    <w:rsid w:val="00EF345C"/>
    <w:rsid w:val="00EF3635"/>
    <w:rsid w:val="00EF4183"/>
    <w:rsid w:val="00EF50FF"/>
    <w:rsid w:val="00EF56A0"/>
    <w:rsid w:val="00EF60F0"/>
    <w:rsid w:val="00EF6735"/>
    <w:rsid w:val="00EF7E88"/>
    <w:rsid w:val="00F00750"/>
    <w:rsid w:val="00F0093C"/>
    <w:rsid w:val="00F00C6F"/>
    <w:rsid w:val="00F00F2F"/>
    <w:rsid w:val="00F01BBA"/>
    <w:rsid w:val="00F021F0"/>
    <w:rsid w:val="00F04E62"/>
    <w:rsid w:val="00F053F7"/>
    <w:rsid w:val="00F05E28"/>
    <w:rsid w:val="00F05F03"/>
    <w:rsid w:val="00F05F0E"/>
    <w:rsid w:val="00F063B7"/>
    <w:rsid w:val="00F06C2B"/>
    <w:rsid w:val="00F077DB"/>
    <w:rsid w:val="00F10863"/>
    <w:rsid w:val="00F1153E"/>
    <w:rsid w:val="00F11F07"/>
    <w:rsid w:val="00F12D13"/>
    <w:rsid w:val="00F133C2"/>
    <w:rsid w:val="00F15087"/>
    <w:rsid w:val="00F15F83"/>
    <w:rsid w:val="00F161B4"/>
    <w:rsid w:val="00F17001"/>
    <w:rsid w:val="00F17316"/>
    <w:rsid w:val="00F17B95"/>
    <w:rsid w:val="00F17C91"/>
    <w:rsid w:val="00F17DDC"/>
    <w:rsid w:val="00F200A8"/>
    <w:rsid w:val="00F205B7"/>
    <w:rsid w:val="00F20C5E"/>
    <w:rsid w:val="00F210B2"/>
    <w:rsid w:val="00F21352"/>
    <w:rsid w:val="00F22F63"/>
    <w:rsid w:val="00F2393F"/>
    <w:rsid w:val="00F23D3B"/>
    <w:rsid w:val="00F247E5"/>
    <w:rsid w:val="00F254F8"/>
    <w:rsid w:val="00F256A4"/>
    <w:rsid w:val="00F260B8"/>
    <w:rsid w:val="00F26981"/>
    <w:rsid w:val="00F27CA3"/>
    <w:rsid w:val="00F300C6"/>
    <w:rsid w:val="00F30D63"/>
    <w:rsid w:val="00F315A6"/>
    <w:rsid w:val="00F31882"/>
    <w:rsid w:val="00F319C6"/>
    <w:rsid w:val="00F31E7A"/>
    <w:rsid w:val="00F350D8"/>
    <w:rsid w:val="00F36101"/>
    <w:rsid w:val="00F3646A"/>
    <w:rsid w:val="00F36687"/>
    <w:rsid w:val="00F378B9"/>
    <w:rsid w:val="00F37AF6"/>
    <w:rsid w:val="00F419A7"/>
    <w:rsid w:val="00F4245C"/>
    <w:rsid w:val="00F43609"/>
    <w:rsid w:val="00F43FB9"/>
    <w:rsid w:val="00F44CC0"/>
    <w:rsid w:val="00F46285"/>
    <w:rsid w:val="00F46844"/>
    <w:rsid w:val="00F513EA"/>
    <w:rsid w:val="00F51736"/>
    <w:rsid w:val="00F529AE"/>
    <w:rsid w:val="00F52F83"/>
    <w:rsid w:val="00F53165"/>
    <w:rsid w:val="00F5355F"/>
    <w:rsid w:val="00F53E67"/>
    <w:rsid w:val="00F540DF"/>
    <w:rsid w:val="00F552DB"/>
    <w:rsid w:val="00F5594C"/>
    <w:rsid w:val="00F55D96"/>
    <w:rsid w:val="00F56A1F"/>
    <w:rsid w:val="00F57FF0"/>
    <w:rsid w:val="00F62109"/>
    <w:rsid w:val="00F62655"/>
    <w:rsid w:val="00F6316B"/>
    <w:rsid w:val="00F63A19"/>
    <w:rsid w:val="00F63F52"/>
    <w:rsid w:val="00F6459C"/>
    <w:rsid w:val="00F64A85"/>
    <w:rsid w:val="00F65A39"/>
    <w:rsid w:val="00F67BF3"/>
    <w:rsid w:val="00F70BC9"/>
    <w:rsid w:val="00F70DD4"/>
    <w:rsid w:val="00F72B7E"/>
    <w:rsid w:val="00F72BCB"/>
    <w:rsid w:val="00F73361"/>
    <w:rsid w:val="00F73435"/>
    <w:rsid w:val="00F75E87"/>
    <w:rsid w:val="00F76AD6"/>
    <w:rsid w:val="00F76DF5"/>
    <w:rsid w:val="00F77265"/>
    <w:rsid w:val="00F77BE3"/>
    <w:rsid w:val="00F80DEF"/>
    <w:rsid w:val="00F81009"/>
    <w:rsid w:val="00F818EB"/>
    <w:rsid w:val="00F8221E"/>
    <w:rsid w:val="00F839D4"/>
    <w:rsid w:val="00F83DDE"/>
    <w:rsid w:val="00F8544F"/>
    <w:rsid w:val="00F856E9"/>
    <w:rsid w:val="00F85750"/>
    <w:rsid w:val="00F85953"/>
    <w:rsid w:val="00F85D27"/>
    <w:rsid w:val="00F86E87"/>
    <w:rsid w:val="00F92AAD"/>
    <w:rsid w:val="00F92CB6"/>
    <w:rsid w:val="00F93966"/>
    <w:rsid w:val="00F93DC9"/>
    <w:rsid w:val="00F93E78"/>
    <w:rsid w:val="00F93F0A"/>
    <w:rsid w:val="00F93FEC"/>
    <w:rsid w:val="00F94284"/>
    <w:rsid w:val="00F946A0"/>
    <w:rsid w:val="00F94B12"/>
    <w:rsid w:val="00F94EC1"/>
    <w:rsid w:val="00F95AF3"/>
    <w:rsid w:val="00F9641D"/>
    <w:rsid w:val="00F97131"/>
    <w:rsid w:val="00FA0B51"/>
    <w:rsid w:val="00FA1A45"/>
    <w:rsid w:val="00FA1F42"/>
    <w:rsid w:val="00FA22C0"/>
    <w:rsid w:val="00FA288E"/>
    <w:rsid w:val="00FA2910"/>
    <w:rsid w:val="00FA2AEC"/>
    <w:rsid w:val="00FA3025"/>
    <w:rsid w:val="00FA3140"/>
    <w:rsid w:val="00FA37EB"/>
    <w:rsid w:val="00FA3B43"/>
    <w:rsid w:val="00FA44E4"/>
    <w:rsid w:val="00FA44FF"/>
    <w:rsid w:val="00FA47E1"/>
    <w:rsid w:val="00FA4D5A"/>
    <w:rsid w:val="00FA5AAE"/>
    <w:rsid w:val="00FA6809"/>
    <w:rsid w:val="00FA6D2E"/>
    <w:rsid w:val="00FA7969"/>
    <w:rsid w:val="00FB01B7"/>
    <w:rsid w:val="00FB13EC"/>
    <w:rsid w:val="00FB192D"/>
    <w:rsid w:val="00FB1E6F"/>
    <w:rsid w:val="00FB3444"/>
    <w:rsid w:val="00FB4390"/>
    <w:rsid w:val="00FB4FB6"/>
    <w:rsid w:val="00FB599D"/>
    <w:rsid w:val="00FB64C1"/>
    <w:rsid w:val="00FB7D06"/>
    <w:rsid w:val="00FC14FF"/>
    <w:rsid w:val="00FC1517"/>
    <w:rsid w:val="00FC1B07"/>
    <w:rsid w:val="00FC1FE2"/>
    <w:rsid w:val="00FC3E75"/>
    <w:rsid w:val="00FC3F36"/>
    <w:rsid w:val="00FC4D8C"/>
    <w:rsid w:val="00FC5F61"/>
    <w:rsid w:val="00FC6BA4"/>
    <w:rsid w:val="00FC731C"/>
    <w:rsid w:val="00FC7FF7"/>
    <w:rsid w:val="00FD0ACC"/>
    <w:rsid w:val="00FD1127"/>
    <w:rsid w:val="00FD13E0"/>
    <w:rsid w:val="00FD1DE9"/>
    <w:rsid w:val="00FD2019"/>
    <w:rsid w:val="00FD2120"/>
    <w:rsid w:val="00FD29A7"/>
    <w:rsid w:val="00FD30D7"/>
    <w:rsid w:val="00FD32FA"/>
    <w:rsid w:val="00FD378F"/>
    <w:rsid w:val="00FD3A48"/>
    <w:rsid w:val="00FD40D2"/>
    <w:rsid w:val="00FD5A16"/>
    <w:rsid w:val="00FD6AB2"/>
    <w:rsid w:val="00FD6DC5"/>
    <w:rsid w:val="00FD73CC"/>
    <w:rsid w:val="00FD776B"/>
    <w:rsid w:val="00FE061B"/>
    <w:rsid w:val="00FE2965"/>
    <w:rsid w:val="00FE3200"/>
    <w:rsid w:val="00FE38B1"/>
    <w:rsid w:val="00FE448B"/>
    <w:rsid w:val="00FE5152"/>
    <w:rsid w:val="00FE5291"/>
    <w:rsid w:val="00FE539E"/>
    <w:rsid w:val="00FE6A59"/>
    <w:rsid w:val="00FE6D68"/>
    <w:rsid w:val="00FF008D"/>
    <w:rsid w:val="00FF18F4"/>
    <w:rsid w:val="00FF216A"/>
    <w:rsid w:val="00FF3212"/>
    <w:rsid w:val="00FF441C"/>
    <w:rsid w:val="00FF5760"/>
    <w:rsid w:val="00FF6EE3"/>
    <w:rsid w:val="00FF760C"/>
    <w:rsid w:val="00FF7DD3"/>
    <w:rsid w:val="00FF7E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37166F"/>
  <w15:docId w15:val="{78C90868-1B43-4C19-B661-A4745A165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4AED"/>
    <w:rPr>
      <w:rFonts w:eastAsia="Times New Roman" w:cs="Times New Roman"/>
      <w:sz w:val="28"/>
      <w:szCs w:val="28"/>
    </w:rPr>
  </w:style>
  <w:style w:type="paragraph" w:styleId="Ttulo1">
    <w:name w:val="heading 1"/>
    <w:next w:val="Normal"/>
    <w:link w:val="Ttulo1Car"/>
    <w:uiPriority w:val="9"/>
    <w:unhideWhenUsed/>
    <w:qFormat/>
    <w:rsid w:val="002056F0"/>
    <w:pPr>
      <w:keepNext/>
      <w:keepLines/>
      <w:spacing w:after="45"/>
      <w:ind w:left="10" w:right="-15" w:hanging="10"/>
      <w:jc w:val="center"/>
      <w:outlineLvl w:val="0"/>
    </w:pPr>
    <w:rPr>
      <w:rFonts w:eastAsia="Arial"/>
      <w:b/>
      <w:color w:val="000000"/>
      <w:sz w:val="28"/>
      <w:szCs w:val="22"/>
    </w:rPr>
  </w:style>
  <w:style w:type="paragraph" w:styleId="Ttulo2">
    <w:name w:val="heading 2"/>
    <w:next w:val="Normal"/>
    <w:link w:val="Ttulo2Car"/>
    <w:uiPriority w:val="9"/>
    <w:unhideWhenUsed/>
    <w:qFormat/>
    <w:rsid w:val="002056F0"/>
    <w:pPr>
      <w:keepNext/>
      <w:keepLines/>
      <w:spacing w:after="159"/>
      <w:ind w:left="-5" w:right="-15" w:hanging="10"/>
      <w:jc w:val="both"/>
      <w:outlineLvl w:val="1"/>
    </w:pPr>
    <w:rPr>
      <w:rFonts w:eastAsia="Arial"/>
      <w:b/>
      <w:i/>
      <w:color w:val="000000"/>
      <w:sz w:val="28"/>
      <w:szCs w:val="22"/>
    </w:rPr>
  </w:style>
  <w:style w:type="paragraph" w:styleId="Ttulo3">
    <w:name w:val="heading 3"/>
    <w:next w:val="Normal"/>
    <w:link w:val="Ttulo3Car"/>
    <w:uiPriority w:val="9"/>
    <w:unhideWhenUsed/>
    <w:qFormat/>
    <w:rsid w:val="002056F0"/>
    <w:pPr>
      <w:keepNext/>
      <w:keepLines/>
      <w:spacing w:after="45"/>
      <w:ind w:left="10" w:right="-15" w:hanging="10"/>
      <w:jc w:val="center"/>
      <w:outlineLvl w:val="2"/>
    </w:pPr>
    <w:rPr>
      <w:rFonts w:eastAsia="Arial"/>
      <w:b/>
      <w:color w:val="000000"/>
      <w:sz w:val="28"/>
      <w:szCs w:val="2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aliases w:val="Normal (Web) Car1,Normal (Web) Car Car,Normal (Web) Car1 Car Car,Normal (Web) Car Car Car Car,Normal (Web) Car Car Car Car Car Car,Normal (Web) Car Car Car Car Car Car Car Car Car Car,Car Car Car Car,Car Car Car,C,Car Car Ca,1, 1"/>
    <w:basedOn w:val="Normal"/>
    <w:link w:val="NormalWebCar"/>
    <w:uiPriority w:val="99"/>
    <w:qFormat/>
    <w:rsid w:val="002B6701"/>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uiPriority w:val="99"/>
    <w:rsid w:val="002B6701"/>
    <w:pPr>
      <w:tabs>
        <w:tab w:val="center" w:pos="4252"/>
        <w:tab w:val="right" w:pos="8504"/>
      </w:tabs>
    </w:pPr>
  </w:style>
  <w:style w:type="character" w:customStyle="1" w:styleId="PiedepginaCar">
    <w:name w:val="Pie de página Car"/>
    <w:link w:val="Piedepgina"/>
    <w:uiPriority w:val="99"/>
    <w:rsid w:val="002B6701"/>
    <w:rPr>
      <w:rFonts w:eastAsia="Times New Roman" w:cs="Times New Roman"/>
      <w:color w:val="auto"/>
      <w:lang w:eastAsia="es-MX"/>
    </w:rPr>
  </w:style>
  <w:style w:type="character" w:styleId="Nmerodepgina">
    <w:name w:val="page number"/>
    <w:basedOn w:val="Fuentedeprrafopredeter"/>
    <w:rsid w:val="002B6701"/>
  </w:style>
  <w:style w:type="paragraph" w:styleId="Encabezado">
    <w:name w:val="header"/>
    <w:basedOn w:val="Normal"/>
    <w:link w:val="EncabezadoCar"/>
    <w:rsid w:val="002B6701"/>
    <w:pPr>
      <w:tabs>
        <w:tab w:val="center" w:pos="4252"/>
        <w:tab w:val="right" w:pos="8504"/>
      </w:tabs>
    </w:pPr>
  </w:style>
  <w:style w:type="character" w:customStyle="1" w:styleId="EncabezadoCar">
    <w:name w:val="Encabezado Car"/>
    <w:link w:val="Encabezado"/>
    <w:rsid w:val="002B6701"/>
    <w:rPr>
      <w:rFonts w:eastAsia="Times New Roman" w:cs="Times New Roman"/>
      <w:color w:val="auto"/>
      <w:lang w:eastAsia="es-MX"/>
    </w:rPr>
  </w:style>
  <w:style w:type="paragraph" w:styleId="Sangradetextonormal">
    <w:name w:val="Body Text Indent"/>
    <w:basedOn w:val="Normal"/>
    <w:link w:val="SangradetextonormalCar"/>
    <w:uiPriority w:val="99"/>
    <w:rsid w:val="002B6701"/>
    <w:pPr>
      <w:spacing w:line="480" w:lineRule="auto"/>
      <w:ind w:firstLine="708"/>
    </w:pPr>
    <w:rPr>
      <w:rFonts w:ascii="Univers" w:hAnsi="Univers" w:cs="Arial"/>
      <w:lang w:val="es-ES" w:eastAsia="es-ES"/>
    </w:rPr>
  </w:style>
  <w:style w:type="character" w:customStyle="1" w:styleId="SangradetextonormalCar">
    <w:name w:val="Sangría de texto normal Car"/>
    <w:link w:val="Sangradetextonormal"/>
    <w:uiPriority w:val="99"/>
    <w:rsid w:val="002B6701"/>
    <w:rPr>
      <w:rFonts w:ascii="Univers" w:eastAsia="Times New Roman" w:hAnsi="Univers"/>
      <w:color w:val="auto"/>
      <w:lang w:val="es-ES" w:eastAsia="es-ES"/>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B6701"/>
    <w:pPr>
      <w:ind w:left="720"/>
      <w:contextualSpacing/>
    </w:pPr>
  </w:style>
  <w:style w:type="table" w:styleId="Tablaconcuadrcula">
    <w:name w:val="Table Grid"/>
    <w:basedOn w:val="Tablanormal"/>
    <w:uiPriority w:val="39"/>
    <w:rsid w:val="002B6701"/>
    <w:rPr>
      <w:rFonts w:ascii="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2B6701"/>
    <w:rPr>
      <w:rFonts w:ascii="Calibri" w:eastAsia="Calibri" w:hAnsi="Calibri"/>
      <w:sz w:val="20"/>
      <w:szCs w:val="20"/>
      <w:lang w:eastAsia="en-US"/>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2B6701"/>
    <w:rPr>
      <w:rFonts w:ascii="Calibri" w:hAnsi="Calibri" w:cs="Times New Roman"/>
      <w:color w:val="auto"/>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2B6701"/>
    <w:rPr>
      <w:vertAlign w:val="superscript"/>
    </w:rPr>
  </w:style>
  <w:style w:type="paragraph" w:styleId="Textodeglobo">
    <w:name w:val="Balloon Text"/>
    <w:basedOn w:val="Normal"/>
    <w:link w:val="TextodegloboCar"/>
    <w:uiPriority w:val="99"/>
    <w:semiHidden/>
    <w:unhideWhenUsed/>
    <w:rsid w:val="002B1C22"/>
    <w:rPr>
      <w:rFonts w:ascii="Segoe UI" w:hAnsi="Segoe UI" w:cs="Segoe UI"/>
      <w:sz w:val="18"/>
      <w:szCs w:val="18"/>
    </w:rPr>
  </w:style>
  <w:style w:type="character" w:customStyle="1" w:styleId="TextodegloboCar">
    <w:name w:val="Texto de globo Car"/>
    <w:link w:val="Textodeglobo"/>
    <w:uiPriority w:val="99"/>
    <w:semiHidden/>
    <w:rsid w:val="002B1C22"/>
    <w:rPr>
      <w:rFonts w:ascii="Segoe UI" w:eastAsia="Times New Roman" w:hAnsi="Segoe UI" w:cs="Segoe UI"/>
      <w:color w:val="auto"/>
      <w:sz w:val="18"/>
      <w:szCs w:val="18"/>
      <w:lang w:eastAsia="es-MX"/>
    </w:rPr>
  </w:style>
  <w:style w:type="character" w:styleId="Hipervnculo">
    <w:name w:val="Hyperlink"/>
    <w:uiPriority w:val="99"/>
    <w:unhideWhenUsed/>
    <w:rsid w:val="00044B49"/>
    <w:rPr>
      <w:color w:val="0563C1"/>
      <w:u w:val="single"/>
    </w:rPr>
  </w:style>
  <w:style w:type="paragraph" w:customStyle="1" w:styleId="Default">
    <w:name w:val="Default"/>
    <w:qFormat/>
    <w:rsid w:val="00261442"/>
    <w:pPr>
      <w:autoSpaceDE w:val="0"/>
      <w:autoSpaceDN w:val="0"/>
      <w:adjustRightInd w:val="0"/>
    </w:pPr>
    <w:rPr>
      <w:color w:val="000000"/>
      <w:sz w:val="24"/>
      <w:szCs w:val="24"/>
      <w:lang w:eastAsia="en-US"/>
    </w:rPr>
  </w:style>
  <w:style w:type="paragraph" w:styleId="Textocomentario">
    <w:name w:val="annotation text"/>
    <w:basedOn w:val="Normal"/>
    <w:link w:val="TextocomentarioCar"/>
    <w:uiPriority w:val="99"/>
    <w:semiHidden/>
    <w:unhideWhenUsed/>
    <w:rsid w:val="00F44CC0"/>
    <w:rPr>
      <w:sz w:val="20"/>
      <w:szCs w:val="20"/>
    </w:rPr>
  </w:style>
  <w:style w:type="character" w:customStyle="1" w:styleId="TextocomentarioCar">
    <w:name w:val="Texto comentario Car"/>
    <w:link w:val="Textocomentario"/>
    <w:uiPriority w:val="99"/>
    <w:semiHidden/>
    <w:rsid w:val="00F44CC0"/>
    <w:rPr>
      <w:rFonts w:eastAsia="Times New Roman" w:cs="Times New Roman"/>
      <w:color w:val="auto"/>
      <w:sz w:val="20"/>
      <w:szCs w:val="20"/>
      <w:lang w:eastAsia="es-MX"/>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link w:val="Prrafodelista"/>
    <w:uiPriority w:val="34"/>
    <w:qFormat/>
    <w:locked/>
    <w:rsid w:val="004939E9"/>
    <w:rPr>
      <w:rFonts w:eastAsia="Times New Roman" w:cs="Times New Roman"/>
      <w:color w:val="auto"/>
      <w:lang w:eastAsia="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7F34B5"/>
    <w:pPr>
      <w:jc w:val="both"/>
    </w:pPr>
    <w:rPr>
      <w:rFonts w:eastAsia="Calibri" w:cs="Arial"/>
      <w:color w:val="000000"/>
      <w:vertAlign w:val="superscript"/>
      <w:lang w:eastAsia="en-US"/>
    </w:rPr>
  </w:style>
  <w:style w:type="table" w:customStyle="1" w:styleId="Estilo1">
    <w:name w:val="Estilo1"/>
    <w:basedOn w:val="Tablaweb1"/>
    <w:uiPriority w:val="99"/>
    <w:rsid w:val="0082790A"/>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82790A"/>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comentario">
    <w:name w:val="annotation reference"/>
    <w:uiPriority w:val="99"/>
    <w:semiHidden/>
    <w:unhideWhenUsed/>
    <w:rsid w:val="009514F0"/>
    <w:rPr>
      <w:sz w:val="16"/>
      <w:szCs w:val="16"/>
    </w:rPr>
  </w:style>
  <w:style w:type="paragraph" w:styleId="Asuntodelcomentario">
    <w:name w:val="annotation subject"/>
    <w:basedOn w:val="Textocomentario"/>
    <w:next w:val="Textocomentario"/>
    <w:link w:val="AsuntodelcomentarioCar"/>
    <w:uiPriority w:val="99"/>
    <w:semiHidden/>
    <w:unhideWhenUsed/>
    <w:rsid w:val="009514F0"/>
    <w:rPr>
      <w:b/>
      <w:bCs/>
    </w:rPr>
  </w:style>
  <w:style w:type="character" w:customStyle="1" w:styleId="AsuntodelcomentarioCar">
    <w:name w:val="Asunto del comentario Car"/>
    <w:link w:val="Asuntodelcomentario"/>
    <w:uiPriority w:val="99"/>
    <w:semiHidden/>
    <w:rsid w:val="009514F0"/>
    <w:rPr>
      <w:rFonts w:eastAsia="Times New Roman" w:cs="Times New Roman"/>
      <w:b/>
      <w:bCs/>
      <w:color w:val="auto"/>
      <w:sz w:val="20"/>
      <w:szCs w:val="20"/>
      <w:lang w:eastAsia="es-MX"/>
    </w:rPr>
  </w:style>
  <w:style w:type="character" w:styleId="Mencinsinresolver">
    <w:name w:val="Unresolved Mention"/>
    <w:uiPriority w:val="99"/>
    <w:semiHidden/>
    <w:unhideWhenUsed/>
    <w:rsid w:val="00E20E6C"/>
    <w:rPr>
      <w:color w:val="605E5C"/>
      <w:shd w:val="clear" w:color="auto" w:fill="E1DFDD"/>
    </w:rPr>
  </w:style>
  <w:style w:type="character" w:customStyle="1" w:styleId="Ttulo1Car">
    <w:name w:val="Título 1 Car"/>
    <w:link w:val="Ttulo1"/>
    <w:uiPriority w:val="9"/>
    <w:rsid w:val="002056F0"/>
    <w:rPr>
      <w:rFonts w:eastAsia="Arial"/>
      <w:b/>
      <w:color w:val="000000"/>
      <w:sz w:val="28"/>
      <w:szCs w:val="22"/>
    </w:rPr>
  </w:style>
  <w:style w:type="character" w:customStyle="1" w:styleId="Ttulo2Car">
    <w:name w:val="Título 2 Car"/>
    <w:link w:val="Ttulo2"/>
    <w:uiPriority w:val="9"/>
    <w:rsid w:val="002056F0"/>
    <w:rPr>
      <w:rFonts w:eastAsia="Arial"/>
      <w:b/>
      <w:i/>
      <w:color w:val="000000"/>
      <w:sz w:val="28"/>
      <w:szCs w:val="22"/>
    </w:rPr>
  </w:style>
  <w:style w:type="character" w:customStyle="1" w:styleId="Ttulo3Car">
    <w:name w:val="Título 3 Car"/>
    <w:link w:val="Ttulo3"/>
    <w:uiPriority w:val="9"/>
    <w:rsid w:val="002056F0"/>
    <w:rPr>
      <w:rFonts w:eastAsia="Arial"/>
      <w:b/>
      <w:color w:val="000000"/>
      <w:sz w:val="28"/>
      <w:szCs w:val="22"/>
    </w:rPr>
  </w:style>
  <w:style w:type="numbering" w:customStyle="1" w:styleId="Sinlista1">
    <w:name w:val="Sin lista1"/>
    <w:next w:val="Sinlista"/>
    <w:uiPriority w:val="99"/>
    <w:semiHidden/>
    <w:unhideWhenUsed/>
    <w:rsid w:val="002056F0"/>
  </w:style>
  <w:style w:type="paragraph" w:customStyle="1" w:styleId="footnotedescription">
    <w:name w:val="footnote description"/>
    <w:next w:val="Normal"/>
    <w:link w:val="footnotedescriptionChar"/>
    <w:hidden/>
    <w:rsid w:val="002056F0"/>
    <w:rPr>
      <w:rFonts w:eastAsia="Arial"/>
      <w:color w:val="000000"/>
      <w:sz w:val="22"/>
      <w:szCs w:val="22"/>
    </w:rPr>
  </w:style>
  <w:style w:type="character" w:customStyle="1" w:styleId="footnotedescriptionChar">
    <w:name w:val="footnote description Char"/>
    <w:link w:val="footnotedescription"/>
    <w:rsid w:val="002056F0"/>
    <w:rPr>
      <w:rFonts w:eastAsia="Arial"/>
      <w:color w:val="000000"/>
      <w:sz w:val="22"/>
      <w:szCs w:val="22"/>
    </w:rPr>
  </w:style>
  <w:style w:type="character" w:customStyle="1" w:styleId="footnotemark">
    <w:name w:val="footnote mark"/>
    <w:hidden/>
    <w:rsid w:val="002056F0"/>
    <w:rPr>
      <w:rFonts w:ascii="Times New Roman" w:eastAsia="Times New Roman" w:hAnsi="Times New Roman" w:cs="Times New Roman"/>
      <w:color w:val="000000"/>
      <w:sz w:val="20"/>
      <w:vertAlign w:val="superscript"/>
    </w:rPr>
  </w:style>
  <w:style w:type="table" w:customStyle="1" w:styleId="Tablaconcuadrcula1">
    <w:name w:val="Tabla con cuadrícula1"/>
    <w:basedOn w:val="Tablanormal"/>
    <w:next w:val="Tablaconcuadrcula"/>
    <w:uiPriority w:val="39"/>
    <w:rsid w:val="002056F0"/>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aliases w:val="Normal (Web) Car1 Car,Normal (Web) Car Car Car,Normal (Web) Car1 Car Car Car,Normal (Web) Car Car Car Car Car,Normal (Web) Car Car Car Car Car Car Car,Normal (Web) Car Car Car Car Car Car Car Car Car Car Car,Car Car Car Car Car,C Car"/>
    <w:link w:val="NormalWeb"/>
    <w:uiPriority w:val="99"/>
    <w:qFormat/>
    <w:locked/>
    <w:rsid w:val="002056F0"/>
    <w:rPr>
      <w:rFonts w:ascii="Times New Roman" w:eastAsia="Times New Roman" w:hAnsi="Times New Roman" w:cs="Times New Roman"/>
      <w:sz w:val="24"/>
      <w:szCs w:val="24"/>
      <w:lang w:val="es-ES" w:eastAsia="es-ES"/>
    </w:rPr>
  </w:style>
  <w:style w:type="character" w:customStyle="1" w:styleId="bold">
    <w:name w:val="bold"/>
    <w:basedOn w:val="Fuentedeprrafopredeter"/>
    <w:rsid w:val="002056F0"/>
  </w:style>
  <w:style w:type="character" w:styleId="Textoennegrita">
    <w:name w:val="Strong"/>
    <w:uiPriority w:val="22"/>
    <w:qFormat/>
    <w:rsid w:val="002056F0"/>
    <w:rPr>
      <w:b/>
      <w:bCs/>
    </w:rPr>
  </w:style>
  <w:style w:type="character" w:customStyle="1" w:styleId="ng-star-inserted">
    <w:name w:val="ng-star-inserted"/>
    <w:basedOn w:val="Fuentedeprrafopredeter"/>
    <w:rsid w:val="002056F0"/>
  </w:style>
  <w:style w:type="character" w:customStyle="1" w:styleId="NormalNmeradoCar">
    <w:name w:val="Normal Númerado Car"/>
    <w:link w:val="NormalNmerado"/>
    <w:semiHidden/>
    <w:locked/>
    <w:rsid w:val="002056F0"/>
    <w:rPr>
      <w:rFonts w:ascii="Univers" w:eastAsia="Arial Unicode MS" w:hAnsi="Univers"/>
      <w:bCs/>
      <w:iCs/>
      <w:sz w:val="28"/>
      <w:szCs w:val="28"/>
    </w:rPr>
  </w:style>
  <w:style w:type="paragraph" w:customStyle="1" w:styleId="NormalNmerado">
    <w:name w:val="Normal Númerado"/>
    <w:basedOn w:val="NormalWeb"/>
    <w:link w:val="NormalNmeradoCar"/>
    <w:semiHidden/>
    <w:qFormat/>
    <w:rsid w:val="002056F0"/>
    <w:pPr>
      <w:widowControl w:val="0"/>
      <w:numPr>
        <w:numId w:val="1"/>
      </w:numPr>
      <w:spacing w:before="240" w:beforeAutospacing="0" w:after="240" w:afterAutospacing="0" w:line="360" w:lineRule="auto"/>
      <w:jc w:val="both"/>
    </w:pPr>
    <w:rPr>
      <w:rFonts w:ascii="Univers" w:eastAsia="Arial Unicode MS" w:hAnsi="Univers" w:cs="Arial"/>
      <w:bCs/>
      <w:iCs/>
      <w:sz w:val="28"/>
      <w:szCs w:val="28"/>
      <w:lang w:val="es-MX" w:eastAsia="es-MX"/>
    </w:rPr>
  </w:style>
  <w:style w:type="table" w:styleId="Tablaconcuadrcula4-nfasis6">
    <w:name w:val="Grid Table 4 Accent 6"/>
    <w:basedOn w:val="Tablanormal"/>
    <w:uiPriority w:val="49"/>
    <w:rsid w:val="002056F0"/>
    <w:rPr>
      <w:rFonts w:ascii="Calibri" w:hAnsi="Calibri" w:cs="Times New Roman"/>
      <w:lang w:eastAsia="en-US"/>
    </w:rPr>
    <w:tblPr>
      <w:tblStyleRowBandSize w:val="1"/>
      <w:tblStyleColBandSize w:val="1"/>
      <w:tblInd w:w="0" w:type="nil"/>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character" w:styleId="nfasis">
    <w:name w:val="Emphasis"/>
    <w:uiPriority w:val="20"/>
    <w:qFormat/>
    <w:rsid w:val="002056F0"/>
    <w:rPr>
      <w:i/>
      <w:iCs/>
    </w:rPr>
  </w:style>
  <w:style w:type="paragraph" w:styleId="Sinespaciado">
    <w:name w:val="No Spacing"/>
    <w:link w:val="SinespaciadoCar"/>
    <w:uiPriority w:val="1"/>
    <w:qFormat/>
    <w:rsid w:val="002056F0"/>
    <w:rPr>
      <w:rFonts w:ascii="Calibri" w:hAnsi="Calibri" w:cs="Times New Roman"/>
      <w:kern w:val="2"/>
      <w:sz w:val="22"/>
      <w:szCs w:val="22"/>
      <w:lang w:eastAsia="en-US"/>
    </w:rPr>
  </w:style>
  <w:style w:type="character" w:customStyle="1" w:styleId="SinespaciadoCar">
    <w:name w:val="Sin espaciado Car"/>
    <w:link w:val="Sinespaciado"/>
    <w:uiPriority w:val="1"/>
    <w:rsid w:val="002056F0"/>
    <w:rPr>
      <w:rFonts w:ascii="Calibri" w:hAnsi="Calibri" w:cs="Times New Roman"/>
      <w:kern w:val="2"/>
      <w:sz w:val="22"/>
      <w:szCs w:val="22"/>
      <w:lang w:eastAsia="en-US"/>
    </w:rPr>
  </w:style>
  <w:style w:type="paragraph" w:customStyle="1" w:styleId="s9">
    <w:name w:val="s9"/>
    <w:basedOn w:val="Normal"/>
    <w:rsid w:val="00AA576E"/>
    <w:pPr>
      <w:spacing w:before="100" w:beforeAutospacing="1" w:after="100" w:afterAutospacing="1"/>
    </w:pPr>
    <w:rPr>
      <w:rFonts w:ascii="Times New Roman" w:hAnsi="Times New Roman"/>
      <w:sz w:val="24"/>
      <w:szCs w:val="24"/>
    </w:rPr>
  </w:style>
  <w:style w:type="character" w:customStyle="1" w:styleId="bumpedfont15">
    <w:name w:val="bumpedfont15"/>
    <w:basedOn w:val="Fuentedeprrafopredeter"/>
    <w:rsid w:val="00AA576E"/>
  </w:style>
  <w:style w:type="character" w:customStyle="1" w:styleId="apple-converted-space">
    <w:name w:val="apple-converted-space"/>
    <w:basedOn w:val="Fuentedeprrafopredeter"/>
    <w:rsid w:val="00AA576E"/>
  </w:style>
  <w:style w:type="paragraph" w:customStyle="1" w:styleId="pf0">
    <w:name w:val="pf0"/>
    <w:basedOn w:val="Normal"/>
    <w:rsid w:val="00F93FEC"/>
    <w:pPr>
      <w:spacing w:before="100" w:beforeAutospacing="1" w:after="100" w:afterAutospacing="1"/>
    </w:pPr>
    <w:rPr>
      <w:rFonts w:ascii="Times New Roman" w:hAnsi="Times New Roman"/>
      <w:sz w:val="24"/>
      <w:szCs w:val="24"/>
    </w:rPr>
  </w:style>
  <w:style w:type="character" w:customStyle="1" w:styleId="cf01">
    <w:name w:val="cf01"/>
    <w:rsid w:val="00F93FEC"/>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931631">
      <w:bodyDiv w:val="1"/>
      <w:marLeft w:val="0"/>
      <w:marRight w:val="0"/>
      <w:marTop w:val="0"/>
      <w:marBottom w:val="0"/>
      <w:divBdr>
        <w:top w:val="none" w:sz="0" w:space="0" w:color="auto"/>
        <w:left w:val="none" w:sz="0" w:space="0" w:color="auto"/>
        <w:bottom w:val="none" w:sz="0" w:space="0" w:color="auto"/>
        <w:right w:val="none" w:sz="0" w:space="0" w:color="auto"/>
      </w:divBdr>
    </w:div>
    <w:div w:id="286082953">
      <w:bodyDiv w:val="1"/>
      <w:marLeft w:val="0"/>
      <w:marRight w:val="0"/>
      <w:marTop w:val="0"/>
      <w:marBottom w:val="0"/>
      <w:divBdr>
        <w:top w:val="none" w:sz="0" w:space="0" w:color="auto"/>
        <w:left w:val="none" w:sz="0" w:space="0" w:color="auto"/>
        <w:bottom w:val="none" w:sz="0" w:space="0" w:color="auto"/>
        <w:right w:val="none" w:sz="0" w:space="0" w:color="auto"/>
      </w:divBdr>
    </w:div>
    <w:div w:id="315381412">
      <w:bodyDiv w:val="1"/>
      <w:marLeft w:val="0"/>
      <w:marRight w:val="0"/>
      <w:marTop w:val="0"/>
      <w:marBottom w:val="0"/>
      <w:divBdr>
        <w:top w:val="none" w:sz="0" w:space="0" w:color="auto"/>
        <w:left w:val="none" w:sz="0" w:space="0" w:color="auto"/>
        <w:bottom w:val="none" w:sz="0" w:space="0" w:color="auto"/>
        <w:right w:val="none" w:sz="0" w:space="0" w:color="auto"/>
      </w:divBdr>
    </w:div>
    <w:div w:id="321741849">
      <w:bodyDiv w:val="1"/>
      <w:marLeft w:val="0"/>
      <w:marRight w:val="0"/>
      <w:marTop w:val="0"/>
      <w:marBottom w:val="0"/>
      <w:divBdr>
        <w:top w:val="none" w:sz="0" w:space="0" w:color="auto"/>
        <w:left w:val="none" w:sz="0" w:space="0" w:color="auto"/>
        <w:bottom w:val="none" w:sz="0" w:space="0" w:color="auto"/>
        <w:right w:val="none" w:sz="0" w:space="0" w:color="auto"/>
      </w:divBdr>
      <w:divsChild>
        <w:div w:id="1094975635">
          <w:marLeft w:val="0"/>
          <w:marRight w:val="0"/>
          <w:marTop w:val="0"/>
          <w:marBottom w:val="0"/>
          <w:divBdr>
            <w:top w:val="none" w:sz="0" w:space="0" w:color="auto"/>
            <w:left w:val="none" w:sz="0" w:space="0" w:color="auto"/>
            <w:bottom w:val="none" w:sz="0" w:space="0" w:color="auto"/>
            <w:right w:val="none" w:sz="0" w:space="0" w:color="auto"/>
          </w:divBdr>
          <w:divsChild>
            <w:div w:id="345906673">
              <w:marLeft w:val="0"/>
              <w:marRight w:val="0"/>
              <w:marTop w:val="0"/>
              <w:marBottom w:val="0"/>
              <w:divBdr>
                <w:top w:val="none" w:sz="0" w:space="0" w:color="auto"/>
                <w:left w:val="none" w:sz="0" w:space="0" w:color="auto"/>
                <w:bottom w:val="none" w:sz="0" w:space="0" w:color="auto"/>
                <w:right w:val="none" w:sz="0" w:space="0" w:color="auto"/>
              </w:divBdr>
              <w:divsChild>
                <w:div w:id="761730659">
                  <w:marLeft w:val="-420"/>
                  <w:marRight w:val="0"/>
                  <w:marTop w:val="0"/>
                  <w:marBottom w:val="0"/>
                  <w:divBdr>
                    <w:top w:val="none" w:sz="0" w:space="0" w:color="auto"/>
                    <w:left w:val="none" w:sz="0" w:space="0" w:color="auto"/>
                    <w:bottom w:val="none" w:sz="0" w:space="0" w:color="auto"/>
                    <w:right w:val="none" w:sz="0" w:space="0" w:color="auto"/>
                  </w:divBdr>
                  <w:divsChild>
                    <w:div w:id="230966208">
                      <w:marLeft w:val="0"/>
                      <w:marRight w:val="0"/>
                      <w:marTop w:val="0"/>
                      <w:marBottom w:val="0"/>
                      <w:divBdr>
                        <w:top w:val="none" w:sz="0" w:space="0" w:color="auto"/>
                        <w:left w:val="none" w:sz="0" w:space="0" w:color="auto"/>
                        <w:bottom w:val="none" w:sz="0" w:space="0" w:color="auto"/>
                        <w:right w:val="none" w:sz="0" w:space="0" w:color="auto"/>
                      </w:divBdr>
                      <w:divsChild>
                        <w:div w:id="2117553768">
                          <w:marLeft w:val="0"/>
                          <w:marRight w:val="0"/>
                          <w:marTop w:val="0"/>
                          <w:marBottom w:val="0"/>
                          <w:divBdr>
                            <w:top w:val="none" w:sz="0" w:space="0" w:color="auto"/>
                            <w:left w:val="none" w:sz="0" w:space="0" w:color="auto"/>
                            <w:bottom w:val="none" w:sz="0" w:space="0" w:color="auto"/>
                            <w:right w:val="none" w:sz="0" w:space="0" w:color="auto"/>
                          </w:divBdr>
                          <w:divsChild>
                            <w:div w:id="1172333104">
                              <w:marLeft w:val="0"/>
                              <w:marRight w:val="0"/>
                              <w:marTop w:val="0"/>
                              <w:marBottom w:val="0"/>
                              <w:divBdr>
                                <w:top w:val="none" w:sz="0" w:space="0" w:color="auto"/>
                                <w:left w:val="none" w:sz="0" w:space="0" w:color="auto"/>
                                <w:bottom w:val="none" w:sz="0" w:space="0" w:color="auto"/>
                                <w:right w:val="none" w:sz="0" w:space="0" w:color="auto"/>
                              </w:divBdr>
                            </w:div>
                            <w:div w:id="163440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114933">
                  <w:marLeft w:val="-420"/>
                  <w:marRight w:val="0"/>
                  <w:marTop w:val="0"/>
                  <w:marBottom w:val="0"/>
                  <w:divBdr>
                    <w:top w:val="none" w:sz="0" w:space="0" w:color="auto"/>
                    <w:left w:val="none" w:sz="0" w:space="0" w:color="auto"/>
                    <w:bottom w:val="none" w:sz="0" w:space="0" w:color="auto"/>
                    <w:right w:val="none" w:sz="0" w:space="0" w:color="auto"/>
                  </w:divBdr>
                  <w:divsChild>
                    <w:div w:id="856043071">
                      <w:marLeft w:val="0"/>
                      <w:marRight w:val="0"/>
                      <w:marTop w:val="0"/>
                      <w:marBottom w:val="0"/>
                      <w:divBdr>
                        <w:top w:val="none" w:sz="0" w:space="0" w:color="auto"/>
                        <w:left w:val="none" w:sz="0" w:space="0" w:color="auto"/>
                        <w:bottom w:val="none" w:sz="0" w:space="0" w:color="auto"/>
                        <w:right w:val="none" w:sz="0" w:space="0" w:color="auto"/>
                      </w:divBdr>
                      <w:divsChild>
                        <w:div w:id="1256862037">
                          <w:marLeft w:val="0"/>
                          <w:marRight w:val="0"/>
                          <w:marTop w:val="0"/>
                          <w:marBottom w:val="0"/>
                          <w:divBdr>
                            <w:top w:val="none" w:sz="0" w:space="0" w:color="auto"/>
                            <w:left w:val="none" w:sz="0" w:space="0" w:color="auto"/>
                            <w:bottom w:val="none" w:sz="0" w:space="0" w:color="auto"/>
                            <w:right w:val="none" w:sz="0" w:space="0" w:color="auto"/>
                          </w:divBdr>
                          <w:divsChild>
                            <w:div w:id="1548910016">
                              <w:marLeft w:val="0"/>
                              <w:marRight w:val="0"/>
                              <w:marTop w:val="0"/>
                              <w:marBottom w:val="0"/>
                              <w:divBdr>
                                <w:top w:val="none" w:sz="0" w:space="0" w:color="auto"/>
                                <w:left w:val="none" w:sz="0" w:space="0" w:color="auto"/>
                                <w:bottom w:val="none" w:sz="0" w:space="0" w:color="auto"/>
                                <w:right w:val="none" w:sz="0" w:space="0" w:color="auto"/>
                              </w:divBdr>
                            </w:div>
                            <w:div w:id="197283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603567">
                  <w:marLeft w:val="-420"/>
                  <w:marRight w:val="0"/>
                  <w:marTop w:val="0"/>
                  <w:marBottom w:val="0"/>
                  <w:divBdr>
                    <w:top w:val="none" w:sz="0" w:space="0" w:color="auto"/>
                    <w:left w:val="none" w:sz="0" w:space="0" w:color="auto"/>
                    <w:bottom w:val="none" w:sz="0" w:space="0" w:color="auto"/>
                    <w:right w:val="none" w:sz="0" w:space="0" w:color="auto"/>
                  </w:divBdr>
                  <w:divsChild>
                    <w:div w:id="1227641697">
                      <w:marLeft w:val="0"/>
                      <w:marRight w:val="0"/>
                      <w:marTop w:val="0"/>
                      <w:marBottom w:val="0"/>
                      <w:divBdr>
                        <w:top w:val="none" w:sz="0" w:space="0" w:color="auto"/>
                        <w:left w:val="none" w:sz="0" w:space="0" w:color="auto"/>
                        <w:bottom w:val="none" w:sz="0" w:space="0" w:color="auto"/>
                        <w:right w:val="none" w:sz="0" w:space="0" w:color="auto"/>
                      </w:divBdr>
                      <w:divsChild>
                        <w:div w:id="1157723783">
                          <w:marLeft w:val="0"/>
                          <w:marRight w:val="0"/>
                          <w:marTop w:val="0"/>
                          <w:marBottom w:val="0"/>
                          <w:divBdr>
                            <w:top w:val="none" w:sz="0" w:space="0" w:color="auto"/>
                            <w:left w:val="none" w:sz="0" w:space="0" w:color="auto"/>
                            <w:bottom w:val="none" w:sz="0" w:space="0" w:color="auto"/>
                            <w:right w:val="none" w:sz="0" w:space="0" w:color="auto"/>
                          </w:divBdr>
                          <w:divsChild>
                            <w:div w:id="467285948">
                              <w:marLeft w:val="0"/>
                              <w:marRight w:val="0"/>
                              <w:marTop w:val="0"/>
                              <w:marBottom w:val="0"/>
                              <w:divBdr>
                                <w:top w:val="none" w:sz="0" w:space="0" w:color="auto"/>
                                <w:left w:val="none" w:sz="0" w:space="0" w:color="auto"/>
                                <w:bottom w:val="none" w:sz="0" w:space="0" w:color="auto"/>
                                <w:right w:val="none" w:sz="0" w:space="0" w:color="auto"/>
                              </w:divBdr>
                            </w:div>
                            <w:div w:id="135326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113653">
                  <w:marLeft w:val="-420"/>
                  <w:marRight w:val="0"/>
                  <w:marTop w:val="0"/>
                  <w:marBottom w:val="0"/>
                  <w:divBdr>
                    <w:top w:val="none" w:sz="0" w:space="0" w:color="auto"/>
                    <w:left w:val="none" w:sz="0" w:space="0" w:color="auto"/>
                    <w:bottom w:val="none" w:sz="0" w:space="0" w:color="auto"/>
                    <w:right w:val="none" w:sz="0" w:space="0" w:color="auto"/>
                  </w:divBdr>
                  <w:divsChild>
                    <w:div w:id="934167272">
                      <w:marLeft w:val="0"/>
                      <w:marRight w:val="0"/>
                      <w:marTop w:val="0"/>
                      <w:marBottom w:val="0"/>
                      <w:divBdr>
                        <w:top w:val="none" w:sz="0" w:space="0" w:color="auto"/>
                        <w:left w:val="none" w:sz="0" w:space="0" w:color="auto"/>
                        <w:bottom w:val="none" w:sz="0" w:space="0" w:color="auto"/>
                        <w:right w:val="none" w:sz="0" w:space="0" w:color="auto"/>
                      </w:divBdr>
                      <w:divsChild>
                        <w:div w:id="1718431258">
                          <w:marLeft w:val="0"/>
                          <w:marRight w:val="0"/>
                          <w:marTop w:val="0"/>
                          <w:marBottom w:val="0"/>
                          <w:divBdr>
                            <w:top w:val="none" w:sz="0" w:space="0" w:color="auto"/>
                            <w:left w:val="none" w:sz="0" w:space="0" w:color="auto"/>
                            <w:bottom w:val="none" w:sz="0" w:space="0" w:color="auto"/>
                            <w:right w:val="none" w:sz="0" w:space="0" w:color="auto"/>
                          </w:divBdr>
                          <w:divsChild>
                            <w:div w:id="278531085">
                              <w:marLeft w:val="0"/>
                              <w:marRight w:val="0"/>
                              <w:marTop w:val="0"/>
                              <w:marBottom w:val="0"/>
                              <w:divBdr>
                                <w:top w:val="none" w:sz="0" w:space="0" w:color="auto"/>
                                <w:left w:val="none" w:sz="0" w:space="0" w:color="auto"/>
                                <w:bottom w:val="none" w:sz="0" w:space="0" w:color="auto"/>
                                <w:right w:val="none" w:sz="0" w:space="0" w:color="auto"/>
                              </w:divBdr>
                            </w:div>
                            <w:div w:id="1516459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539949">
                  <w:marLeft w:val="-420"/>
                  <w:marRight w:val="0"/>
                  <w:marTop w:val="0"/>
                  <w:marBottom w:val="0"/>
                  <w:divBdr>
                    <w:top w:val="none" w:sz="0" w:space="0" w:color="auto"/>
                    <w:left w:val="none" w:sz="0" w:space="0" w:color="auto"/>
                    <w:bottom w:val="none" w:sz="0" w:space="0" w:color="auto"/>
                    <w:right w:val="none" w:sz="0" w:space="0" w:color="auto"/>
                  </w:divBdr>
                  <w:divsChild>
                    <w:div w:id="1149397332">
                      <w:marLeft w:val="0"/>
                      <w:marRight w:val="0"/>
                      <w:marTop w:val="0"/>
                      <w:marBottom w:val="0"/>
                      <w:divBdr>
                        <w:top w:val="none" w:sz="0" w:space="0" w:color="auto"/>
                        <w:left w:val="none" w:sz="0" w:space="0" w:color="auto"/>
                        <w:bottom w:val="none" w:sz="0" w:space="0" w:color="auto"/>
                        <w:right w:val="none" w:sz="0" w:space="0" w:color="auto"/>
                      </w:divBdr>
                      <w:divsChild>
                        <w:div w:id="262492110">
                          <w:marLeft w:val="0"/>
                          <w:marRight w:val="0"/>
                          <w:marTop w:val="0"/>
                          <w:marBottom w:val="0"/>
                          <w:divBdr>
                            <w:top w:val="none" w:sz="0" w:space="0" w:color="auto"/>
                            <w:left w:val="none" w:sz="0" w:space="0" w:color="auto"/>
                            <w:bottom w:val="none" w:sz="0" w:space="0" w:color="auto"/>
                            <w:right w:val="none" w:sz="0" w:space="0" w:color="auto"/>
                          </w:divBdr>
                          <w:divsChild>
                            <w:div w:id="797069036">
                              <w:marLeft w:val="0"/>
                              <w:marRight w:val="0"/>
                              <w:marTop w:val="0"/>
                              <w:marBottom w:val="0"/>
                              <w:divBdr>
                                <w:top w:val="none" w:sz="0" w:space="0" w:color="auto"/>
                                <w:left w:val="none" w:sz="0" w:space="0" w:color="auto"/>
                                <w:bottom w:val="none" w:sz="0" w:space="0" w:color="auto"/>
                                <w:right w:val="none" w:sz="0" w:space="0" w:color="auto"/>
                              </w:divBdr>
                            </w:div>
                            <w:div w:id="147602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8580649">
          <w:marLeft w:val="0"/>
          <w:marRight w:val="0"/>
          <w:marTop w:val="0"/>
          <w:marBottom w:val="0"/>
          <w:divBdr>
            <w:top w:val="none" w:sz="0" w:space="0" w:color="auto"/>
            <w:left w:val="none" w:sz="0" w:space="0" w:color="auto"/>
            <w:bottom w:val="none" w:sz="0" w:space="0" w:color="auto"/>
            <w:right w:val="none" w:sz="0" w:space="0" w:color="auto"/>
          </w:divBdr>
          <w:divsChild>
            <w:div w:id="1130241650">
              <w:marLeft w:val="0"/>
              <w:marRight w:val="0"/>
              <w:marTop w:val="0"/>
              <w:marBottom w:val="0"/>
              <w:divBdr>
                <w:top w:val="none" w:sz="0" w:space="0" w:color="auto"/>
                <w:left w:val="none" w:sz="0" w:space="0" w:color="auto"/>
                <w:bottom w:val="none" w:sz="0" w:space="0" w:color="auto"/>
                <w:right w:val="none" w:sz="0" w:space="0" w:color="auto"/>
              </w:divBdr>
              <w:divsChild>
                <w:div w:id="42326301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sChild>
    </w:div>
    <w:div w:id="463498987">
      <w:bodyDiv w:val="1"/>
      <w:marLeft w:val="0"/>
      <w:marRight w:val="0"/>
      <w:marTop w:val="0"/>
      <w:marBottom w:val="0"/>
      <w:divBdr>
        <w:top w:val="none" w:sz="0" w:space="0" w:color="auto"/>
        <w:left w:val="none" w:sz="0" w:space="0" w:color="auto"/>
        <w:bottom w:val="none" w:sz="0" w:space="0" w:color="auto"/>
        <w:right w:val="none" w:sz="0" w:space="0" w:color="auto"/>
      </w:divBdr>
    </w:div>
    <w:div w:id="585961003">
      <w:bodyDiv w:val="1"/>
      <w:marLeft w:val="0"/>
      <w:marRight w:val="0"/>
      <w:marTop w:val="0"/>
      <w:marBottom w:val="0"/>
      <w:divBdr>
        <w:top w:val="none" w:sz="0" w:space="0" w:color="auto"/>
        <w:left w:val="none" w:sz="0" w:space="0" w:color="auto"/>
        <w:bottom w:val="none" w:sz="0" w:space="0" w:color="auto"/>
        <w:right w:val="none" w:sz="0" w:space="0" w:color="auto"/>
      </w:divBdr>
    </w:div>
    <w:div w:id="818886204">
      <w:bodyDiv w:val="1"/>
      <w:marLeft w:val="0"/>
      <w:marRight w:val="0"/>
      <w:marTop w:val="0"/>
      <w:marBottom w:val="0"/>
      <w:divBdr>
        <w:top w:val="none" w:sz="0" w:space="0" w:color="auto"/>
        <w:left w:val="none" w:sz="0" w:space="0" w:color="auto"/>
        <w:bottom w:val="none" w:sz="0" w:space="0" w:color="auto"/>
        <w:right w:val="none" w:sz="0" w:space="0" w:color="auto"/>
      </w:divBdr>
    </w:div>
    <w:div w:id="1118184071">
      <w:bodyDiv w:val="1"/>
      <w:marLeft w:val="0"/>
      <w:marRight w:val="0"/>
      <w:marTop w:val="0"/>
      <w:marBottom w:val="0"/>
      <w:divBdr>
        <w:top w:val="none" w:sz="0" w:space="0" w:color="auto"/>
        <w:left w:val="none" w:sz="0" w:space="0" w:color="auto"/>
        <w:bottom w:val="none" w:sz="0" w:space="0" w:color="auto"/>
        <w:right w:val="none" w:sz="0" w:space="0" w:color="auto"/>
      </w:divBdr>
    </w:div>
    <w:div w:id="1120880880">
      <w:bodyDiv w:val="1"/>
      <w:marLeft w:val="0"/>
      <w:marRight w:val="0"/>
      <w:marTop w:val="0"/>
      <w:marBottom w:val="0"/>
      <w:divBdr>
        <w:top w:val="none" w:sz="0" w:space="0" w:color="auto"/>
        <w:left w:val="none" w:sz="0" w:space="0" w:color="auto"/>
        <w:bottom w:val="none" w:sz="0" w:space="0" w:color="auto"/>
        <w:right w:val="none" w:sz="0" w:space="0" w:color="auto"/>
      </w:divBdr>
    </w:div>
    <w:div w:id="1327826438">
      <w:bodyDiv w:val="1"/>
      <w:marLeft w:val="0"/>
      <w:marRight w:val="0"/>
      <w:marTop w:val="0"/>
      <w:marBottom w:val="0"/>
      <w:divBdr>
        <w:top w:val="none" w:sz="0" w:space="0" w:color="auto"/>
        <w:left w:val="none" w:sz="0" w:space="0" w:color="auto"/>
        <w:bottom w:val="none" w:sz="0" w:space="0" w:color="auto"/>
        <w:right w:val="none" w:sz="0" w:space="0" w:color="auto"/>
      </w:divBdr>
    </w:div>
    <w:div w:id="1368796525">
      <w:bodyDiv w:val="1"/>
      <w:marLeft w:val="0"/>
      <w:marRight w:val="0"/>
      <w:marTop w:val="0"/>
      <w:marBottom w:val="0"/>
      <w:divBdr>
        <w:top w:val="none" w:sz="0" w:space="0" w:color="auto"/>
        <w:left w:val="none" w:sz="0" w:space="0" w:color="auto"/>
        <w:bottom w:val="none" w:sz="0" w:space="0" w:color="auto"/>
        <w:right w:val="none" w:sz="0" w:space="0" w:color="auto"/>
      </w:divBdr>
    </w:div>
    <w:div w:id="1462304873">
      <w:bodyDiv w:val="1"/>
      <w:marLeft w:val="0"/>
      <w:marRight w:val="0"/>
      <w:marTop w:val="0"/>
      <w:marBottom w:val="0"/>
      <w:divBdr>
        <w:top w:val="none" w:sz="0" w:space="0" w:color="auto"/>
        <w:left w:val="none" w:sz="0" w:space="0" w:color="auto"/>
        <w:bottom w:val="none" w:sz="0" w:space="0" w:color="auto"/>
        <w:right w:val="none" w:sz="0" w:space="0" w:color="auto"/>
      </w:divBdr>
    </w:div>
    <w:div w:id="1506281819">
      <w:bodyDiv w:val="1"/>
      <w:marLeft w:val="0"/>
      <w:marRight w:val="0"/>
      <w:marTop w:val="0"/>
      <w:marBottom w:val="0"/>
      <w:divBdr>
        <w:top w:val="none" w:sz="0" w:space="0" w:color="auto"/>
        <w:left w:val="none" w:sz="0" w:space="0" w:color="auto"/>
        <w:bottom w:val="none" w:sz="0" w:space="0" w:color="auto"/>
        <w:right w:val="none" w:sz="0" w:space="0" w:color="auto"/>
      </w:divBdr>
    </w:div>
    <w:div w:id="1509250082">
      <w:bodyDiv w:val="1"/>
      <w:marLeft w:val="0"/>
      <w:marRight w:val="0"/>
      <w:marTop w:val="0"/>
      <w:marBottom w:val="0"/>
      <w:divBdr>
        <w:top w:val="none" w:sz="0" w:space="0" w:color="auto"/>
        <w:left w:val="none" w:sz="0" w:space="0" w:color="auto"/>
        <w:bottom w:val="none" w:sz="0" w:space="0" w:color="auto"/>
        <w:right w:val="none" w:sz="0" w:space="0" w:color="auto"/>
      </w:divBdr>
    </w:div>
    <w:div w:id="1614172399">
      <w:bodyDiv w:val="1"/>
      <w:marLeft w:val="0"/>
      <w:marRight w:val="0"/>
      <w:marTop w:val="0"/>
      <w:marBottom w:val="0"/>
      <w:divBdr>
        <w:top w:val="none" w:sz="0" w:space="0" w:color="auto"/>
        <w:left w:val="none" w:sz="0" w:space="0" w:color="auto"/>
        <w:bottom w:val="none" w:sz="0" w:space="0" w:color="auto"/>
        <w:right w:val="none" w:sz="0" w:space="0" w:color="auto"/>
      </w:divBdr>
    </w:div>
    <w:div w:id="1893954481">
      <w:bodyDiv w:val="1"/>
      <w:marLeft w:val="0"/>
      <w:marRight w:val="0"/>
      <w:marTop w:val="0"/>
      <w:marBottom w:val="0"/>
      <w:divBdr>
        <w:top w:val="none" w:sz="0" w:space="0" w:color="auto"/>
        <w:left w:val="none" w:sz="0" w:space="0" w:color="auto"/>
        <w:bottom w:val="none" w:sz="0" w:space="0" w:color="auto"/>
        <w:right w:val="none" w:sz="0" w:space="0" w:color="auto"/>
      </w:divBdr>
    </w:div>
    <w:div w:id="1939369451">
      <w:bodyDiv w:val="1"/>
      <w:marLeft w:val="0"/>
      <w:marRight w:val="0"/>
      <w:marTop w:val="0"/>
      <w:marBottom w:val="0"/>
      <w:divBdr>
        <w:top w:val="none" w:sz="0" w:space="0" w:color="auto"/>
        <w:left w:val="none" w:sz="0" w:space="0" w:color="auto"/>
        <w:bottom w:val="none" w:sz="0" w:space="0" w:color="auto"/>
        <w:right w:val="none" w:sz="0" w:space="0" w:color="auto"/>
      </w:divBdr>
    </w:div>
    <w:div w:id="1941984055">
      <w:bodyDiv w:val="1"/>
      <w:marLeft w:val="0"/>
      <w:marRight w:val="0"/>
      <w:marTop w:val="0"/>
      <w:marBottom w:val="0"/>
      <w:divBdr>
        <w:top w:val="none" w:sz="0" w:space="0" w:color="auto"/>
        <w:left w:val="none" w:sz="0" w:space="0" w:color="auto"/>
        <w:bottom w:val="none" w:sz="0" w:space="0" w:color="auto"/>
        <w:right w:val="none" w:sz="0" w:space="0" w:color="auto"/>
      </w:divBdr>
    </w:div>
    <w:div w:id="1949922278">
      <w:bodyDiv w:val="1"/>
      <w:marLeft w:val="0"/>
      <w:marRight w:val="0"/>
      <w:marTop w:val="0"/>
      <w:marBottom w:val="0"/>
      <w:divBdr>
        <w:top w:val="none" w:sz="0" w:space="0" w:color="auto"/>
        <w:left w:val="none" w:sz="0" w:space="0" w:color="auto"/>
        <w:bottom w:val="none" w:sz="0" w:space="0" w:color="auto"/>
        <w:right w:val="none" w:sz="0" w:space="0" w:color="auto"/>
      </w:divBdr>
    </w:div>
    <w:div w:id="1981031505">
      <w:bodyDiv w:val="1"/>
      <w:marLeft w:val="0"/>
      <w:marRight w:val="0"/>
      <w:marTop w:val="0"/>
      <w:marBottom w:val="0"/>
      <w:divBdr>
        <w:top w:val="none" w:sz="0" w:space="0" w:color="auto"/>
        <w:left w:val="none" w:sz="0" w:space="0" w:color="auto"/>
        <w:bottom w:val="none" w:sz="0" w:space="0" w:color="auto"/>
        <w:right w:val="none" w:sz="0" w:space="0" w:color="auto"/>
      </w:divBdr>
    </w:div>
    <w:div w:id="2086560558">
      <w:bodyDiv w:val="1"/>
      <w:marLeft w:val="0"/>
      <w:marRight w:val="0"/>
      <w:marTop w:val="0"/>
      <w:marBottom w:val="0"/>
      <w:divBdr>
        <w:top w:val="none" w:sz="0" w:space="0" w:color="auto"/>
        <w:left w:val="none" w:sz="0" w:space="0" w:color="auto"/>
        <w:bottom w:val="none" w:sz="0" w:space="0" w:color="auto"/>
        <w:right w:val="none" w:sz="0" w:space="0" w:color="auto"/>
      </w:divBdr>
    </w:div>
    <w:div w:id="2095281654">
      <w:bodyDiv w:val="1"/>
      <w:marLeft w:val="0"/>
      <w:marRight w:val="0"/>
      <w:marTop w:val="0"/>
      <w:marBottom w:val="0"/>
      <w:divBdr>
        <w:top w:val="none" w:sz="0" w:space="0" w:color="auto"/>
        <w:left w:val="none" w:sz="0" w:space="0" w:color="auto"/>
        <w:bottom w:val="none" w:sz="0" w:space="0" w:color="auto"/>
        <w:right w:val="none" w:sz="0" w:space="0" w:color="auto"/>
      </w:divBdr>
    </w:div>
    <w:div w:id="2142962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inegi.org.mx/temas/uma/" TargetMode="External"/><Relationship Id="rId2" Type="http://schemas.openxmlformats.org/officeDocument/2006/relationships/hyperlink" Target="https://www.scjn.gob.mx/" TargetMode="External"/><Relationship Id="rId1" Type="http://schemas.openxmlformats.org/officeDocument/2006/relationships/hyperlink" Target="https://www.te.gob.mx/IUSEap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A0CEAD-3681-467B-8BAF-CB2553B44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7698</Words>
  <Characters>42342</Characters>
  <Application>Microsoft Office Word</Application>
  <DocSecurity>0</DocSecurity>
  <Lines>352</Lines>
  <Paragraphs>99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49941</CharactersWithSpaces>
  <SharedDoc>false</SharedDoc>
  <HLinks>
    <vt:vector size="18" baseType="variant">
      <vt:variant>
        <vt:i4>3473449</vt:i4>
      </vt:variant>
      <vt:variant>
        <vt:i4>6</vt:i4>
      </vt:variant>
      <vt:variant>
        <vt:i4>0</vt:i4>
      </vt:variant>
      <vt:variant>
        <vt:i4>5</vt:i4>
      </vt:variant>
      <vt:variant>
        <vt:lpwstr>https://www.inegi.org.mx/temas/uma/</vt:lpwstr>
      </vt:variant>
      <vt:variant>
        <vt:lpwstr/>
      </vt:variant>
      <vt:variant>
        <vt:i4>131150</vt:i4>
      </vt:variant>
      <vt:variant>
        <vt:i4>3</vt:i4>
      </vt:variant>
      <vt:variant>
        <vt:i4>0</vt:i4>
      </vt:variant>
      <vt:variant>
        <vt:i4>5</vt:i4>
      </vt:variant>
      <vt:variant>
        <vt:lpwstr>https://www.scjn.gob.mx/</vt:lpwstr>
      </vt:variant>
      <vt:variant>
        <vt:lpwstr/>
      </vt:variant>
      <vt:variant>
        <vt:i4>2424872</vt:i4>
      </vt:variant>
      <vt:variant>
        <vt:i4>0</vt:i4>
      </vt:variant>
      <vt:variant>
        <vt:i4>0</vt:i4>
      </vt:variant>
      <vt:variant>
        <vt:i4>5</vt:i4>
      </vt:variant>
      <vt:variant>
        <vt:lpwstr>https://www.te.gob.mx/IUSEapp/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allinone273</dc:creator>
  <cp:keywords/>
  <dc:description/>
  <cp:lastModifiedBy>Oficialía de Partes SGA</cp:lastModifiedBy>
  <cp:revision>2</cp:revision>
  <cp:lastPrinted>2025-04-24T16:37:00Z</cp:lastPrinted>
  <dcterms:created xsi:type="dcterms:W3CDTF">2025-09-22T16:33:00Z</dcterms:created>
  <dcterms:modified xsi:type="dcterms:W3CDTF">2025-09-22T16:33:00Z</dcterms:modified>
</cp:coreProperties>
</file>