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54A338" w14:textId="77777777" w:rsidR="000D1E58" w:rsidRDefault="00000000">
      <w:pPr>
        <w:spacing w:before="100" w:beforeAutospacing="1" w:after="100" w:afterAutospacing="1"/>
        <w:ind w:left="3969" w:right="-91"/>
        <w:jc w:val="center"/>
        <w:rPr>
          <w:rFonts w:ascii="Arial" w:hAnsi="Arial" w:cs="Arial"/>
          <w:b/>
          <w:sz w:val="24"/>
          <w:szCs w:val="24"/>
          <w:lang w:val="es-ES_tradnl"/>
        </w:rPr>
      </w:pPr>
      <w:r>
        <w:rPr>
          <w:rFonts w:ascii="Arial" w:hAnsi="Arial" w:cs="Arial"/>
          <w:b/>
          <w:sz w:val="24"/>
          <w:szCs w:val="24"/>
          <w:lang w:val="es-ES_tradnl"/>
        </w:rPr>
        <w:t>JUICIO PARA LA PROTECCIÓN DE LOS DERECHOS POLÍTICO-ELECTORALES DEL CIUDADANO</w:t>
      </w:r>
    </w:p>
    <w:p w14:paraId="7C068B49" w14:textId="77777777" w:rsidR="000D1E58" w:rsidRDefault="00000000">
      <w:pPr>
        <w:spacing w:before="100" w:beforeAutospacing="1" w:after="100" w:afterAutospacing="1"/>
        <w:ind w:left="3969" w:right="-91"/>
        <w:jc w:val="both"/>
        <w:rPr>
          <w:rFonts w:ascii="Arial" w:hAnsi="Arial" w:cs="Arial"/>
          <w:b/>
          <w:sz w:val="24"/>
          <w:szCs w:val="24"/>
          <w:lang w:val="es-ES_tradnl"/>
        </w:rPr>
      </w:pPr>
      <w:r>
        <w:rPr>
          <w:rFonts w:ascii="Arial" w:hAnsi="Arial" w:cs="Arial"/>
          <w:b/>
          <w:sz w:val="24"/>
          <w:szCs w:val="24"/>
          <w:lang w:val="es-ES_tradnl"/>
        </w:rPr>
        <w:t>EXPEDIENTE:</w:t>
      </w:r>
      <w:r>
        <w:rPr>
          <w:rFonts w:ascii="Arial" w:hAnsi="Arial" w:cs="Arial"/>
          <w:sz w:val="24"/>
          <w:szCs w:val="24"/>
          <w:lang w:val="es-ES_tradnl"/>
        </w:rPr>
        <w:t xml:space="preserve"> TEEM-JDC-037/2025.</w:t>
      </w:r>
    </w:p>
    <w:p w14:paraId="221A5799" w14:textId="77777777" w:rsidR="000D1E58" w:rsidRDefault="00000000">
      <w:pPr>
        <w:spacing w:before="100" w:beforeAutospacing="1" w:after="100" w:afterAutospacing="1"/>
        <w:ind w:left="3969" w:right="-91"/>
        <w:jc w:val="both"/>
        <w:rPr>
          <w:rFonts w:ascii="Arial" w:hAnsi="Arial" w:cs="Arial"/>
          <w:sz w:val="24"/>
          <w:szCs w:val="24"/>
          <w:lang w:val="es-ES_tradnl"/>
        </w:rPr>
      </w:pPr>
      <w:r>
        <w:rPr>
          <w:rFonts w:ascii="Arial" w:hAnsi="Arial" w:cs="Arial"/>
          <w:b/>
          <w:sz w:val="24"/>
          <w:szCs w:val="24"/>
          <w:lang w:val="es-ES_tradnl"/>
        </w:rPr>
        <w:t xml:space="preserve">ACTORA: </w:t>
      </w:r>
      <w:r>
        <w:rPr>
          <w:rFonts w:ascii="Arial" w:hAnsi="Arial" w:cs="Arial"/>
          <w:bCs/>
          <w:sz w:val="24"/>
          <w:szCs w:val="24"/>
          <w:lang w:val="es-ES_tradnl"/>
        </w:rPr>
        <w:t>PATRICIA PÉREZ MORALES.</w:t>
      </w:r>
    </w:p>
    <w:p w14:paraId="679F4798" w14:textId="77777777" w:rsidR="000D1E58" w:rsidRDefault="00000000">
      <w:pPr>
        <w:spacing w:before="100" w:beforeAutospacing="1" w:after="100" w:afterAutospacing="1"/>
        <w:ind w:left="3969" w:right="-91"/>
        <w:jc w:val="both"/>
        <w:rPr>
          <w:rFonts w:ascii="Arial" w:hAnsi="Arial" w:cs="Arial"/>
          <w:bCs/>
          <w:sz w:val="24"/>
          <w:szCs w:val="24"/>
          <w:lang w:val="es-ES_tradnl"/>
        </w:rPr>
      </w:pPr>
      <w:r>
        <w:rPr>
          <w:rFonts w:ascii="Arial" w:hAnsi="Arial" w:cs="Arial"/>
          <w:b/>
          <w:sz w:val="24"/>
          <w:szCs w:val="24"/>
          <w:lang w:val="es-ES_tradnl"/>
        </w:rPr>
        <w:t xml:space="preserve">AUTORIDAD RESPONSABLE: </w:t>
      </w:r>
      <w:r>
        <w:rPr>
          <w:rFonts w:ascii="Arial" w:hAnsi="Arial" w:cs="Arial"/>
          <w:bCs/>
          <w:sz w:val="24"/>
          <w:szCs w:val="24"/>
          <w:lang w:val="es-ES_tradnl"/>
        </w:rPr>
        <w:t>PRESIDENTE MUNICIPAL Y SECRETARIO DE EPITACIO HUERTA, MICHOACÁN.</w:t>
      </w:r>
    </w:p>
    <w:p w14:paraId="648A8934" w14:textId="77777777" w:rsidR="000D1E58" w:rsidRDefault="00000000">
      <w:pPr>
        <w:spacing w:before="100" w:beforeAutospacing="1" w:after="100" w:afterAutospacing="1"/>
        <w:ind w:left="3969" w:right="-91"/>
        <w:jc w:val="both"/>
        <w:rPr>
          <w:sz w:val="24"/>
          <w:szCs w:val="24"/>
        </w:rPr>
      </w:pPr>
      <w:r>
        <w:rPr>
          <w:rFonts w:ascii="Arial" w:hAnsi="Arial" w:cs="Arial"/>
          <w:b/>
          <w:bCs/>
          <w:sz w:val="24"/>
          <w:szCs w:val="24"/>
          <w:lang w:val="es-ES_tradnl"/>
        </w:rPr>
        <w:t xml:space="preserve">MAGISTRADA: </w:t>
      </w:r>
      <w:r>
        <w:rPr>
          <w:rFonts w:ascii="Arial" w:hAnsi="Arial" w:cs="Arial"/>
          <w:sz w:val="24"/>
          <w:szCs w:val="24"/>
          <w:lang w:val="es-ES_tradnl"/>
        </w:rPr>
        <w:t>ALMA ROSA BAHENA VILLALOBOS.</w:t>
      </w:r>
    </w:p>
    <w:p w14:paraId="31BE7AD1" w14:textId="77777777" w:rsidR="000D1E58" w:rsidRDefault="00000000">
      <w:pPr>
        <w:spacing w:before="100" w:beforeAutospacing="1" w:after="100" w:afterAutospacing="1"/>
        <w:ind w:left="3969" w:right="-91"/>
        <w:jc w:val="both"/>
        <w:rPr>
          <w:rFonts w:ascii="Arial" w:hAnsi="Arial" w:cs="Arial"/>
          <w:bCs/>
          <w:sz w:val="24"/>
          <w:szCs w:val="24"/>
        </w:rPr>
      </w:pPr>
      <w:r>
        <w:rPr>
          <w:rFonts w:ascii="Arial" w:hAnsi="Arial" w:cs="Arial"/>
          <w:b/>
          <w:sz w:val="24"/>
          <w:szCs w:val="24"/>
        </w:rPr>
        <w:t xml:space="preserve">SECRETARIA INSTRUCTORA Y PROYECTISTA: </w:t>
      </w:r>
      <w:r>
        <w:rPr>
          <w:rFonts w:ascii="Arial" w:hAnsi="Arial" w:cs="Arial"/>
          <w:bCs/>
          <w:sz w:val="24"/>
          <w:szCs w:val="24"/>
        </w:rPr>
        <w:t>SANDRA YÉPEZ CARRANZA.</w:t>
      </w:r>
    </w:p>
    <w:p w14:paraId="737A5F1E" w14:textId="77777777" w:rsidR="000D1E58" w:rsidRDefault="000D1E58">
      <w:pPr>
        <w:spacing w:before="100" w:beforeAutospacing="1" w:after="100" w:afterAutospacing="1" w:line="360" w:lineRule="auto"/>
        <w:rPr>
          <w:rFonts w:ascii="Arial" w:hAnsi="Arial" w:cs="Arial"/>
          <w:sz w:val="26"/>
          <w:szCs w:val="26"/>
        </w:rPr>
      </w:pPr>
    </w:p>
    <w:p w14:paraId="389FEEC5" w14:textId="283FD067" w:rsidR="000D1E58" w:rsidRDefault="00000000">
      <w:pPr>
        <w:spacing w:before="100" w:beforeAutospacing="1" w:after="100" w:afterAutospacing="1" w:line="360" w:lineRule="auto"/>
        <w:rPr>
          <w:rFonts w:ascii="Arial" w:hAnsi="Arial" w:cs="Arial"/>
          <w:sz w:val="24"/>
          <w:szCs w:val="24"/>
        </w:rPr>
      </w:pPr>
      <w:r>
        <w:rPr>
          <w:rFonts w:ascii="Arial" w:hAnsi="Arial" w:cs="Arial"/>
          <w:sz w:val="24"/>
          <w:szCs w:val="24"/>
        </w:rPr>
        <w:t xml:space="preserve">Morelia, Michoacán, a </w:t>
      </w:r>
      <w:r w:rsidR="008E6203">
        <w:rPr>
          <w:rFonts w:ascii="Arial" w:hAnsi="Arial" w:cs="Arial"/>
          <w:sz w:val="24"/>
          <w:szCs w:val="24"/>
        </w:rPr>
        <w:t>veinte</w:t>
      </w:r>
      <w:r>
        <w:rPr>
          <w:rFonts w:ascii="Arial" w:hAnsi="Arial" w:cs="Arial"/>
          <w:sz w:val="24"/>
          <w:szCs w:val="24"/>
        </w:rPr>
        <w:t xml:space="preserve"> de marzo de dos mil veinticinco.</w:t>
      </w:r>
    </w:p>
    <w:p w14:paraId="6A97D28E" w14:textId="4DD36FE4" w:rsidR="000D1E58" w:rsidRDefault="00000000">
      <w:pPr>
        <w:spacing w:line="360" w:lineRule="auto"/>
        <w:jc w:val="both"/>
        <w:rPr>
          <w:rFonts w:ascii="Arial" w:eastAsia="Arial" w:hAnsi="Arial" w:cs="Arial"/>
          <w:b/>
          <w:bCs/>
          <w:sz w:val="24"/>
          <w:szCs w:val="24"/>
        </w:rPr>
      </w:pPr>
      <w:r>
        <w:rPr>
          <w:rFonts w:ascii="Arial" w:hAnsi="Arial" w:cs="Arial"/>
          <w:b/>
          <w:bCs/>
          <w:sz w:val="24"/>
          <w:szCs w:val="24"/>
        </w:rPr>
        <w:t xml:space="preserve">Sentencia </w:t>
      </w:r>
      <w:r>
        <w:rPr>
          <w:rFonts w:ascii="Arial" w:hAnsi="Arial" w:cs="Arial"/>
          <w:sz w:val="24"/>
          <w:szCs w:val="24"/>
        </w:rPr>
        <w:t xml:space="preserve">que determina: </w:t>
      </w:r>
      <w:r>
        <w:rPr>
          <w:rFonts w:ascii="Arial" w:eastAsia="Arial" w:hAnsi="Arial" w:cs="Arial"/>
          <w:b/>
          <w:bCs/>
          <w:sz w:val="24"/>
          <w:szCs w:val="24"/>
        </w:rPr>
        <w:t xml:space="preserve">I. Sobreseer </w:t>
      </w:r>
      <w:r>
        <w:rPr>
          <w:rFonts w:ascii="Arial" w:eastAsia="Arial" w:hAnsi="Arial" w:cs="Arial"/>
          <w:sz w:val="24"/>
          <w:szCs w:val="24"/>
        </w:rPr>
        <w:t>por extemporaneidad</w:t>
      </w:r>
      <w:r w:rsidR="008B4ACE" w:rsidRPr="008B4ACE">
        <w:rPr>
          <w:rFonts w:ascii="Arial" w:eastAsia="Arial" w:hAnsi="Arial" w:cs="Arial"/>
          <w:sz w:val="24"/>
          <w:szCs w:val="24"/>
        </w:rPr>
        <w:t xml:space="preserve"> </w:t>
      </w:r>
      <w:r>
        <w:rPr>
          <w:rFonts w:ascii="Arial" w:eastAsia="Arial" w:hAnsi="Arial" w:cs="Arial"/>
          <w:sz w:val="24"/>
          <w:szCs w:val="24"/>
        </w:rPr>
        <w:t xml:space="preserve">el juicio respecto de la presunta </w:t>
      </w:r>
      <w:r>
        <w:rPr>
          <w:rFonts w:ascii="Arial" w:hAnsi="Arial" w:cs="Arial"/>
          <w:sz w:val="24"/>
          <w:szCs w:val="24"/>
        </w:rPr>
        <w:t>irregularidad durante el desarrollo de la Sesión Ordinaria de veintiocho de enero de dos mil veinticinco</w:t>
      </w:r>
      <w:r>
        <w:rPr>
          <w:rStyle w:val="Refdenotaalpie"/>
          <w:rFonts w:ascii="Arial" w:hAnsi="Arial" w:cs="Arial"/>
          <w:sz w:val="24"/>
          <w:szCs w:val="24"/>
        </w:rPr>
        <w:footnoteReference w:id="1"/>
      </w:r>
      <w:r>
        <w:rPr>
          <w:rFonts w:ascii="Arial" w:hAnsi="Arial" w:cs="Arial"/>
          <w:sz w:val="24"/>
          <w:szCs w:val="24"/>
        </w:rPr>
        <w:t xml:space="preserve">, relacionada con las intervenciones de la actora y la negativa de las </w:t>
      </w:r>
      <w:r>
        <w:rPr>
          <w:rFonts w:ascii="Arial" w:hAnsi="Arial" w:cs="Arial"/>
          <w:i/>
          <w:iCs/>
          <w:sz w:val="24"/>
          <w:szCs w:val="24"/>
        </w:rPr>
        <w:t xml:space="preserve">autoridades responsables </w:t>
      </w:r>
      <w:r>
        <w:rPr>
          <w:rFonts w:ascii="Arial" w:hAnsi="Arial" w:cs="Arial"/>
          <w:sz w:val="24"/>
          <w:szCs w:val="24"/>
        </w:rPr>
        <w:t>de asentarlas en el Acta de Sesión correspondiente</w:t>
      </w:r>
      <w:r>
        <w:rPr>
          <w:rFonts w:ascii="Arial" w:eastAsia="Arial" w:hAnsi="Arial" w:cs="Arial"/>
          <w:sz w:val="24"/>
          <w:szCs w:val="24"/>
        </w:rPr>
        <w:t xml:space="preserve">; y, </w:t>
      </w:r>
      <w:r>
        <w:rPr>
          <w:rFonts w:ascii="Arial" w:eastAsia="Arial" w:hAnsi="Arial" w:cs="Arial"/>
          <w:b/>
          <w:bCs/>
          <w:sz w:val="24"/>
          <w:szCs w:val="24"/>
        </w:rPr>
        <w:t xml:space="preserve">II. </w:t>
      </w:r>
      <w:r>
        <w:rPr>
          <w:rFonts w:ascii="Arial" w:eastAsia="Arial" w:hAnsi="Arial" w:cs="Arial"/>
          <w:sz w:val="24"/>
          <w:szCs w:val="24"/>
        </w:rPr>
        <w:t xml:space="preserve">Declarar la </w:t>
      </w:r>
      <w:r>
        <w:rPr>
          <w:rFonts w:ascii="Arial" w:eastAsia="Arial" w:hAnsi="Arial" w:cs="Arial"/>
          <w:b/>
          <w:bCs/>
          <w:sz w:val="24"/>
          <w:szCs w:val="24"/>
        </w:rPr>
        <w:t xml:space="preserve">inexistencia </w:t>
      </w:r>
      <w:r>
        <w:rPr>
          <w:rFonts w:ascii="Arial" w:eastAsia="Arial" w:hAnsi="Arial" w:cs="Arial"/>
          <w:sz w:val="24"/>
          <w:szCs w:val="24"/>
        </w:rPr>
        <w:t xml:space="preserve">de la vulneración al derecho político-electoral de votar y ser votada en su vertiente del ejercicio del cargo de </w:t>
      </w:r>
      <w:r>
        <w:rPr>
          <w:rFonts w:ascii="Arial" w:hAnsi="Arial" w:cs="Arial"/>
          <w:sz w:val="24"/>
          <w:szCs w:val="24"/>
        </w:rPr>
        <w:t>Patricia Pérez Morales, en su carácter de Regidora de Epitacio Huerta, Michoacán.</w:t>
      </w:r>
    </w:p>
    <w:sdt>
      <w:sdtPr>
        <w:rPr>
          <w:rFonts w:asciiTheme="minorHAnsi" w:eastAsiaTheme="minorEastAsia" w:hAnsiTheme="minorHAnsi" w:cstheme="minorBidi"/>
          <w:color w:val="auto"/>
          <w:sz w:val="21"/>
          <w:szCs w:val="21"/>
        </w:rPr>
        <w:id w:val="592590259"/>
        <w:docPartObj>
          <w:docPartGallery w:val="Table of Contents"/>
          <w:docPartUnique/>
        </w:docPartObj>
      </w:sdtPr>
      <w:sdtContent>
        <w:p w14:paraId="5D758D5E" w14:textId="77777777" w:rsidR="000D1E58" w:rsidRDefault="00000000">
          <w:pPr>
            <w:pStyle w:val="TtuloTDC"/>
            <w:jc w:val="center"/>
            <w:rPr>
              <w:rFonts w:ascii="Arial" w:hAnsi="Arial" w:cs="Arial"/>
              <w:b/>
              <w:bCs/>
              <w:color w:val="000000" w:themeColor="text1"/>
              <w:sz w:val="24"/>
              <w:szCs w:val="24"/>
            </w:rPr>
          </w:pPr>
          <w:r>
            <w:rPr>
              <w:rFonts w:ascii="Arial" w:hAnsi="Arial" w:cs="Arial"/>
              <w:b/>
              <w:bCs/>
              <w:color w:val="000000" w:themeColor="text1"/>
              <w:sz w:val="24"/>
              <w:szCs w:val="24"/>
              <w:lang w:val="es-ES"/>
            </w:rPr>
            <w:t>ÍNDICE</w:t>
          </w:r>
        </w:p>
        <w:p w14:paraId="4E9E4986" w14:textId="3EE270B7" w:rsidR="00A67FDF" w:rsidRDefault="00000000">
          <w:pPr>
            <w:pStyle w:val="TDC1"/>
            <w:tabs>
              <w:tab w:val="right" w:leader="dot" w:pos="8544"/>
            </w:tabs>
            <w:rPr>
              <w:noProof/>
              <w:kern w:val="2"/>
              <w:sz w:val="24"/>
              <w:szCs w:val="24"/>
              <w:lang w:eastAsia="es-MX"/>
              <w14:ligatures w14:val="standardContextual"/>
            </w:rPr>
          </w:pPr>
          <w:r>
            <w:fldChar w:fldCharType="begin"/>
          </w:r>
          <w:r>
            <w:instrText>TOC \o "1-3" \z \u \h</w:instrText>
          </w:r>
          <w:r>
            <w:fldChar w:fldCharType="separate"/>
          </w:r>
          <w:hyperlink w:anchor="_Toc193363685" w:history="1">
            <w:r w:rsidR="00A67FDF" w:rsidRPr="00293BE3">
              <w:rPr>
                <w:rStyle w:val="Hipervnculo"/>
                <w:rFonts w:ascii="Arial" w:hAnsi="Arial" w:cs="Arial"/>
                <w:b/>
                <w:bCs/>
                <w:noProof/>
              </w:rPr>
              <w:t>GLOSARIO</w:t>
            </w:r>
            <w:r w:rsidR="00A67FDF">
              <w:rPr>
                <w:noProof/>
                <w:webHidden/>
              </w:rPr>
              <w:tab/>
            </w:r>
            <w:r w:rsidR="00A67FDF">
              <w:rPr>
                <w:noProof/>
                <w:webHidden/>
              </w:rPr>
              <w:fldChar w:fldCharType="begin"/>
            </w:r>
            <w:r w:rsidR="00A67FDF">
              <w:rPr>
                <w:noProof/>
                <w:webHidden/>
              </w:rPr>
              <w:instrText xml:space="preserve"> PAGEREF _Toc193363685 \h </w:instrText>
            </w:r>
            <w:r w:rsidR="00A67FDF">
              <w:rPr>
                <w:noProof/>
                <w:webHidden/>
              </w:rPr>
            </w:r>
            <w:r w:rsidR="00A67FDF">
              <w:rPr>
                <w:noProof/>
                <w:webHidden/>
              </w:rPr>
              <w:fldChar w:fldCharType="separate"/>
            </w:r>
            <w:r w:rsidR="005D3A9B">
              <w:rPr>
                <w:noProof/>
                <w:webHidden/>
              </w:rPr>
              <w:t>2</w:t>
            </w:r>
            <w:r w:rsidR="00A67FDF">
              <w:rPr>
                <w:noProof/>
                <w:webHidden/>
              </w:rPr>
              <w:fldChar w:fldCharType="end"/>
            </w:r>
          </w:hyperlink>
        </w:p>
        <w:p w14:paraId="29777AA3" w14:textId="5AB358EF" w:rsidR="00A67FDF" w:rsidRDefault="00A67FDF">
          <w:pPr>
            <w:pStyle w:val="TDC1"/>
            <w:tabs>
              <w:tab w:val="right" w:leader="dot" w:pos="8544"/>
            </w:tabs>
            <w:rPr>
              <w:noProof/>
              <w:kern w:val="2"/>
              <w:sz w:val="24"/>
              <w:szCs w:val="24"/>
              <w:lang w:eastAsia="es-MX"/>
              <w14:ligatures w14:val="standardContextual"/>
            </w:rPr>
          </w:pPr>
          <w:hyperlink w:anchor="_Toc193363686" w:history="1">
            <w:r w:rsidRPr="00293BE3">
              <w:rPr>
                <w:rStyle w:val="Hipervnculo"/>
                <w:rFonts w:ascii="Arial" w:hAnsi="Arial" w:cs="Arial"/>
                <w:b/>
                <w:bCs/>
                <w:noProof/>
              </w:rPr>
              <w:t>I. ANTECEDENTES</w:t>
            </w:r>
            <w:r>
              <w:rPr>
                <w:noProof/>
                <w:webHidden/>
              </w:rPr>
              <w:tab/>
            </w:r>
            <w:r>
              <w:rPr>
                <w:noProof/>
                <w:webHidden/>
              </w:rPr>
              <w:fldChar w:fldCharType="begin"/>
            </w:r>
            <w:r>
              <w:rPr>
                <w:noProof/>
                <w:webHidden/>
              </w:rPr>
              <w:instrText xml:space="preserve"> PAGEREF _Toc193363686 \h </w:instrText>
            </w:r>
            <w:r>
              <w:rPr>
                <w:noProof/>
                <w:webHidden/>
              </w:rPr>
            </w:r>
            <w:r>
              <w:rPr>
                <w:noProof/>
                <w:webHidden/>
              </w:rPr>
              <w:fldChar w:fldCharType="separate"/>
            </w:r>
            <w:r w:rsidR="005D3A9B">
              <w:rPr>
                <w:noProof/>
                <w:webHidden/>
              </w:rPr>
              <w:t>3</w:t>
            </w:r>
            <w:r>
              <w:rPr>
                <w:noProof/>
                <w:webHidden/>
              </w:rPr>
              <w:fldChar w:fldCharType="end"/>
            </w:r>
          </w:hyperlink>
        </w:p>
        <w:p w14:paraId="67A89AB3" w14:textId="7EEEA1DD" w:rsidR="00A67FDF" w:rsidRDefault="00A67FDF">
          <w:pPr>
            <w:pStyle w:val="TDC1"/>
            <w:tabs>
              <w:tab w:val="right" w:leader="dot" w:pos="8544"/>
            </w:tabs>
            <w:rPr>
              <w:noProof/>
              <w:kern w:val="2"/>
              <w:sz w:val="24"/>
              <w:szCs w:val="24"/>
              <w:lang w:eastAsia="es-MX"/>
              <w14:ligatures w14:val="standardContextual"/>
            </w:rPr>
          </w:pPr>
          <w:hyperlink w:anchor="_Toc193363687" w:history="1">
            <w:r w:rsidRPr="00293BE3">
              <w:rPr>
                <w:rStyle w:val="Hipervnculo"/>
                <w:rFonts w:ascii="Arial" w:hAnsi="Arial" w:cs="Arial"/>
                <w:b/>
                <w:bCs/>
                <w:noProof/>
              </w:rPr>
              <w:t>II. TRÁMITE</w:t>
            </w:r>
            <w:r>
              <w:rPr>
                <w:noProof/>
                <w:webHidden/>
              </w:rPr>
              <w:tab/>
            </w:r>
            <w:r>
              <w:rPr>
                <w:noProof/>
                <w:webHidden/>
              </w:rPr>
              <w:fldChar w:fldCharType="begin"/>
            </w:r>
            <w:r>
              <w:rPr>
                <w:noProof/>
                <w:webHidden/>
              </w:rPr>
              <w:instrText xml:space="preserve"> PAGEREF _Toc193363687 \h </w:instrText>
            </w:r>
            <w:r>
              <w:rPr>
                <w:noProof/>
                <w:webHidden/>
              </w:rPr>
            </w:r>
            <w:r>
              <w:rPr>
                <w:noProof/>
                <w:webHidden/>
              </w:rPr>
              <w:fldChar w:fldCharType="separate"/>
            </w:r>
            <w:r w:rsidR="005D3A9B">
              <w:rPr>
                <w:noProof/>
                <w:webHidden/>
              </w:rPr>
              <w:t>4</w:t>
            </w:r>
            <w:r>
              <w:rPr>
                <w:noProof/>
                <w:webHidden/>
              </w:rPr>
              <w:fldChar w:fldCharType="end"/>
            </w:r>
          </w:hyperlink>
        </w:p>
        <w:p w14:paraId="4A43BCEA" w14:textId="456060AE" w:rsidR="00A67FDF" w:rsidRDefault="00A67FDF">
          <w:pPr>
            <w:pStyle w:val="TDC1"/>
            <w:tabs>
              <w:tab w:val="right" w:leader="dot" w:pos="8544"/>
            </w:tabs>
            <w:rPr>
              <w:noProof/>
              <w:kern w:val="2"/>
              <w:sz w:val="24"/>
              <w:szCs w:val="24"/>
              <w:lang w:eastAsia="es-MX"/>
              <w14:ligatures w14:val="standardContextual"/>
            </w:rPr>
          </w:pPr>
          <w:hyperlink w:anchor="_Toc193363688" w:history="1">
            <w:r w:rsidRPr="00293BE3">
              <w:rPr>
                <w:rStyle w:val="Hipervnculo"/>
                <w:rFonts w:ascii="Arial" w:hAnsi="Arial" w:cs="Arial"/>
                <w:b/>
                <w:bCs/>
                <w:noProof/>
              </w:rPr>
              <w:t>III. COMPETENCIA</w:t>
            </w:r>
            <w:r>
              <w:rPr>
                <w:noProof/>
                <w:webHidden/>
              </w:rPr>
              <w:tab/>
            </w:r>
            <w:r>
              <w:rPr>
                <w:noProof/>
                <w:webHidden/>
              </w:rPr>
              <w:fldChar w:fldCharType="begin"/>
            </w:r>
            <w:r>
              <w:rPr>
                <w:noProof/>
                <w:webHidden/>
              </w:rPr>
              <w:instrText xml:space="preserve"> PAGEREF _Toc193363688 \h </w:instrText>
            </w:r>
            <w:r>
              <w:rPr>
                <w:noProof/>
                <w:webHidden/>
              </w:rPr>
            </w:r>
            <w:r>
              <w:rPr>
                <w:noProof/>
                <w:webHidden/>
              </w:rPr>
              <w:fldChar w:fldCharType="separate"/>
            </w:r>
            <w:r w:rsidR="005D3A9B">
              <w:rPr>
                <w:noProof/>
                <w:webHidden/>
              </w:rPr>
              <w:t>5</w:t>
            </w:r>
            <w:r>
              <w:rPr>
                <w:noProof/>
                <w:webHidden/>
              </w:rPr>
              <w:fldChar w:fldCharType="end"/>
            </w:r>
          </w:hyperlink>
        </w:p>
        <w:p w14:paraId="23B32876" w14:textId="012843AA" w:rsidR="00A67FDF" w:rsidRDefault="00A67FDF">
          <w:pPr>
            <w:pStyle w:val="TDC1"/>
            <w:tabs>
              <w:tab w:val="right" w:leader="dot" w:pos="8544"/>
            </w:tabs>
            <w:rPr>
              <w:noProof/>
              <w:kern w:val="2"/>
              <w:sz w:val="24"/>
              <w:szCs w:val="24"/>
              <w:lang w:eastAsia="es-MX"/>
              <w14:ligatures w14:val="standardContextual"/>
            </w:rPr>
          </w:pPr>
          <w:hyperlink w:anchor="_Toc193363689" w:history="1">
            <w:r w:rsidRPr="00293BE3">
              <w:rPr>
                <w:rStyle w:val="Hipervnculo"/>
                <w:rFonts w:ascii="Arial" w:hAnsi="Arial" w:cs="Arial"/>
                <w:b/>
                <w:bCs/>
                <w:noProof/>
              </w:rPr>
              <w:t>IV. DESIGNACIÓN DE MAGISTRADO EN FUNCIONES</w:t>
            </w:r>
            <w:r>
              <w:rPr>
                <w:noProof/>
                <w:webHidden/>
              </w:rPr>
              <w:tab/>
            </w:r>
            <w:r>
              <w:rPr>
                <w:noProof/>
                <w:webHidden/>
              </w:rPr>
              <w:fldChar w:fldCharType="begin"/>
            </w:r>
            <w:r>
              <w:rPr>
                <w:noProof/>
                <w:webHidden/>
              </w:rPr>
              <w:instrText xml:space="preserve"> PAGEREF _Toc193363689 \h </w:instrText>
            </w:r>
            <w:r>
              <w:rPr>
                <w:noProof/>
                <w:webHidden/>
              </w:rPr>
            </w:r>
            <w:r>
              <w:rPr>
                <w:noProof/>
                <w:webHidden/>
              </w:rPr>
              <w:fldChar w:fldCharType="separate"/>
            </w:r>
            <w:r w:rsidR="005D3A9B">
              <w:rPr>
                <w:noProof/>
                <w:webHidden/>
              </w:rPr>
              <w:t>5</w:t>
            </w:r>
            <w:r>
              <w:rPr>
                <w:noProof/>
                <w:webHidden/>
              </w:rPr>
              <w:fldChar w:fldCharType="end"/>
            </w:r>
          </w:hyperlink>
        </w:p>
        <w:p w14:paraId="2B240D56" w14:textId="3F79BD35" w:rsidR="00A67FDF" w:rsidRDefault="00A67FDF">
          <w:pPr>
            <w:pStyle w:val="TDC1"/>
            <w:tabs>
              <w:tab w:val="right" w:leader="dot" w:pos="8544"/>
            </w:tabs>
            <w:rPr>
              <w:noProof/>
              <w:kern w:val="2"/>
              <w:sz w:val="24"/>
              <w:szCs w:val="24"/>
              <w:lang w:eastAsia="es-MX"/>
              <w14:ligatures w14:val="standardContextual"/>
            </w:rPr>
          </w:pPr>
          <w:hyperlink w:anchor="_Toc193363690" w:history="1">
            <w:r w:rsidRPr="00293BE3">
              <w:rPr>
                <w:rStyle w:val="Hipervnculo"/>
                <w:rFonts w:ascii="Arial" w:hAnsi="Arial" w:cs="Arial"/>
                <w:b/>
                <w:bCs/>
                <w:noProof/>
              </w:rPr>
              <w:t>V. ACTOS IMPUGNADOS</w:t>
            </w:r>
            <w:r>
              <w:rPr>
                <w:noProof/>
                <w:webHidden/>
              </w:rPr>
              <w:tab/>
            </w:r>
            <w:r>
              <w:rPr>
                <w:noProof/>
                <w:webHidden/>
              </w:rPr>
              <w:fldChar w:fldCharType="begin"/>
            </w:r>
            <w:r>
              <w:rPr>
                <w:noProof/>
                <w:webHidden/>
              </w:rPr>
              <w:instrText xml:space="preserve"> PAGEREF _Toc193363690 \h </w:instrText>
            </w:r>
            <w:r>
              <w:rPr>
                <w:noProof/>
                <w:webHidden/>
              </w:rPr>
            </w:r>
            <w:r>
              <w:rPr>
                <w:noProof/>
                <w:webHidden/>
              </w:rPr>
              <w:fldChar w:fldCharType="separate"/>
            </w:r>
            <w:r w:rsidR="005D3A9B">
              <w:rPr>
                <w:noProof/>
                <w:webHidden/>
              </w:rPr>
              <w:t>5</w:t>
            </w:r>
            <w:r>
              <w:rPr>
                <w:noProof/>
                <w:webHidden/>
              </w:rPr>
              <w:fldChar w:fldCharType="end"/>
            </w:r>
          </w:hyperlink>
        </w:p>
        <w:p w14:paraId="2120673F" w14:textId="3FF17D9B" w:rsidR="00A67FDF" w:rsidRDefault="00A67FDF">
          <w:pPr>
            <w:pStyle w:val="TDC1"/>
            <w:tabs>
              <w:tab w:val="right" w:leader="dot" w:pos="8544"/>
            </w:tabs>
            <w:rPr>
              <w:noProof/>
              <w:kern w:val="2"/>
              <w:sz w:val="24"/>
              <w:szCs w:val="24"/>
              <w:lang w:eastAsia="es-MX"/>
              <w14:ligatures w14:val="standardContextual"/>
            </w:rPr>
          </w:pPr>
          <w:hyperlink w:anchor="_Toc193363691" w:history="1">
            <w:r w:rsidRPr="00293BE3">
              <w:rPr>
                <w:rStyle w:val="Hipervnculo"/>
                <w:rFonts w:ascii="Arial" w:hAnsi="Arial" w:cs="Arial"/>
                <w:b/>
                <w:bCs/>
                <w:noProof/>
              </w:rPr>
              <w:t>VI. SOBRESEIMIENTO</w:t>
            </w:r>
            <w:r>
              <w:rPr>
                <w:noProof/>
                <w:webHidden/>
              </w:rPr>
              <w:tab/>
            </w:r>
            <w:r>
              <w:rPr>
                <w:noProof/>
                <w:webHidden/>
              </w:rPr>
              <w:fldChar w:fldCharType="begin"/>
            </w:r>
            <w:r>
              <w:rPr>
                <w:noProof/>
                <w:webHidden/>
              </w:rPr>
              <w:instrText xml:space="preserve"> PAGEREF _Toc193363691 \h </w:instrText>
            </w:r>
            <w:r>
              <w:rPr>
                <w:noProof/>
                <w:webHidden/>
              </w:rPr>
            </w:r>
            <w:r>
              <w:rPr>
                <w:noProof/>
                <w:webHidden/>
              </w:rPr>
              <w:fldChar w:fldCharType="separate"/>
            </w:r>
            <w:r w:rsidR="005D3A9B">
              <w:rPr>
                <w:noProof/>
                <w:webHidden/>
              </w:rPr>
              <w:t>6</w:t>
            </w:r>
            <w:r>
              <w:rPr>
                <w:noProof/>
                <w:webHidden/>
              </w:rPr>
              <w:fldChar w:fldCharType="end"/>
            </w:r>
          </w:hyperlink>
        </w:p>
        <w:p w14:paraId="7325AEE8" w14:textId="1188BDCF" w:rsidR="00A67FDF" w:rsidRDefault="00A67FDF">
          <w:pPr>
            <w:pStyle w:val="TDC3"/>
            <w:rPr>
              <w:noProof/>
              <w:kern w:val="2"/>
              <w:sz w:val="24"/>
              <w:szCs w:val="24"/>
              <w:lang w:eastAsia="es-MX"/>
              <w14:ligatures w14:val="standardContextual"/>
            </w:rPr>
          </w:pPr>
          <w:hyperlink w:anchor="_Toc193363692" w:history="1">
            <w:r w:rsidRPr="00293BE3">
              <w:rPr>
                <w:rStyle w:val="Hipervnculo"/>
                <w:rFonts w:ascii="Arial" w:hAnsi="Arial" w:cs="Arial"/>
                <w:b/>
                <w:bCs/>
                <w:noProof/>
              </w:rPr>
              <w:t>VII. PROCEDENCIA</w:t>
            </w:r>
            <w:r>
              <w:rPr>
                <w:noProof/>
                <w:webHidden/>
              </w:rPr>
              <w:tab/>
            </w:r>
            <w:r>
              <w:rPr>
                <w:noProof/>
                <w:webHidden/>
              </w:rPr>
              <w:fldChar w:fldCharType="begin"/>
            </w:r>
            <w:r>
              <w:rPr>
                <w:noProof/>
                <w:webHidden/>
              </w:rPr>
              <w:instrText xml:space="preserve"> PAGEREF _Toc193363692 \h </w:instrText>
            </w:r>
            <w:r>
              <w:rPr>
                <w:noProof/>
                <w:webHidden/>
              </w:rPr>
            </w:r>
            <w:r>
              <w:rPr>
                <w:noProof/>
                <w:webHidden/>
              </w:rPr>
              <w:fldChar w:fldCharType="separate"/>
            </w:r>
            <w:r w:rsidR="005D3A9B">
              <w:rPr>
                <w:noProof/>
                <w:webHidden/>
              </w:rPr>
              <w:t>10</w:t>
            </w:r>
            <w:r>
              <w:rPr>
                <w:noProof/>
                <w:webHidden/>
              </w:rPr>
              <w:fldChar w:fldCharType="end"/>
            </w:r>
          </w:hyperlink>
        </w:p>
        <w:p w14:paraId="07B3DE04" w14:textId="3471622C" w:rsidR="00A67FDF" w:rsidRDefault="00A67FDF">
          <w:pPr>
            <w:pStyle w:val="TDC3"/>
            <w:rPr>
              <w:noProof/>
              <w:kern w:val="2"/>
              <w:sz w:val="24"/>
              <w:szCs w:val="24"/>
              <w:lang w:eastAsia="es-MX"/>
              <w14:ligatures w14:val="standardContextual"/>
            </w:rPr>
          </w:pPr>
          <w:hyperlink w:anchor="_Toc193363693" w:history="1">
            <w:r w:rsidRPr="00293BE3">
              <w:rPr>
                <w:rStyle w:val="Hipervnculo"/>
                <w:rFonts w:ascii="Arial" w:hAnsi="Arial" w:cs="Arial"/>
                <w:b/>
                <w:bCs/>
                <w:noProof/>
              </w:rPr>
              <w:t>VIII. ESTUDIO DE FONDO</w:t>
            </w:r>
            <w:r>
              <w:rPr>
                <w:noProof/>
                <w:webHidden/>
              </w:rPr>
              <w:tab/>
            </w:r>
            <w:r>
              <w:rPr>
                <w:noProof/>
                <w:webHidden/>
              </w:rPr>
              <w:fldChar w:fldCharType="begin"/>
            </w:r>
            <w:r>
              <w:rPr>
                <w:noProof/>
                <w:webHidden/>
              </w:rPr>
              <w:instrText xml:space="preserve"> PAGEREF _Toc193363693 \h </w:instrText>
            </w:r>
            <w:r>
              <w:rPr>
                <w:noProof/>
                <w:webHidden/>
              </w:rPr>
            </w:r>
            <w:r>
              <w:rPr>
                <w:noProof/>
                <w:webHidden/>
              </w:rPr>
              <w:fldChar w:fldCharType="separate"/>
            </w:r>
            <w:r w:rsidR="005D3A9B">
              <w:rPr>
                <w:noProof/>
                <w:webHidden/>
              </w:rPr>
              <w:t>10</w:t>
            </w:r>
            <w:r>
              <w:rPr>
                <w:noProof/>
                <w:webHidden/>
              </w:rPr>
              <w:fldChar w:fldCharType="end"/>
            </w:r>
          </w:hyperlink>
        </w:p>
        <w:p w14:paraId="1A58E9F1" w14:textId="5400B3B8" w:rsidR="00A67FDF" w:rsidRDefault="00A67FDF">
          <w:pPr>
            <w:pStyle w:val="TDC2"/>
            <w:tabs>
              <w:tab w:val="right" w:leader="dot" w:pos="8544"/>
            </w:tabs>
            <w:rPr>
              <w:noProof/>
              <w:kern w:val="2"/>
              <w:sz w:val="24"/>
              <w:szCs w:val="24"/>
              <w:lang w:eastAsia="es-MX"/>
              <w14:ligatures w14:val="standardContextual"/>
            </w:rPr>
          </w:pPr>
          <w:hyperlink w:anchor="_Toc193363694" w:history="1">
            <w:r w:rsidRPr="00293BE3">
              <w:rPr>
                <w:rStyle w:val="Hipervnculo"/>
                <w:rFonts w:ascii="Arial" w:hAnsi="Arial" w:cs="Arial"/>
                <w:b/>
                <w:bCs/>
                <w:noProof/>
              </w:rPr>
              <w:t>8.</w:t>
            </w:r>
            <w:r w:rsidRPr="0087063E">
              <w:rPr>
                <w:rStyle w:val="Hipervnculo"/>
                <w:rFonts w:ascii="Arial" w:hAnsi="Arial" w:cs="Arial"/>
                <w:b/>
                <w:bCs/>
                <w:noProof/>
              </w:rPr>
              <w:t>1. Pretensión</w:t>
            </w:r>
            <w:r>
              <w:rPr>
                <w:noProof/>
                <w:webHidden/>
              </w:rPr>
              <w:tab/>
            </w:r>
            <w:r>
              <w:rPr>
                <w:noProof/>
                <w:webHidden/>
              </w:rPr>
              <w:fldChar w:fldCharType="begin"/>
            </w:r>
            <w:r>
              <w:rPr>
                <w:noProof/>
                <w:webHidden/>
              </w:rPr>
              <w:instrText xml:space="preserve"> PAGEREF _Toc193363694 \h </w:instrText>
            </w:r>
            <w:r>
              <w:rPr>
                <w:noProof/>
                <w:webHidden/>
              </w:rPr>
            </w:r>
            <w:r>
              <w:rPr>
                <w:noProof/>
                <w:webHidden/>
              </w:rPr>
              <w:fldChar w:fldCharType="separate"/>
            </w:r>
            <w:r w:rsidR="005D3A9B">
              <w:rPr>
                <w:noProof/>
                <w:webHidden/>
              </w:rPr>
              <w:t>11</w:t>
            </w:r>
            <w:r>
              <w:rPr>
                <w:noProof/>
                <w:webHidden/>
              </w:rPr>
              <w:fldChar w:fldCharType="end"/>
            </w:r>
          </w:hyperlink>
        </w:p>
        <w:p w14:paraId="601375A6" w14:textId="0240A7D5" w:rsidR="00A67FDF" w:rsidRDefault="00A67FDF">
          <w:pPr>
            <w:pStyle w:val="TDC2"/>
            <w:tabs>
              <w:tab w:val="right" w:leader="dot" w:pos="8544"/>
            </w:tabs>
            <w:rPr>
              <w:noProof/>
              <w:kern w:val="2"/>
              <w:sz w:val="24"/>
              <w:szCs w:val="24"/>
              <w:lang w:eastAsia="es-MX"/>
              <w14:ligatures w14:val="standardContextual"/>
            </w:rPr>
          </w:pPr>
          <w:hyperlink w:anchor="_Toc193363695" w:history="1">
            <w:r w:rsidRPr="00293BE3">
              <w:rPr>
                <w:rStyle w:val="Hipervnculo"/>
                <w:rFonts w:ascii="Arial" w:hAnsi="Arial" w:cs="Arial"/>
                <w:b/>
                <w:bCs/>
                <w:noProof/>
              </w:rPr>
              <w:t>8.2. Agravios</w:t>
            </w:r>
            <w:r>
              <w:rPr>
                <w:noProof/>
                <w:webHidden/>
              </w:rPr>
              <w:tab/>
            </w:r>
            <w:r>
              <w:rPr>
                <w:noProof/>
                <w:webHidden/>
              </w:rPr>
              <w:fldChar w:fldCharType="begin"/>
            </w:r>
            <w:r>
              <w:rPr>
                <w:noProof/>
                <w:webHidden/>
              </w:rPr>
              <w:instrText xml:space="preserve"> PAGEREF _Toc193363695 \h </w:instrText>
            </w:r>
            <w:r>
              <w:rPr>
                <w:noProof/>
                <w:webHidden/>
              </w:rPr>
            </w:r>
            <w:r>
              <w:rPr>
                <w:noProof/>
                <w:webHidden/>
              </w:rPr>
              <w:fldChar w:fldCharType="separate"/>
            </w:r>
            <w:r w:rsidR="005D3A9B">
              <w:rPr>
                <w:noProof/>
                <w:webHidden/>
              </w:rPr>
              <w:t>11</w:t>
            </w:r>
            <w:r>
              <w:rPr>
                <w:noProof/>
                <w:webHidden/>
              </w:rPr>
              <w:fldChar w:fldCharType="end"/>
            </w:r>
          </w:hyperlink>
        </w:p>
        <w:p w14:paraId="65955CDC" w14:textId="317AF887" w:rsidR="00A67FDF" w:rsidRDefault="00A67FDF">
          <w:pPr>
            <w:pStyle w:val="TDC2"/>
            <w:tabs>
              <w:tab w:val="right" w:leader="dot" w:pos="8544"/>
            </w:tabs>
            <w:rPr>
              <w:noProof/>
              <w:kern w:val="2"/>
              <w:sz w:val="24"/>
              <w:szCs w:val="24"/>
              <w:lang w:eastAsia="es-MX"/>
              <w14:ligatures w14:val="standardContextual"/>
            </w:rPr>
          </w:pPr>
          <w:hyperlink w:anchor="_Toc193363696" w:history="1">
            <w:r w:rsidRPr="00293BE3">
              <w:rPr>
                <w:rStyle w:val="Hipervnculo"/>
                <w:rFonts w:ascii="Arial" w:hAnsi="Arial" w:cs="Arial"/>
                <w:b/>
                <w:bCs/>
                <w:noProof/>
              </w:rPr>
              <w:t>8.3. Metodología de estudio</w:t>
            </w:r>
            <w:r>
              <w:rPr>
                <w:noProof/>
                <w:webHidden/>
              </w:rPr>
              <w:tab/>
            </w:r>
            <w:r>
              <w:rPr>
                <w:noProof/>
                <w:webHidden/>
              </w:rPr>
              <w:fldChar w:fldCharType="begin"/>
            </w:r>
            <w:r>
              <w:rPr>
                <w:noProof/>
                <w:webHidden/>
              </w:rPr>
              <w:instrText xml:space="preserve"> PAGEREF _Toc193363696 \h </w:instrText>
            </w:r>
            <w:r>
              <w:rPr>
                <w:noProof/>
                <w:webHidden/>
              </w:rPr>
            </w:r>
            <w:r>
              <w:rPr>
                <w:noProof/>
                <w:webHidden/>
              </w:rPr>
              <w:fldChar w:fldCharType="separate"/>
            </w:r>
            <w:r w:rsidR="005D3A9B">
              <w:rPr>
                <w:noProof/>
                <w:webHidden/>
              </w:rPr>
              <w:t>11</w:t>
            </w:r>
            <w:r>
              <w:rPr>
                <w:noProof/>
                <w:webHidden/>
              </w:rPr>
              <w:fldChar w:fldCharType="end"/>
            </w:r>
          </w:hyperlink>
        </w:p>
        <w:p w14:paraId="2E1851EB" w14:textId="0A8467A8" w:rsidR="00A67FDF" w:rsidRDefault="00A67FDF">
          <w:pPr>
            <w:pStyle w:val="TDC2"/>
            <w:tabs>
              <w:tab w:val="right" w:leader="dot" w:pos="8544"/>
            </w:tabs>
            <w:rPr>
              <w:noProof/>
              <w:kern w:val="2"/>
              <w:sz w:val="24"/>
              <w:szCs w:val="24"/>
              <w:lang w:eastAsia="es-MX"/>
              <w14:ligatures w14:val="standardContextual"/>
            </w:rPr>
          </w:pPr>
          <w:hyperlink w:anchor="_Toc193363697" w:history="1">
            <w:r w:rsidRPr="00293BE3">
              <w:rPr>
                <w:rStyle w:val="Hipervnculo"/>
                <w:rFonts w:ascii="Arial" w:hAnsi="Arial" w:cs="Arial"/>
                <w:b/>
                <w:bCs/>
                <w:noProof/>
              </w:rPr>
              <w:t>8.4. Marco normativo</w:t>
            </w:r>
            <w:r>
              <w:rPr>
                <w:noProof/>
                <w:webHidden/>
              </w:rPr>
              <w:tab/>
            </w:r>
            <w:r>
              <w:rPr>
                <w:noProof/>
                <w:webHidden/>
              </w:rPr>
              <w:fldChar w:fldCharType="begin"/>
            </w:r>
            <w:r>
              <w:rPr>
                <w:noProof/>
                <w:webHidden/>
              </w:rPr>
              <w:instrText xml:space="preserve"> PAGEREF _Toc193363697 \h </w:instrText>
            </w:r>
            <w:r>
              <w:rPr>
                <w:noProof/>
                <w:webHidden/>
              </w:rPr>
            </w:r>
            <w:r>
              <w:rPr>
                <w:noProof/>
                <w:webHidden/>
              </w:rPr>
              <w:fldChar w:fldCharType="separate"/>
            </w:r>
            <w:r w:rsidR="005D3A9B">
              <w:rPr>
                <w:noProof/>
                <w:webHidden/>
              </w:rPr>
              <w:t>12</w:t>
            </w:r>
            <w:r>
              <w:rPr>
                <w:noProof/>
                <w:webHidden/>
              </w:rPr>
              <w:fldChar w:fldCharType="end"/>
            </w:r>
          </w:hyperlink>
        </w:p>
        <w:p w14:paraId="760B70B8" w14:textId="70BB3C10" w:rsidR="00A67FDF" w:rsidRDefault="00A67FDF">
          <w:pPr>
            <w:pStyle w:val="TDC2"/>
            <w:tabs>
              <w:tab w:val="right" w:leader="dot" w:pos="8544"/>
            </w:tabs>
            <w:rPr>
              <w:noProof/>
              <w:kern w:val="2"/>
              <w:sz w:val="24"/>
              <w:szCs w:val="24"/>
              <w:lang w:eastAsia="es-MX"/>
              <w14:ligatures w14:val="standardContextual"/>
            </w:rPr>
          </w:pPr>
          <w:hyperlink w:anchor="_Toc193363698" w:history="1">
            <w:r w:rsidRPr="00293BE3">
              <w:rPr>
                <w:rStyle w:val="Hipervnculo"/>
                <w:rFonts w:ascii="Arial" w:hAnsi="Arial" w:cs="Arial"/>
                <w:b/>
                <w:bCs/>
                <w:noProof/>
              </w:rPr>
              <w:t>8.5 Decisión</w:t>
            </w:r>
            <w:r>
              <w:rPr>
                <w:noProof/>
                <w:webHidden/>
              </w:rPr>
              <w:tab/>
            </w:r>
            <w:r>
              <w:rPr>
                <w:noProof/>
                <w:webHidden/>
              </w:rPr>
              <w:fldChar w:fldCharType="begin"/>
            </w:r>
            <w:r>
              <w:rPr>
                <w:noProof/>
                <w:webHidden/>
              </w:rPr>
              <w:instrText xml:space="preserve"> PAGEREF _Toc193363698 \h </w:instrText>
            </w:r>
            <w:r>
              <w:rPr>
                <w:noProof/>
                <w:webHidden/>
              </w:rPr>
            </w:r>
            <w:r>
              <w:rPr>
                <w:noProof/>
                <w:webHidden/>
              </w:rPr>
              <w:fldChar w:fldCharType="separate"/>
            </w:r>
            <w:r w:rsidR="005D3A9B">
              <w:rPr>
                <w:noProof/>
                <w:webHidden/>
              </w:rPr>
              <w:t>17</w:t>
            </w:r>
            <w:r>
              <w:rPr>
                <w:noProof/>
                <w:webHidden/>
              </w:rPr>
              <w:fldChar w:fldCharType="end"/>
            </w:r>
          </w:hyperlink>
        </w:p>
        <w:p w14:paraId="2FF04692" w14:textId="37BC1BCB" w:rsidR="00A67FDF" w:rsidRDefault="00A67FDF">
          <w:pPr>
            <w:pStyle w:val="TDC2"/>
            <w:tabs>
              <w:tab w:val="right" w:leader="dot" w:pos="8544"/>
            </w:tabs>
            <w:rPr>
              <w:noProof/>
              <w:kern w:val="2"/>
              <w:sz w:val="24"/>
              <w:szCs w:val="24"/>
              <w:lang w:eastAsia="es-MX"/>
              <w14:ligatures w14:val="standardContextual"/>
            </w:rPr>
          </w:pPr>
          <w:hyperlink w:anchor="_Toc193363699" w:history="1">
            <w:r w:rsidRPr="00293BE3">
              <w:rPr>
                <w:rStyle w:val="Hipervnculo"/>
                <w:rFonts w:ascii="Arial" w:eastAsia="Arial" w:hAnsi="Arial" w:cs="Arial"/>
                <w:b/>
                <w:bCs/>
                <w:noProof/>
              </w:rPr>
              <w:t>8.6 Medidas de no repetición</w:t>
            </w:r>
            <w:r>
              <w:rPr>
                <w:noProof/>
                <w:webHidden/>
              </w:rPr>
              <w:tab/>
            </w:r>
            <w:r>
              <w:rPr>
                <w:noProof/>
                <w:webHidden/>
              </w:rPr>
              <w:fldChar w:fldCharType="begin"/>
            </w:r>
            <w:r>
              <w:rPr>
                <w:noProof/>
                <w:webHidden/>
              </w:rPr>
              <w:instrText xml:space="preserve"> PAGEREF _Toc193363699 \h </w:instrText>
            </w:r>
            <w:r>
              <w:rPr>
                <w:noProof/>
                <w:webHidden/>
              </w:rPr>
            </w:r>
            <w:r>
              <w:rPr>
                <w:noProof/>
                <w:webHidden/>
              </w:rPr>
              <w:fldChar w:fldCharType="separate"/>
            </w:r>
            <w:r w:rsidR="005D3A9B">
              <w:rPr>
                <w:noProof/>
                <w:webHidden/>
              </w:rPr>
              <w:t>25</w:t>
            </w:r>
            <w:r>
              <w:rPr>
                <w:noProof/>
                <w:webHidden/>
              </w:rPr>
              <w:fldChar w:fldCharType="end"/>
            </w:r>
          </w:hyperlink>
        </w:p>
        <w:p w14:paraId="2FD00F1B" w14:textId="2E57A90D" w:rsidR="00A67FDF" w:rsidRDefault="00A67FDF">
          <w:pPr>
            <w:pStyle w:val="TDC3"/>
            <w:rPr>
              <w:noProof/>
              <w:kern w:val="2"/>
              <w:sz w:val="24"/>
              <w:szCs w:val="24"/>
              <w:lang w:eastAsia="es-MX"/>
              <w14:ligatures w14:val="standardContextual"/>
            </w:rPr>
          </w:pPr>
          <w:hyperlink w:anchor="_Toc193363700" w:history="1">
            <w:r w:rsidRPr="00293BE3">
              <w:rPr>
                <w:rStyle w:val="Hipervnculo"/>
                <w:rFonts w:ascii="Arial" w:hAnsi="Arial" w:cs="Arial"/>
                <w:b/>
                <w:bCs/>
                <w:noProof/>
              </w:rPr>
              <w:t>IX. RESOLUTIVOS</w:t>
            </w:r>
            <w:r>
              <w:rPr>
                <w:noProof/>
                <w:webHidden/>
              </w:rPr>
              <w:tab/>
            </w:r>
            <w:r>
              <w:rPr>
                <w:noProof/>
                <w:webHidden/>
              </w:rPr>
              <w:fldChar w:fldCharType="begin"/>
            </w:r>
            <w:r>
              <w:rPr>
                <w:noProof/>
                <w:webHidden/>
              </w:rPr>
              <w:instrText xml:space="preserve"> PAGEREF _Toc193363700 \h </w:instrText>
            </w:r>
            <w:r>
              <w:rPr>
                <w:noProof/>
                <w:webHidden/>
              </w:rPr>
            </w:r>
            <w:r>
              <w:rPr>
                <w:noProof/>
                <w:webHidden/>
              </w:rPr>
              <w:fldChar w:fldCharType="separate"/>
            </w:r>
            <w:r w:rsidR="005D3A9B">
              <w:rPr>
                <w:noProof/>
                <w:webHidden/>
              </w:rPr>
              <w:t>26</w:t>
            </w:r>
            <w:r>
              <w:rPr>
                <w:noProof/>
                <w:webHidden/>
              </w:rPr>
              <w:fldChar w:fldCharType="end"/>
            </w:r>
          </w:hyperlink>
        </w:p>
        <w:p w14:paraId="0C3D8C3C" w14:textId="5BE03DE6" w:rsidR="000D1E58" w:rsidRDefault="00000000">
          <w:pPr>
            <w:pStyle w:val="TDC3"/>
            <w:rPr>
              <w:rStyle w:val="Hipervnculo"/>
              <w:noProof/>
              <w:kern w:val="2"/>
              <w:lang w:eastAsia="es-MX"/>
              <w14:ligatures w14:val="standardContextual"/>
            </w:rPr>
          </w:pPr>
          <w:r>
            <w:fldChar w:fldCharType="end"/>
          </w:r>
        </w:p>
      </w:sdtContent>
    </w:sdt>
    <w:p w14:paraId="2B1E65E8" w14:textId="77777777" w:rsidR="000D1E58" w:rsidRDefault="00000000">
      <w:pPr>
        <w:pStyle w:val="Ttulo1"/>
        <w:jc w:val="center"/>
        <w:rPr>
          <w:rStyle w:val="Ttulo1Car"/>
          <w:rFonts w:ascii="Arial" w:hAnsi="Arial" w:cs="Arial"/>
          <w:b/>
          <w:bCs/>
          <w:color w:val="000000" w:themeColor="text1"/>
          <w:sz w:val="24"/>
          <w:szCs w:val="24"/>
        </w:rPr>
      </w:pPr>
      <w:bookmarkStart w:id="0" w:name="_Toc193363685"/>
      <w:r>
        <w:rPr>
          <w:rStyle w:val="Ttulo1Car"/>
          <w:rFonts w:ascii="Arial" w:hAnsi="Arial" w:cs="Arial"/>
          <w:b/>
          <w:bCs/>
          <w:color w:val="000000" w:themeColor="text1"/>
          <w:sz w:val="24"/>
          <w:szCs w:val="24"/>
        </w:rPr>
        <w:t>GLOSARIO</w:t>
      </w:r>
      <w:bookmarkEnd w:id="0"/>
    </w:p>
    <w:p w14:paraId="48382EFA" w14:textId="77777777" w:rsidR="000D1E58" w:rsidRDefault="000D1E58"/>
    <w:tbl>
      <w:tblPr>
        <w:tblStyle w:val="Tablaconcuadrcula"/>
        <w:tblpPr w:leftFromText="141" w:rightFromText="141" w:vertAnchor="text" w:tblpXSpec="center" w:tblpY="1"/>
        <w:tblOverlap w:val="never"/>
        <w:tblW w:w="0" w:type="auto"/>
        <w:tblLook w:val="04A0" w:firstRow="1" w:lastRow="0" w:firstColumn="1" w:lastColumn="0" w:noHBand="0" w:noVBand="1"/>
      </w:tblPr>
      <w:tblGrid>
        <w:gridCol w:w="2268"/>
        <w:gridCol w:w="4678"/>
      </w:tblGrid>
      <w:tr w:rsidR="000D1E58" w14:paraId="60C19838" w14:textId="77777777">
        <w:trPr>
          <w:trHeight w:val="195"/>
        </w:trPr>
        <w:tc>
          <w:tcPr>
            <w:tcW w:w="2268" w:type="dxa"/>
          </w:tcPr>
          <w:p w14:paraId="2E6F016A" w14:textId="77777777" w:rsidR="000D1E58" w:rsidRDefault="00000000">
            <w:pPr>
              <w:pStyle w:val="Sangradetextonormal"/>
              <w:spacing w:after="100" w:afterAutospacing="1" w:line="240" w:lineRule="auto"/>
              <w:ind w:left="0"/>
              <w:jc w:val="both"/>
              <w:rPr>
                <w:rFonts w:ascii="Arial" w:hAnsi="Arial" w:cs="Arial"/>
                <w:b/>
                <w:bCs/>
                <w:i/>
                <w:iCs/>
                <w:sz w:val="20"/>
                <w:szCs w:val="20"/>
              </w:rPr>
            </w:pPr>
            <w:r>
              <w:rPr>
                <w:rFonts w:ascii="Arial" w:hAnsi="Arial" w:cs="Arial"/>
                <w:b/>
                <w:bCs/>
                <w:i/>
                <w:iCs/>
                <w:sz w:val="20"/>
                <w:szCs w:val="20"/>
              </w:rPr>
              <w:t>Actora y/o Regidora:</w:t>
            </w:r>
          </w:p>
        </w:tc>
        <w:tc>
          <w:tcPr>
            <w:tcW w:w="4678" w:type="dxa"/>
          </w:tcPr>
          <w:p w14:paraId="73961C1E" w14:textId="77777777" w:rsidR="000D1E58" w:rsidRDefault="00000000">
            <w:pPr>
              <w:pStyle w:val="Sangradetextonormal"/>
              <w:spacing w:after="100" w:afterAutospacing="1"/>
              <w:ind w:left="0"/>
              <w:jc w:val="both"/>
              <w:rPr>
                <w:rFonts w:ascii="Arial" w:hAnsi="Arial" w:cs="Arial"/>
                <w:sz w:val="20"/>
                <w:szCs w:val="20"/>
              </w:rPr>
            </w:pPr>
            <w:r>
              <w:rPr>
                <w:rFonts w:ascii="Arial" w:hAnsi="Arial" w:cs="Arial"/>
                <w:sz w:val="20"/>
                <w:szCs w:val="20"/>
              </w:rPr>
              <w:t>Patricia Pérez Morales.  Regidora de Epitacio Huerta, Michoacán.</w:t>
            </w:r>
          </w:p>
        </w:tc>
      </w:tr>
      <w:tr w:rsidR="000D1E58" w14:paraId="75375A0C" w14:textId="77777777">
        <w:trPr>
          <w:trHeight w:val="195"/>
        </w:trPr>
        <w:tc>
          <w:tcPr>
            <w:tcW w:w="2268" w:type="dxa"/>
          </w:tcPr>
          <w:p w14:paraId="7DF976C7" w14:textId="77777777" w:rsidR="000D1E58" w:rsidRDefault="00000000">
            <w:pPr>
              <w:pStyle w:val="Sangradetextonormal"/>
              <w:spacing w:after="100" w:afterAutospacing="1" w:line="240" w:lineRule="auto"/>
              <w:ind w:left="0"/>
              <w:jc w:val="both"/>
              <w:rPr>
                <w:rFonts w:ascii="Arial" w:hAnsi="Arial" w:cs="Arial"/>
                <w:b/>
                <w:bCs/>
                <w:i/>
                <w:iCs/>
                <w:sz w:val="20"/>
                <w:szCs w:val="20"/>
              </w:rPr>
            </w:pPr>
            <w:r>
              <w:rPr>
                <w:rFonts w:ascii="Arial" w:hAnsi="Arial" w:cs="Arial"/>
                <w:b/>
                <w:bCs/>
                <w:i/>
                <w:iCs/>
                <w:sz w:val="20"/>
                <w:szCs w:val="20"/>
              </w:rPr>
              <w:t>autoridades responsables y/o Presidente Municipal y Secretario:</w:t>
            </w:r>
          </w:p>
        </w:tc>
        <w:tc>
          <w:tcPr>
            <w:tcW w:w="4678" w:type="dxa"/>
          </w:tcPr>
          <w:p w14:paraId="664EB9B6" w14:textId="77777777" w:rsidR="000D1E58" w:rsidRDefault="00000000">
            <w:pPr>
              <w:pStyle w:val="Sangradetextonormal"/>
              <w:spacing w:after="100" w:afterAutospacing="1"/>
              <w:ind w:left="0"/>
              <w:jc w:val="both"/>
              <w:rPr>
                <w:rFonts w:ascii="Arial" w:hAnsi="Arial" w:cs="Arial"/>
                <w:sz w:val="20"/>
                <w:szCs w:val="20"/>
              </w:rPr>
            </w:pPr>
            <w:r>
              <w:rPr>
                <w:rFonts w:ascii="Arial" w:hAnsi="Arial" w:cs="Arial"/>
                <w:sz w:val="20"/>
                <w:szCs w:val="20"/>
              </w:rPr>
              <w:t>Presidente y Secretario del Ayuntamiento de Epitacio Huerta, Michoacán.</w:t>
            </w:r>
          </w:p>
        </w:tc>
      </w:tr>
      <w:tr w:rsidR="000D1E58" w14:paraId="3CDB59EA" w14:textId="77777777">
        <w:trPr>
          <w:trHeight w:val="265"/>
        </w:trPr>
        <w:tc>
          <w:tcPr>
            <w:tcW w:w="2268" w:type="dxa"/>
          </w:tcPr>
          <w:p w14:paraId="678683E1" w14:textId="77777777" w:rsidR="000D1E58" w:rsidRDefault="00000000">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Ayuntamiento:</w:t>
            </w:r>
          </w:p>
        </w:tc>
        <w:tc>
          <w:tcPr>
            <w:tcW w:w="4678" w:type="dxa"/>
          </w:tcPr>
          <w:p w14:paraId="2E7E42F4" w14:textId="77777777" w:rsidR="000D1E58" w:rsidRDefault="00000000">
            <w:pPr>
              <w:pStyle w:val="Sangradetextonormal"/>
              <w:spacing w:after="100" w:afterAutospacing="1"/>
              <w:ind w:left="0"/>
              <w:jc w:val="both"/>
              <w:rPr>
                <w:rFonts w:ascii="Arial" w:hAnsi="Arial" w:cs="Arial"/>
                <w:sz w:val="20"/>
                <w:szCs w:val="20"/>
              </w:rPr>
            </w:pPr>
            <w:r>
              <w:rPr>
                <w:rFonts w:ascii="Arial" w:hAnsi="Arial" w:cs="Arial"/>
                <w:sz w:val="20"/>
                <w:szCs w:val="20"/>
              </w:rPr>
              <w:t>Ayuntamiento de Epitacio Huerta, Michoacán.</w:t>
            </w:r>
          </w:p>
        </w:tc>
      </w:tr>
      <w:tr w:rsidR="000D1E58" w14:paraId="314F1D6A" w14:textId="77777777">
        <w:trPr>
          <w:trHeight w:val="265"/>
        </w:trPr>
        <w:tc>
          <w:tcPr>
            <w:tcW w:w="2268" w:type="dxa"/>
          </w:tcPr>
          <w:p w14:paraId="46154697" w14:textId="77777777" w:rsidR="000D1E58" w:rsidRDefault="00000000">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Código Electoral:</w:t>
            </w:r>
          </w:p>
        </w:tc>
        <w:tc>
          <w:tcPr>
            <w:tcW w:w="4678" w:type="dxa"/>
          </w:tcPr>
          <w:p w14:paraId="3941EDDE" w14:textId="77777777" w:rsidR="000D1E58" w:rsidRDefault="00000000">
            <w:pPr>
              <w:pStyle w:val="Sangradetextonormal"/>
              <w:spacing w:after="100" w:afterAutospacing="1"/>
              <w:ind w:left="0"/>
              <w:jc w:val="both"/>
              <w:rPr>
                <w:rFonts w:ascii="Arial" w:hAnsi="Arial" w:cs="Arial"/>
                <w:sz w:val="20"/>
                <w:szCs w:val="20"/>
              </w:rPr>
            </w:pPr>
            <w:r>
              <w:rPr>
                <w:rFonts w:ascii="Arial" w:hAnsi="Arial" w:cs="Arial"/>
                <w:sz w:val="20"/>
                <w:szCs w:val="20"/>
              </w:rPr>
              <w:t xml:space="preserve">Código Electoral del Estado de Michoacán de Ocampo. </w:t>
            </w:r>
          </w:p>
        </w:tc>
      </w:tr>
      <w:tr w:rsidR="000D1E58" w14:paraId="4C5CF27A" w14:textId="77777777">
        <w:trPr>
          <w:trHeight w:val="265"/>
        </w:trPr>
        <w:tc>
          <w:tcPr>
            <w:tcW w:w="2268" w:type="dxa"/>
          </w:tcPr>
          <w:p w14:paraId="43283516" w14:textId="77777777" w:rsidR="000D1E58" w:rsidRDefault="00000000">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Constitución General:</w:t>
            </w:r>
          </w:p>
        </w:tc>
        <w:tc>
          <w:tcPr>
            <w:tcW w:w="4678" w:type="dxa"/>
          </w:tcPr>
          <w:p w14:paraId="78897511" w14:textId="77777777" w:rsidR="000D1E58" w:rsidRDefault="00000000">
            <w:pPr>
              <w:pStyle w:val="Sangradetextonormal"/>
              <w:spacing w:after="100" w:afterAutospacing="1"/>
              <w:ind w:left="0"/>
              <w:jc w:val="both"/>
              <w:rPr>
                <w:rFonts w:ascii="Arial" w:hAnsi="Arial" w:cs="Arial"/>
                <w:sz w:val="20"/>
                <w:szCs w:val="20"/>
              </w:rPr>
            </w:pPr>
            <w:r>
              <w:rPr>
                <w:rFonts w:ascii="Arial" w:hAnsi="Arial" w:cs="Arial"/>
                <w:sz w:val="20"/>
                <w:szCs w:val="20"/>
              </w:rPr>
              <w:t>Constitución Política de los Estados Unidos Mexicanos.</w:t>
            </w:r>
          </w:p>
        </w:tc>
      </w:tr>
      <w:tr w:rsidR="000D1E58" w14:paraId="7960CDB3" w14:textId="77777777">
        <w:trPr>
          <w:trHeight w:val="265"/>
        </w:trPr>
        <w:tc>
          <w:tcPr>
            <w:tcW w:w="2268" w:type="dxa"/>
          </w:tcPr>
          <w:p w14:paraId="24CF2257" w14:textId="77777777" w:rsidR="000D1E58" w:rsidRDefault="00000000">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Constitución Local:</w:t>
            </w:r>
          </w:p>
        </w:tc>
        <w:tc>
          <w:tcPr>
            <w:tcW w:w="4678" w:type="dxa"/>
          </w:tcPr>
          <w:p w14:paraId="39652C49" w14:textId="77777777" w:rsidR="000D1E58" w:rsidRDefault="00000000">
            <w:pPr>
              <w:pStyle w:val="Sangradetextonormal"/>
              <w:spacing w:after="100" w:afterAutospacing="1"/>
              <w:ind w:left="0"/>
              <w:jc w:val="both"/>
              <w:rPr>
                <w:rFonts w:ascii="Arial" w:hAnsi="Arial" w:cs="Arial"/>
                <w:sz w:val="20"/>
                <w:szCs w:val="20"/>
              </w:rPr>
            </w:pPr>
            <w:r>
              <w:rPr>
                <w:rFonts w:ascii="Arial" w:hAnsi="Arial" w:cs="Arial"/>
                <w:sz w:val="20"/>
                <w:szCs w:val="20"/>
              </w:rPr>
              <w:t>Constitución Política del Estado Libre y Soberano de Michoacán de Ocampo.</w:t>
            </w:r>
          </w:p>
        </w:tc>
      </w:tr>
      <w:tr w:rsidR="000D1E58" w14:paraId="6113AF44" w14:textId="77777777">
        <w:trPr>
          <w:trHeight w:val="519"/>
        </w:trPr>
        <w:tc>
          <w:tcPr>
            <w:tcW w:w="2268" w:type="dxa"/>
          </w:tcPr>
          <w:p w14:paraId="11C03C6C" w14:textId="77777777" w:rsidR="000D1E58" w:rsidRDefault="00000000">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juicio de la ciudadanía:</w:t>
            </w:r>
          </w:p>
        </w:tc>
        <w:tc>
          <w:tcPr>
            <w:tcW w:w="4678" w:type="dxa"/>
          </w:tcPr>
          <w:p w14:paraId="16DAC065" w14:textId="77777777" w:rsidR="000D1E58" w:rsidRDefault="00000000">
            <w:pPr>
              <w:pStyle w:val="Sangradetextonormal"/>
              <w:spacing w:after="100" w:afterAutospacing="1"/>
              <w:ind w:left="0"/>
              <w:jc w:val="both"/>
              <w:rPr>
                <w:rFonts w:ascii="Arial" w:hAnsi="Arial" w:cs="Arial"/>
                <w:sz w:val="20"/>
                <w:szCs w:val="20"/>
              </w:rPr>
            </w:pPr>
            <w:r>
              <w:rPr>
                <w:rFonts w:ascii="Arial" w:hAnsi="Arial" w:cs="Arial"/>
                <w:sz w:val="20"/>
                <w:szCs w:val="20"/>
              </w:rPr>
              <w:t>Juicio para la Protección de los Derechos Político-Electorales del Ciudadano.</w:t>
            </w:r>
          </w:p>
        </w:tc>
      </w:tr>
      <w:tr w:rsidR="000D1E58" w14:paraId="232EB65E" w14:textId="77777777">
        <w:trPr>
          <w:trHeight w:val="307"/>
        </w:trPr>
        <w:tc>
          <w:tcPr>
            <w:tcW w:w="2268" w:type="dxa"/>
          </w:tcPr>
          <w:p w14:paraId="4B37B5F8" w14:textId="77777777" w:rsidR="000D1E58" w:rsidRDefault="00000000">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Ley de Justicia Electoral:</w:t>
            </w:r>
          </w:p>
        </w:tc>
        <w:tc>
          <w:tcPr>
            <w:tcW w:w="4678" w:type="dxa"/>
          </w:tcPr>
          <w:p w14:paraId="334CC502" w14:textId="77777777" w:rsidR="000D1E58" w:rsidRDefault="00000000">
            <w:pPr>
              <w:pStyle w:val="Sangradetextonormal"/>
              <w:spacing w:after="100" w:afterAutospacing="1"/>
              <w:ind w:left="0"/>
              <w:jc w:val="both"/>
              <w:rPr>
                <w:rFonts w:ascii="Arial" w:hAnsi="Arial" w:cs="Arial"/>
                <w:sz w:val="20"/>
                <w:szCs w:val="20"/>
              </w:rPr>
            </w:pPr>
            <w:r>
              <w:rPr>
                <w:rFonts w:ascii="Arial" w:hAnsi="Arial" w:cs="Arial"/>
                <w:sz w:val="20"/>
                <w:szCs w:val="20"/>
              </w:rPr>
              <w:t>Ley de Justicia en Materia Electoral y de Participación Ciudadana del Estado de Michoacán de Ocampo.</w:t>
            </w:r>
          </w:p>
        </w:tc>
      </w:tr>
      <w:tr w:rsidR="000D1E58" w14:paraId="693E1630" w14:textId="77777777">
        <w:trPr>
          <w:trHeight w:val="307"/>
        </w:trPr>
        <w:tc>
          <w:tcPr>
            <w:tcW w:w="2268" w:type="dxa"/>
          </w:tcPr>
          <w:p w14:paraId="5217096B" w14:textId="77777777" w:rsidR="000D1E58" w:rsidRDefault="00000000">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 xml:space="preserve">Ley de Transparencia: </w:t>
            </w:r>
          </w:p>
        </w:tc>
        <w:tc>
          <w:tcPr>
            <w:tcW w:w="4678" w:type="dxa"/>
          </w:tcPr>
          <w:p w14:paraId="58D11C78" w14:textId="77777777" w:rsidR="000D1E58" w:rsidRDefault="00000000">
            <w:pPr>
              <w:pStyle w:val="Sangradetextonormal"/>
              <w:spacing w:after="100" w:afterAutospacing="1"/>
              <w:ind w:left="0"/>
              <w:jc w:val="both"/>
              <w:rPr>
                <w:rFonts w:ascii="Arial" w:hAnsi="Arial" w:cs="Arial"/>
                <w:sz w:val="20"/>
                <w:szCs w:val="20"/>
              </w:rPr>
            </w:pPr>
            <w:r>
              <w:rPr>
                <w:rFonts w:ascii="Arial" w:hAnsi="Arial" w:cs="Arial"/>
                <w:sz w:val="20"/>
                <w:szCs w:val="20"/>
              </w:rPr>
              <w:t>Ley de Transparencia, Acceso a la Información Pública y Protección de Datos Personales del Estado de Michoacán.</w:t>
            </w:r>
          </w:p>
        </w:tc>
      </w:tr>
      <w:tr w:rsidR="000D1E58" w14:paraId="4991C2EF" w14:textId="77777777">
        <w:trPr>
          <w:trHeight w:val="307"/>
        </w:trPr>
        <w:tc>
          <w:tcPr>
            <w:tcW w:w="2268" w:type="dxa"/>
          </w:tcPr>
          <w:p w14:paraId="0DE60D2D" w14:textId="77777777" w:rsidR="000D1E58" w:rsidRDefault="00000000">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Ley Orgánica Municipal:</w:t>
            </w:r>
          </w:p>
        </w:tc>
        <w:tc>
          <w:tcPr>
            <w:tcW w:w="4678" w:type="dxa"/>
          </w:tcPr>
          <w:p w14:paraId="4D9433BD" w14:textId="77777777" w:rsidR="000D1E58" w:rsidRDefault="00000000">
            <w:pPr>
              <w:pStyle w:val="Sangradetextonormal"/>
              <w:spacing w:after="100" w:afterAutospacing="1"/>
              <w:ind w:left="0"/>
              <w:jc w:val="both"/>
              <w:rPr>
                <w:rFonts w:ascii="Arial" w:hAnsi="Arial" w:cs="Arial"/>
                <w:sz w:val="20"/>
                <w:szCs w:val="20"/>
              </w:rPr>
            </w:pPr>
            <w:r>
              <w:rPr>
                <w:rFonts w:ascii="Arial" w:hAnsi="Arial" w:cs="Arial"/>
                <w:sz w:val="20"/>
                <w:szCs w:val="20"/>
              </w:rPr>
              <w:t>Ley Orgánica Municipal del Estado de Michoacán de Ocampo.</w:t>
            </w:r>
          </w:p>
        </w:tc>
      </w:tr>
      <w:tr w:rsidR="000D1E58" w14:paraId="0C647FC5" w14:textId="77777777">
        <w:trPr>
          <w:trHeight w:val="307"/>
        </w:trPr>
        <w:tc>
          <w:tcPr>
            <w:tcW w:w="2268" w:type="dxa"/>
          </w:tcPr>
          <w:p w14:paraId="54F08815" w14:textId="77777777" w:rsidR="000D1E58" w:rsidRDefault="00000000">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Sala Superior:</w:t>
            </w:r>
          </w:p>
        </w:tc>
        <w:tc>
          <w:tcPr>
            <w:tcW w:w="4678" w:type="dxa"/>
          </w:tcPr>
          <w:p w14:paraId="2AA16320" w14:textId="77777777" w:rsidR="000D1E58" w:rsidRDefault="00000000">
            <w:pPr>
              <w:pStyle w:val="Sangradetextonormal"/>
              <w:spacing w:after="100" w:afterAutospacing="1"/>
              <w:ind w:left="0"/>
              <w:jc w:val="both"/>
              <w:rPr>
                <w:rFonts w:ascii="Arial" w:hAnsi="Arial" w:cs="Arial"/>
                <w:sz w:val="20"/>
                <w:szCs w:val="20"/>
              </w:rPr>
            </w:pPr>
            <w:r>
              <w:rPr>
                <w:rFonts w:ascii="Arial" w:hAnsi="Arial" w:cs="Arial"/>
                <w:sz w:val="20"/>
                <w:szCs w:val="20"/>
              </w:rPr>
              <w:t>Sala Superior del Tribunal Electoral del Poder Judicial de la Federación.</w:t>
            </w:r>
          </w:p>
        </w:tc>
      </w:tr>
      <w:tr w:rsidR="000D1E58" w14:paraId="494A4444" w14:textId="77777777">
        <w:trPr>
          <w:trHeight w:val="307"/>
        </w:trPr>
        <w:tc>
          <w:tcPr>
            <w:tcW w:w="2268" w:type="dxa"/>
          </w:tcPr>
          <w:p w14:paraId="06866470" w14:textId="77777777" w:rsidR="000D1E58" w:rsidRDefault="00000000">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Sala Toluca:</w:t>
            </w:r>
          </w:p>
        </w:tc>
        <w:tc>
          <w:tcPr>
            <w:tcW w:w="4678" w:type="dxa"/>
          </w:tcPr>
          <w:p w14:paraId="6CC7D52E" w14:textId="77777777" w:rsidR="000D1E58" w:rsidRDefault="00000000">
            <w:pPr>
              <w:pStyle w:val="Sangradetextonormal"/>
              <w:spacing w:after="100" w:afterAutospacing="1"/>
              <w:ind w:left="0"/>
              <w:jc w:val="both"/>
              <w:rPr>
                <w:rFonts w:ascii="Arial" w:hAnsi="Arial" w:cs="Arial"/>
                <w:sz w:val="20"/>
                <w:szCs w:val="20"/>
              </w:rPr>
            </w:pPr>
            <w:r>
              <w:rPr>
                <w:rFonts w:ascii="Arial" w:hAnsi="Arial" w:cs="Arial"/>
                <w:sz w:val="20"/>
                <w:szCs w:val="20"/>
              </w:rPr>
              <w:t>Sala Regional del Tribunal Electoral del Poder Judicial de la Federación, correspondiente a la Quinta circunscripción plurinominal, con sede en Toluca de Lerdo, Estado de México.</w:t>
            </w:r>
          </w:p>
        </w:tc>
      </w:tr>
      <w:tr w:rsidR="000D1E58" w14:paraId="08D4EE9B" w14:textId="77777777">
        <w:trPr>
          <w:trHeight w:val="307"/>
        </w:trPr>
        <w:tc>
          <w:tcPr>
            <w:tcW w:w="2268" w:type="dxa"/>
          </w:tcPr>
          <w:p w14:paraId="4129B69A" w14:textId="77777777" w:rsidR="000D1E58" w:rsidRDefault="00000000">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Sesión Ordinaria 002:</w:t>
            </w:r>
          </w:p>
        </w:tc>
        <w:tc>
          <w:tcPr>
            <w:tcW w:w="4678" w:type="dxa"/>
          </w:tcPr>
          <w:p w14:paraId="784EF9E0" w14:textId="77777777" w:rsidR="000D1E58" w:rsidRDefault="00000000">
            <w:pPr>
              <w:pStyle w:val="Sangradetextonormal"/>
              <w:spacing w:after="100" w:afterAutospacing="1"/>
              <w:ind w:left="0"/>
              <w:jc w:val="both"/>
              <w:rPr>
                <w:rFonts w:ascii="Arial" w:hAnsi="Arial" w:cs="Arial"/>
                <w:sz w:val="20"/>
                <w:szCs w:val="20"/>
              </w:rPr>
            </w:pPr>
            <w:r>
              <w:rPr>
                <w:rFonts w:ascii="Arial" w:hAnsi="Arial" w:cs="Arial"/>
                <w:sz w:val="20"/>
                <w:szCs w:val="20"/>
              </w:rPr>
              <w:t>Sesión Ordinaria 002 del H. Ayuntamiento de Epitacio Huerta, Michoacán, de 28 veintiocho de enero de 2025.</w:t>
            </w:r>
          </w:p>
        </w:tc>
      </w:tr>
      <w:tr w:rsidR="000D1E58" w14:paraId="1A5825A6" w14:textId="77777777">
        <w:trPr>
          <w:trHeight w:val="307"/>
        </w:trPr>
        <w:tc>
          <w:tcPr>
            <w:tcW w:w="2268" w:type="dxa"/>
          </w:tcPr>
          <w:p w14:paraId="6BD256E5" w14:textId="77777777" w:rsidR="000D1E58" w:rsidRDefault="00000000">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lastRenderedPageBreak/>
              <w:t>Tribunal Electoral y/o órgano jurisdiccional:</w:t>
            </w:r>
          </w:p>
        </w:tc>
        <w:tc>
          <w:tcPr>
            <w:tcW w:w="4678" w:type="dxa"/>
          </w:tcPr>
          <w:p w14:paraId="7F5C7DEF" w14:textId="77777777" w:rsidR="000D1E58" w:rsidRDefault="00000000">
            <w:pPr>
              <w:pStyle w:val="Sangradetextonormal"/>
              <w:spacing w:after="100" w:afterAutospacing="1"/>
              <w:ind w:left="0"/>
              <w:jc w:val="both"/>
              <w:rPr>
                <w:rFonts w:ascii="Arial" w:hAnsi="Arial" w:cs="Arial"/>
                <w:sz w:val="20"/>
                <w:szCs w:val="20"/>
              </w:rPr>
            </w:pPr>
            <w:r>
              <w:rPr>
                <w:rFonts w:ascii="Arial" w:hAnsi="Arial" w:cs="Arial"/>
                <w:sz w:val="20"/>
                <w:szCs w:val="20"/>
              </w:rPr>
              <w:t>Tribunal Electoral del Estado.</w:t>
            </w:r>
          </w:p>
        </w:tc>
      </w:tr>
    </w:tbl>
    <w:p w14:paraId="42A91377" w14:textId="77777777" w:rsidR="000D1E58" w:rsidRDefault="000D1E58">
      <w:pPr>
        <w:suppressAutoHyphens/>
        <w:spacing w:before="240" w:after="0" w:line="360" w:lineRule="auto"/>
        <w:jc w:val="both"/>
      </w:pPr>
    </w:p>
    <w:p w14:paraId="6B5CA4FA" w14:textId="77777777" w:rsidR="000D1E58" w:rsidRDefault="000D1E58">
      <w:pPr>
        <w:suppressAutoHyphens/>
        <w:spacing w:before="240" w:after="0" w:line="360" w:lineRule="auto"/>
        <w:jc w:val="both"/>
      </w:pPr>
    </w:p>
    <w:p w14:paraId="5C320879" w14:textId="77777777" w:rsidR="000D1E58" w:rsidRDefault="00000000">
      <w:pPr>
        <w:pStyle w:val="Ttulo1"/>
        <w:jc w:val="center"/>
        <w:rPr>
          <w:rFonts w:ascii="Arial" w:hAnsi="Arial" w:cs="Arial"/>
          <w:b/>
          <w:bCs/>
          <w:color w:val="auto"/>
          <w:sz w:val="26"/>
          <w:szCs w:val="26"/>
        </w:rPr>
      </w:pPr>
      <w:bookmarkStart w:id="1" w:name="_Toc193363686"/>
      <w:r>
        <w:rPr>
          <w:rStyle w:val="Ttulo1Car"/>
          <w:rFonts w:ascii="Arial" w:hAnsi="Arial" w:cs="Arial"/>
          <w:b/>
          <w:bCs/>
          <w:color w:val="000000" w:themeColor="text1"/>
          <w:sz w:val="24"/>
          <w:szCs w:val="24"/>
        </w:rPr>
        <w:t>I. ANTECEDENTES</w:t>
      </w:r>
      <w:r>
        <w:rPr>
          <w:rStyle w:val="Refdenotaalpie"/>
          <w:rFonts w:ascii="Arial" w:hAnsi="Arial" w:cs="Arial"/>
          <w:b/>
          <w:bCs/>
          <w:color w:val="auto"/>
          <w:sz w:val="26"/>
          <w:szCs w:val="26"/>
        </w:rPr>
        <w:footnoteReference w:id="2"/>
      </w:r>
      <w:bookmarkEnd w:id="1"/>
    </w:p>
    <w:p w14:paraId="067BFB54" w14:textId="77777777" w:rsidR="000D1E58" w:rsidRDefault="00000000">
      <w:pPr>
        <w:suppressAutoHyphens/>
        <w:spacing w:before="240" w:after="0" w:line="360" w:lineRule="auto"/>
        <w:jc w:val="both"/>
        <w:rPr>
          <w:rFonts w:ascii="Arial" w:hAnsi="Arial" w:cs="Arial"/>
          <w:sz w:val="24"/>
          <w:szCs w:val="24"/>
        </w:rPr>
      </w:pPr>
      <w:r>
        <w:rPr>
          <w:rFonts w:ascii="Arial" w:hAnsi="Arial" w:cs="Arial"/>
          <w:b/>
          <w:bCs/>
          <w:sz w:val="24"/>
          <w:szCs w:val="24"/>
        </w:rPr>
        <w:t xml:space="preserve">1. Instalación del </w:t>
      </w:r>
      <w:r>
        <w:rPr>
          <w:rFonts w:ascii="Arial" w:hAnsi="Arial" w:cs="Arial"/>
          <w:b/>
          <w:bCs/>
          <w:i/>
          <w:iCs/>
          <w:sz w:val="24"/>
          <w:szCs w:val="24"/>
        </w:rPr>
        <w:t>Ayuntamiento</w:t>
      </w:r>
      <w:r>
        <w:rPr>
          <w:rFonts w:ascii="Arial" w:hAnsi="Arial" w:cs="Arial"/>
          <w:b/>
          <w:bCs/>
          <w:sz w:val="24"/>
          <w:szCs w:val="24"/>
        </w:rPr>
        <w:t xml:space="preserve">. </w:t>
      </w:r>
      <w:r>
        <w:rPr>
          <w:rFonts w:ascii="Arial" w:hAnsi="Arial" w:cs="Arial"/>
          <w:sz w:val="24"/>
          <w:szCs w:val="24"/>
        </w:rPr>
        <w:t xml:space="preserve">El uno de septiembre de dos mil veinticuatro, los integrantes del </w:t>
      </w:r>
      <w:r>
        <w:rPr>
          <w:rFonts w:ascii="Arial" w:hAnsi="Arial" w:cs="Arial"/>
          <w:i/>
          <w:iCs/>
          <w:sz w:val="24"/>
          <w:szCs w:val="24"/>
        </w:rPr>
        <w:t>Ayuntamiento</w:t>
      </w:r>
      <w:r>
        <w:rPr>
          <w:rFonts w:ascii="Arial" w:hAnsi="Arial" w:cs="Arial"/>
          <w:sz w:val="24"/>
          <w:szCs w:val="24"/>
        </w:rPr>
        <w:t xml:space="preserve"> tomaron posesión de sus cargos para el ejercicio 2024-2025, entre ellos la </w:t>
      </w:r>
      <w:r>
        <w:rPr>
          <w:rFonts w:ascii="Arial" w:hAnsi="Arial" w:cs="Arial"/>
          <w:i/>
          <w:iCs/>
          <w:sz w:val="24"/>
          <w:szCs w:val="24"/>
        </w:rPr>
        <w:t>actora</w:t>
      </w:r>
      <w:r>
        <w:rPr>
          <w:rFonts w:ascii="Arial" w:hAnsi="Arial" w:cs="Arial"/>
          <w:sz w:val="24"/>
          <w:szCs w:val="24"/>
        </w:rPr>
        <w:t xml:space="preserve"> en cuanto </w:t>
      </w:r>
      <w:r>
        <w:rPr>
          <w:rFonts w:ascii="Arial" w:hAnsi="Arial" w:cs="Arial"/>
          <w:i/>
          <w:iCs/>
          <w:sz w:val="24"/>
          <w:szCs w:val="24"/>
        </w:rPr>
        <w:t>Regidora</w:t>
      </w:r>
      <w:r>
        <w:rPr>
          <w:rStyle w:val="Refdenotaalpie"/>
          <w:rFonts w:ascii="Arial" w:hAnsi="Arial" w:cs="Arial"/>
          <w:sz w:val="24"/>
          <w:szCs w:val="24"/>
        </w:rPr>
        <w:footnoteReference w:id="3"/>
      </w:r>
      <w:r>
        <w:rPr>
          <w:rFonts w:ascii="Arial" w:hAnsi="Arial" w:cs="Arial"/>
          <w:sz w:val="24"/>
          <w:szCs w:val="24"/>
        </w:rPr>
        <w:t xml:space="preserve">. </w:t>
      </w:r>
    </w:p>
    <w:p w14:paraId="5D65722C" w14:textId="77777777" w:rsidR="000D1E58" w:rsidRDefault="00000000">
      <w:pPr>
        <w:spacing w:before="240" w:after="0" w:line="360" w:lineRule="auto"/>
        <w:jc w:val="both"/>
        <w:rPr>
          <w:rFonts w:ascii="Arial" w:hAnsi="Arial" w:cs="Arial"/>
          <w:sz w:val="24"/>
          <w:szCs w:val="24"/>
        </w:rPr>
      </w:pPr>
      <w:r>
        <w:rPr>
          <w:rFonts w:ascii="Arial" w:hAnsi="Arial" w:cs="Arial"/>
          <w:b/>
          <w:bCs/>
          <w:sz w:val="24"/>
          <w:szCs w:val="24"/>
        </w:rPr>
        <w:t>2.</w:t>
      </w:r>
      <w:r>
        <w:rPr>
          <w:rFonts w:ascii="Arial" w:hAnsi="Arial" w:cs="Arial"/>
          <w:sz w:val="24"/>
          <w:szCs w:val="24"/>
        </w:rPr>
        <w:t xml:space="preserve"> </w:t>
      </w:r>
      <w:bookmarkStart w:id="2" w:name="_Hlk184204344"/>
      <w:r>
        <w:rPr>
          <w:rFonts w:ascii="Arial" w:hAnsi="Arial" w:cs="Arial"/>
          <w:b/>
          <w:bCs/>
          <w:sz w:val="24"/>
          <w:szCs w:val="24"/>
        </w:rPr>
        <w:t xml:space="preserve">Solicitud. </w:t>
      </w:r>
      <w:r>
        <w:rPr>
          <w:rFonts w:ascii="Arial" w:hAnsi="Arial" w:cs="Arial"/>
          <w:sz w:val="24"/>
          <w:szCs w:val="24"/>
        </w:rPr>
        <w:t xml:space="preserve">El veintisiete de enero, la </w:t>
      </w:r>
      <w:r>
        <w:rPr>
          <w:rFonts w:ascii="Arial" w:hAnsi="Arial" w:cs="Arial"/>
          <w:i/>
          <w:iCs/>
          <w:sz w:val="24"/>
          <w:szCs w:val="24"/>
        </w:rPr>
        <w:t>Regidora</w:t>
      </w:r>
      <w:r>
        <w:rPr>
          <w:rFonts w:ascii="Arial" w:hAnsi="Arial" w:cs="Arial"/>
          <w:sz w:val="24"/>
          <w:szCs w:val="24"/>
        </w:rPr>
        <w:t xml:space="preserve"> presentó oficio al </w:t>
      </w:r>
      <w:r>
        <w:rPr>
          <w:rFonts w:ascii="Arial" w:hAnsi="Arial" w:cs="Arial"/>
          <w:i/>
          <w:iCs/>
          <w:sz w:val="24"/>
          <w:szCs w:val="24"/>
        </w:rPr>
        <w:t>Presidente Municipal</w:t>
      </w:r>
      <w:r>
        <w:rPr>
          <w:rFonts w:ascii="Arial" w:hAnsi="Arial" w:cs="Arial"/>
          <w:sz w:val="24"/>
          <w:szCs w:val="24"/>
        </w:rPr>
        <w:t xml:space="preserve">, con atención al </w:t>
      </w:r>
      <w:r>
        <w:rPr>
          <w:rFonts w:ascii="Arial" w:hAnsi="Arial" w:cs="Arial"/>
          <w:i/>
          <w:iCs/>
          <w:sz w:val="24"/>
          <w:szCs w:val="24"/>
        </w:rPr>
        <w:t xml:space="preserve">Secretario, </w:t>
      </w:r>
      <w:r>
        <w:rPr>
          <w:rFonts w:ascii="Arial" w:hAnsi="Arial" w:cs="Arial"/>
          <w:sz w:val="24"/>
          <w:szCs w:val="24"/>
        </w:rPr>
        <w:t xml:space="preserve">mediante el que le requirió la entrega personal de los documentos relativos a los asuntos de la </w:t>
      </w:r>
      <w:r>
        <w:rPr>
          <w:rFonts w:ascii="Arial" w:hAnsi="Arial" w:cs="Arial"/>
          <w:i/>
          <w:iCs/>
          <w:sz w:val="24"/>
          <w:szCs w:val="24"/>
        </w:rPr>
        <w:t>Sesión Ordinaria 002</w:t>
      </w:r>
      <w:r>
        <w:rPr>
          <w:rFonts w:ascii="Arial" w:hAnsi="Arial" w:cs="Arial"/>
          <w:sz w:val="24"/>
          <w:szCs w:val="24"/>
        </w:rPr>
        <w:t xml:space="preserve">, así como la reprogramación de </w:t>
      </w:r>
      <w:proofErr w:type="gramStart"/>
      <w:r>
        <w:rPr>
          <w:rFonts w:ascii="Arial" w:hAnsi="Arial" w:cs="Arial"/>
          <w:sz w:val="24"/>
          <w:szCs w:val="24"/>
        </w:rPr>
        <w:t>la misma</w:t>
      </w:r>
      <w:proofErr w:type="gramEnd"/>
      <w:r>
        <w:rPr>
          <w:rStyle w:val="Refdenotaalpie"/>
          <w:rFonts w:ascii="Arial" w:hAnsi="Arial" w:cs="Arial"/>
          <w:sz w:val="24"/>
          <w:szCs w:val="24"/>
        </w:rPr>
        <w:footnoteReference w:id="4"/>
      </w:r>
      <w:r>
        <w:rPr>
          <w:rFonts w:ascii="Arial" w:hAnsi="Arial" w:cs="Arial"/>
          <w:sz w:val="24"/>
          <w:szCs w:val="24"/>
        </w:rPr>
        <w:t>, al cual recayó oficio de contestación en la misma data</w:t>
      </w:r>
      <w:r>
        <w:rPr>
          <w:rStyle w:val="Refdenotaalpie"/>
          <w:rFonts w:ascii="Arial" w:hAnsi="Arial" w:cs="Arial"/>
          <w:sz w:val="24"/>
          <w:szCs w:val="24"/>
        </w:rPr>
        <w:footnoteReference w:id="5"/>
      </w:r>
      <w:r>
        <w:rPr>
          <w:rFonts w:ascii="Arial" w:hAnsi="Arial" w:cs="Arial"/>
          <w:sz w:val="24"/>
          <w:szCs w:val="24"/>
        </w:rPr>
        <w:t>.</w:t>
      </w:r>
    </w:p>
    <w:p w14:paraId="17D9E5B7" w14:textId="77777777" w:rsidR="000D1E58" w:rsidRDefault="00000000">
      <w:pPr>
        <w:spacing w:before="240" w:after="0" w:line="360" w:lineRule="auto"/>
        <w:jc w:val="both"/>
        <w:rPr>
          <w:rFonts w:ascii="Arial" w:hAnsi="Arial" w:cs="Arial"/>
          <w:sz w:val="24"/>
          <w:szCs w:val="24"/>
        </w:rPr>
      </w:pPr>
      <w:r>
        <w:rPr>
          <w:rFonts w:ascii="Arial" w:hAnsi="Arial" w:cs="Arial"/>
          <w:b/>
          <w:sz w:val="24"/>
          <w:szCs w:val="24"/>
        </w:rPr>
        <w:t xml:space="preserve">3. </w:t>
      </w:r>
      <w:r>
        <w:rPr>
          <w:rFonts w:ascii="Arial" w:hAnsi="Arial" w:cs="Arial"/>
          <w:b/>
          <w:i/>
          <w:iCs/>
          <w:sz w:val="24"/>
          <w:szCs w:val="24"/>
        </w:rPr>
        <w:t>Sesión Ordinaria 002</w:t>
      </w:r>
      <w:r>
        <w:rPr>
          <w:rFonts w:ascii="Arial" w:hAnsi="Arial" w:cs="Arial"/>
          <w:b/>
          <w:sz w:val="24"/>
          <w:szCs w:val="24"/>
        </w:rPr>
        <w:t xml:space="preserve">. </w:t>
      </w:r>
      <w:r>
        <w:rPr>
          <w:rFonts w:ascii="Arial" w:hAnsi="Arial" w:cs="Arial"/>
          <w:sz w:val="24"/>
          <w:szCs w:val="24"/>
        </w:rPr>
        <w:t xml:space="preserve">El veintiocho siguiente, se llevó a cabo la </w:t>
      </w:r>
      <w:r>
        <w:rPr>
          <w:rFonts w:ascii="Arial" w:hAnsi="Arial" w:cs="Arial"/>
          <w:i/>
          <w:iCs/>
          <w:sz w:val="24"/>
          <w:szCs w:val="24"/>
        </w:rPr>
        <w:t xml:space="preserve">Sesión Ordinaria 002, </w:t>
      </w:r>
      <w:r>
        <w:rPr>
          <w:rFonts w:ascii="Arial" w:hAnsi="Arial" w:cs="Arial"/>
          <w:sz w:val="24"/>
          <w:szCs w:val="24"/>
        </w:rPr>
        <w:t xml:space="preserve">en la que participaron todos los integrantes del </w:t>
      </w:r>
      <w:r>
        <w:rPr>
          <w:rFonts w:ascii="Arial" w:hAnsi="Arial" w:cs="Arial"/>
          <w:i/>
          <w:iCs/>
          <w:sz w:val="24"/>
          <w:szCs w:val="24"/>
        </w:rPr>
        <w:t>Ayuntamiento</w:t>
      </w:r>
      <w:r>
        <w:rPr>
          <w:rFonts w:ascii="Arial" w:hAnsi="Arial" w:cs="Arial"/>
          <w:sz w:val="24"/>
          <w:szCs w:val="24"/>
        </w:rPr>
        <w:t xml:space="preserve">, incluyendo la </w:t>
      </w:r>
      <w:r w:rsidRPr="008E43C8">
        <w:rPr>
          <w:rFonts w:ascii="Arial" w:hAnsi="Arial" w:cs="Arial"/>
          <w:i/>
          <w:iCs/>
          <w:sz w:val="24"/>
          <w:szCs w:val="24"/>
        </w:rPr>
        <w:t>actora</w:t>
      </w:r>
      <w:r>
        <w:rPr>
          <w:rFonts w:ascii="Arial" w:hAnsi="Arial" w:cs="Arial"/>
          <w:sz w:val="24"/>
          <w:szCs w:val="24"/>
        </w:rPr>
        <w:t>; en donde ésta presentó documento mediante el cual realizó diversas manifestaciones relacionadas con distintos puntos del orden del día; pidiendo fuera anexado al Acta de Sesión correspondiente</w:t>
      </w:r>
      <w:r>
        <w:rPr>
          <w:rStyle w:val="Refdenotaalpie"/>
          <w:rFonts w:ascii="Arial" w:hAnsi="Arial" w:cs="Arial"/>
          <w:sz w:val="24"/>
          <w:szCs w:val="24"/>
        </w:rPr>
        <w:footnoteReference w:id="6"/>
      </w:r>
      <w:r>
        <w:rPr>
          <w:rFonts w:ascii="Arial" w:hAnsi="Arial" w:cs="Arial"/>
          <w:sz w:val="24"/>
          <w:szCs w:val="24"/>
        </w:rPr>
        <w:t>.</w:t>
      </w:r>
    </w:p>
    <w:p w14:paraId="1D4E6E41" w14:textId="79A4BA69" w:rsidR="000D1E58" w:rsidRDefault="00000000">
      <w:pPr>
        <w:spacing w:before="240" w:after="0" w:line="360" w:lineRule="auto"/>
        <w:jc w:val="both"/>
        <w:rPr>
          <w:rFonts w:ascii="Arial" w:hAnsi="Arial" w:cs="Arial"/>
          <w:sz w:val="24"/>
          <w:szCs w:val="24"/>
        </w:rPr>
      </w:pPr>
      <w:r>
        <w:rPr>
          <w:rFonts w:ascii="Arial" w:hAnsi="Arial" w:cs="Arial"/>
          <w:b/>
          <w:bCs/>
          <w:sz w:val="24"/>
          <w:szCs w:val="24"/>
        </w:rPr>
        <w:t>4. Solicitud de constancias.</w:t>
      </w:r>
      <w:r>
        <w:rPr>
          <w:rFonts w:ascii="Arial" w:hAnsi="Arial" w:cs="Arial"/>
          <w:sz w:val="24"/>
          <w:szCs w:val="24"/>
        </w:rPr>
        <w:t xml:space="preserve"> El treinta posterior</w:t>
      </w:r>
      <w:r w:rsidR="00FD6F3F">
        <w:rPr>
          <w:rStyle w:val="Refdenotaalpie"/>
          <w:rFonts w:ascii="Arial" w:hAnsi="Arial" w:cs="Arial"/>
          <w:sz w:val="24"/>
          <w:szCs w:val="24"/>
        </w:rPr>
        <w:footnoteReference w:id="7"/>
      </w:r>
      <w:r>
        <w:rPr>
          <w:rFonts w:ascii="Arial" w:hAnsi="Arial" w:cs="Arial"/>
          <w:sz w:val="24"/>
          <w:szCs w:val="24"/>
        </w:rPr>
        <w:t xml:space="preserve">, </w:t>
      </w:r>
      <w:r>
        <w:rPr>
          <w:rFonts w:ascii="Arial" w:hAnsi="Arial" w:cs="Arial"/>
          <w:bCs/>
          <w:sz w:val="24"/>
          <w:szCs w:val="24"/>
        </w:rPr>
        <w:t xml:space="preserve">la </w:t>
      </w:r>
      <w:r>
        <w:rPr>
          <w:rFonts w:ascii="Arial" w:hAnsi="Arial" w:cs="Arial"/>
          <w:bCs/>
          <w:i/>
          <w:iCs/>
          <w:sz w:val="24"/>
          <w:szCs w:val="24"/>
        </w:rPr>
        <w:t>Regidora</w:t>
      </w:r>
      <w:r>
        <w:rPr>
          <w:rFonts w:ascii="Arial" w:hAnsi="Arial" w:cs="Arial"/>
          <w:bCs/>
          <w:sz w:val="24"/>
          <w:szCs w:val="24"/>
        </w:rPr>
        <w:t xml:space="preserve"> presentó oficio de solicitud al </w:t>
      </w:r>
      <w:r>
        <w:rPr>
          <w:rFonts w:ascii="Arial" w:hAnsi="Arial" w:cs="Arial"/>
          <w:bCs/>
          <w:i/>
          <w:iCs/>
          <w:sz w:val="24"/>
          <w:szCs w:val="24"/>
        </w:rPr>
        <w:t>Presidente Municipal</w:t>
      </w:r>
      <w:r>
        <w:rPr>
          <w:rFonts w:ascii="Arial" w:hAnsi="Arial" w:cs="Arial"/>
          <w:bCs/>
          <w:sz w:val="24"/>
          <w:szCs w:val="24"/>
        </w:rPr>
        <w:t xml:space="preserve">, con atención al </w:t>
      </w:r>
      <w:r>
        <w:rPr>
          <w:rFonts w:ascii="Arial" w:hAnsi="Arial" w:cs="Arial"/>
          <w:bCs/>
          <w:i/>
          <w:iCs/>
          <w:sz w:val="24"/>
          <w:szCs w:val="24"/>
        </w:rPr>
        <w:t xml:space="preserve">Secretario, </w:t>
      </w:r>
      <w:r>
        <w:rPr>
          <w:rFonts w:ascii="Arial" w:hAnsi="Arial" w:cs="Arial"/>
          <w:sz w:val="24"/>
          <w:szCs w:val="24"/>
        </w:rPr>
        <w:t>mediante el que le requirió copias certificadas de diversa documentación, al cual recayó oficio de contestación el treinta y uno posterior</w:t>
      </w:r>
      <w:r>
        <w:rPr>
          <w:rStyle w:val="Refdenotaalpie"/>
          <w:rFonts w:ascii="Arial" w:hAnsi="Arial" w:cs="Arial"/>
          <w:sz w:val="24"/>
          <w:szCs w:val="24"/>
        </w:rPr>
        <w:footnoteReference w:id="8"/>
      </w:r>
      <w:r>
        <w:rPr>
          <w:rFonts w:ascii="Arial" w:hAnsi="Arial" w:cs="Arial"/>
          <w:sz w:val="24"/>
          <w:szCs w:val="24"/>
        </w:rPr>
        <w:t>.</w:t>
      </w:r>
    </w:p>
    <w:bookmarkEnd w:id="2"/>
    <w:p w14:paraId="64E8861B" w14:textId="77777777" w:rsidR="000D1E58" w:rsidRDefault="00000000">
      <w:pPr>
        <w:spacing w:before="240" w:after="0" w:line="360" w:lineRule="auto"/>
        <w:jc w:val="both"/>
        <w:rPr>
          <w:rFonts w:ascii="Arial" w:hAnsi="Arial" w:cs="Arial"/>
          <w:sz w:val="24"/>
          <w:szCs w:val="24"/>
        </w:rPr>
      </w:pPr>
      <w:r>
        <w:rPr>
          <w:rFonts w:ascii="Arial" w:hAnsi="Arial" w:cs="Arial"/>
          <w:b/>
          <w:sz w:val="24"/>
          <w:szCs w:val="24"/>
        </w:rPr>
        <w:t xml:space="preserve">5. </w:t>
      </w:r>
      <w:r>
        <w:rPr>
          <w:rFonts w:ascii="Arial" w:hAnsi="Arial" w:cs="Arial"/>
          <w:b/>
          <w:i/>
          <w:iCs/>
          <w:sz w:val="24"/>
          <w:szCs w:val="24"/>
        </w:rPr>
        <w:t>Juicio de la ciudadanía</w:t>
      </w:r>
      <w:r>
        <w:rPr>
          <w:rFonts w:ascii="Arial" w:hAnsi="Arial" w:cs="Arial"/>
          <w:b/>
          <w:sz w:val="24"/>
          <w:szCs w:val="24"/>
        </w:rPr>
        <w:t>.</w:t>
      </w:r>
      <w:r>
        <w:rPr>
          <w:rFonts w:ascii="Arial" w:hAnsi="Arial" w:cs="Arial"/>
          <w:sz w:val="24"/>
          <w:szCs w:val="24"/>
        </w:rPr>
        <w:t xml:space="preserve"> El once de febrero, la </w:t>
      </w:r>
      <w:r>
        <w:rPr>
          <w:rFonts w:ascii="Arial" w:hAnsi="Arial" w:cs="Arial"/>
          <w:i/>
          <w:iCs/>
          <w:sz w:val="24"/>
          <w:szCs w:val="24"/>
        </w:rPr>
        <w:t xml:space="preserve">actora </w:t>
      </w:r>
      <w:r>
        <w:rPr>
          <w:rFonts w:ascii="Arial" w:hAnsi="Arial" w:cs="Arial"/>
          <w:sz w:val="24"/>
          <w:szCs w:val="24"/>
        </w:rPr>
        <w:t xml:space="preserve">presentó ante la Oficialía de Partes de este </w:t>
      </w:r>
      <w:r>
        <w:rPr>
          <w:rFonts w:ascii="Arial" w:hAnsi="Arial" w:cs="Arial"/>
          <w:i/>
          <w:iCs/>
          <w:sz w:val="24"/>
          <w:szCs w:val="24"/>
        </w:rPr>
        <w:t>Tribunal Electoral</w:t>
      </w:r>
      <w:r>
        <w:rPr>
          <w:rFonts w:ascii="Arial" w:hAnsi="Arial" w:cs="Arial"/>
          <w:sz w:val="24"/>
          <w:szCs w:val="24"/>
        </w:rPr>
        <w:t xml:space="preserve"> la demanda que dio origen al medio de impugnación que se resuelve</w:t>
      </w:r>
      <w:r>
        <w:rPr>
          <w:rStyle w:val="Refdenotaalpie"/>
          <w:rFonts w:ascii="Arial" w:hAnsi="Arial" w:cs="Arial"/>
          <w:sz w:val="24"/>
          <w:szCs w:val="24"/>
        </w:rPr>
        <w:footnoteReference w:id="9"/>
      </w:r>
      <w:r>
        <w:rPr>
          <w:rFonts w:ascii="Arial" w:hAnsi="Arial" w:cs="Arial"/>
          <w:sz w:val="24"/>
          <w:szCs w:val="24"/>
        </w:rPr>
        <w:t xml:space="preserve">. </w:t>
      </w:r>
    </w:p>
    <w:p w14:paraId="476DB97C" w14:textId="77777777" w:rsidR="000D1E58" w:rsidRDefault="00000000">
      <w:pPr>
        <w:pStyle w:val="Ttulo1"/>
        <w:jc w:val="center"/>
        <w:rPr>
          <w:rFonts w:ascii="Arial" w:hAnsi="Arial" w:cs="Arial"/>
          <w:b/>
          <w:bCs/>
          <w:color w:val="auto"/>
          <w:sz w:val="24"/>
          <w:szCs w:val="24"/>
        </w:rPr>
      </w:pPr>
      <w:bookmarkStart w:id="3" w:name="_Toc193363687"/>
      <w:r>
        <w:rPr>
          <w:rFonts w:ascii="Arial" w:hAnsi="Arial" w:cs="Arial"/>
          <w:b/>
          <w:bCs/>
          <w:color w:val="auto"/>
          <w:sz w:val="24"/>
          <w:szCs w:val="24"/>
        </w:rPr>
        <w:lastRenderedPageBreak/>
        <w:t>II. TRÁMITE</w:t>
      </w:r>
      <w:bookmarkEnd w:id="3"/>
    </w:p>
    <w:p w14:paraId="5771B7AA" w14:textId="77777777" w:rsidR="000D1E58" w:rsidRDefault="00000000">
      <w:pPr>
        <w:spacing w:before="240" w:after="0" w:line="360" w:lineRule="auto"/>
        <w:jc w:val="both"/>
        <w:rPr>
          <w:rFonts w:ascii="Arial" w:hAnsi="Arial" w:cs="Arial"/>
          <w:sz w:val="24"/>
          <w:szCs w:val="24"/>
        </w:rPr>
      </w:pPr>
      <w:r>
        <w:rPr>
          <w:rFonts w:ascii="Arial" w:hAnsi="Arial" w:cs="Arial"/>
          <w:b/>
          <w:sz w:val="24"/>
          <w:szCs w:val="24"/>
        </w:rPr>
        <w:t>1. Registro y turno a ponencia.</w:t>
      </w:r>
      <w:r>
        <w:rPr>
          <w:rFonts w:ascii="Arial" w:hAnsi="Arial" w:cs="Arial"/>
          <w:sz w:val="24"/>
          <w:szCs w:val="24"/>
        </w:rPr>
        <w:t xml:space="preserve"> En la misma fecha, la Magistrada Alma Rosa Bahena Villalobos, Presidenta de este </w:t>
      </w:r>
      <w:r>
        <w:rPr>
          <w:rFonts w:ascii="Arial" w:hAnsi="Arial" w:cs="Arial"/>
          <w:i/>
          <w:iCs/>
          <w:sz w:val="24"/>
          <w:szCs w:val="24"/>
        </w:rPr>
        <w:t>órgano jurisdiccional</w:t>
      </w:r>
      <w:r>
        <w:rPr>
          <w:rFonts w:ascii="Arial" w:hAnsi="Arial" w:cs="Arial"/>
          <w:sz w:val="24"/>
          <w:szCs w:val="24"/>
        </w:rPr>
        <w:t xml:space="preserve"> ordenó integrar el expediente TEEM-JDC-037/2025 y turnarlo a la ponencia a su cargo</w:t>
      </w:r>
      <w:r>
        <w:rPr>
          <w:rStyle w:val="Refdenotaalpie"/>
          <w:rFonts w:ascii="Arial" w:hAnsi="Arial" w:cs="Arial"/>
          <w:sz w:val="24"/>
          <w:szCs w:val="24"/>
        </w:rPr>
        <w:footnoteReference w:id="10"/>
      </w:r>
      <w:r>
        <w:rPr>
          <w:rFonts w:ascii="Arial" w:hAnsi="Arial" w:cs="Arial"/>
          <w:sz w:val="24"/>
          <w:szCs w:val="24"/>
        </w:rPr>
        <w:t>.</w:t>
      </w:r>
    </w:p>
    <w:p w14:paraId="409FEAFF" w14:textId="77777777" w:rsidR="000D1E58" w:rsidRDefault="00000000">
      <w:pPr>
        <w:spacing w:before="240" w:after="0" w:line="360" w:lineRule="auto"/>
        <w:jc w:val="both"/>
        <w:rPr>
          <w:rFonts w:ascii="Arial" w:hAnsi="Arial" w:cs="Arial"/>
          <w:sz w:val="24"/>
          <w:szCs w:val="24"/>
        </w:rPr>
      </w:pPr>
      <w:r>
        <w:rPr>
          <w:rFonts w:ascii="Arial" w:hAnsi="Arial" w:cs="Arial"/>
          <w:b/>
          <w:bCs/>
          <w:sz w:val="24"/>
          <w:szCs w:val="24"/>
        </w:rPr>
        <w:t>2. Radicación y requerimiento de trámite de ley.</w:t>
      </w:r>
      <w:r>
        <w:rPr>
          <w:rFonts w:ascii="Arial" w:hAnsi="Arial" w:cs="Arial"/>
          <w:sz w:val="24"/>
          <w:szCs w:val="24"/>
        </w:rPr>
        <w:t xml:space="preserve"> El doce siguiente, se radicó el </w:t>
      </w:r>
      <w:r>
        <w:rPr>
          <w:rFonts w:ascii="Arial" w:hAnsi="Arial" w:cs="Arial"/>
          <w:i/>
          <w:iCs/>
          <w:sz w:val="24"/>
          <w:szCs w:val="24"/>
        </w:rPr>
        <w:t xml:space="preserve">juicio de la ciudadanía </w:t>
      </w:r>
      <w:r>
        <w:rPr>
          <w:rFonts w:ascii="Arial" w:hAnsi="Arial" w:cs="Arial"/>
          <w:sz w:val="24"/>
          <w:szCs w:val="24"/>
        </w:rPr>
        <w:t>y se requirió a las autoridades señaladas como responsables para que rindieran su informe circunstanciado y efectuaran el trámite de ley; así como que remitieran las constancias correspondientes</w:t>
      </w:r>
      <w:r>
        <w:rPr>
          <w:rStyle w:val="Refdenotaalpie"/>
          <w:rFonts w:ascii="Arial" w:hAnsi="Arial" w:cs="Arial"/>
          <w:sz w:val="24"/>
          <w:szCs w:val="24"/>
        </w:rPr>
        <w:footnoteReference w:id="11"/>
      </w:r>
      <w:r>
        <w:rPr>
          <w:rFonts w:ascii="Arial" w:hAnsi="Arial" w:cs="Arial"/>
          <w:sz w:val="24"/>
          <w:szCs w:val="24"/>
        </w:rPr>
        <w:t xml:space="preserve">. </w:t>
      </w:r>
    </w:p>
    <w:p w14:paraId="5207043D" w14:textId="77777777" w:rsidR="000D1E58" w:rsidRDefault="00000000">
      <w:pPr>
        <w:spacing w:before="240" w:after="0" w:line="360" w:lineRule="auto"/>
        <w:jc w:val="both"/>
        <w:rPr>
          <w:rFonts w:ascii="Arial" w:hAnsi="Arial" w:cs="Arial"/>
          <w:sz w:val="24"/>
          <w:szCs w:val="24"/>
        </w:rPr>
      </w:pPr>
      <w:r>
        <w:rPr>
          <w:rFonts w:ascii="Arial" w:hAnsi="Arial" w:cs="Arial"/>
          <w:b/>
          <w:bCs/>
          <w:sz w:val="24"/>
          <w:szCs w:val="24"/>
        </w:rPr>
        <w:t xml:space="preserve">3. Cumplimiento parcial y nuevo requerimiento. </w:t>
      </w:r>
      <w:r>
        <w:rPr>
          <w:rFonts w:ascii="Arial" w:hAnsi="Arial" w:cs="Arial"/>
          <w:sz w:val="24"/>
          <w:szCs w:val="24"/>
        </w:rPr>
        <w:t xml:space="preserve">El veinte de febrero se tuvo a las autoridades responsables rindiendo su informe circunstanciado; no obstante, al no haber adjuntado las constancias correspondientes al trámite de ley, se les requirió para que las allegaran a este </w:t>
      </w:r>
      <w:r>
        <w:rPr>
          <w:rFonts w:ascii="Arial" w:hAnsi="Arial" w:cs="Arial"/>
          <w:i/>
          <w:iCs/>
          <w:sz w:val="24"/>
          <w:szCs w:val="24"/>
        </w:rPr>
        <w:t>Tribunal Electoral</w:t>
      </w:r>
      <w:r>
        <w:rPr>
          <w:rStyle w:val="Refdenotaalpie"/>
          <w:rFonts w:ascii="Arial" w:hAnsi="Arial" w:cs="Arial"/>
          <w:i/>
          <w:iCs/>
          <w:sz w:val="24"/>
          <w:szCs w:val="24"/>
        </w:rPr>
        <w:footnoteReference w:id="12"/>
      </w:r>
      <w:r>
        <w:rPr>
          <w:rFonts w:ascii="Arial" w:hAnsi="Arial" w:cs="Arial"/>
          <w:sz w:val="24"/>
          <w:szCs w:val="24"/>
        </w:rPr>
        <w:t xml:space="preserve">. </w:t>
      </w:r>
    </w:p>
    <w:p w14:paraId="723A7C90" w14:textId="77777777" w:rsidR="000D1E58" w:rsidRDefault="00000000">
      <w:pPr>
        <w:spacing w:before="240" w:after="0" w:line="360" w:lineRule="auto"/>
        <w:jc w:val="both"/>
        <w:rPr>
          <w:rFonts w:ascii="Arial" w:hAnsi="Arial" w:cs="Arial"/>
          <w:sz w:val="24"/>
          <w:szCs w:val="24"/>
        </w:rPr>
      </w:pPr>
      <w:r>
        <w:rPr>
          <w:rFonts w:ascii="Arial" w:hAnsi="Arial" w:cs="Arial"/>
          <w:b/>
          <w:bCs/>
          <w:sz w:val="24"/>
          <w:szCs w:val="24"/>
        </w:rPr>
        <w:t xml:space="preserve">4. Cumplimiento </w:t>
      </w:r>
      <w:r>
        <w:rPr>
          <w:rFonts w:ascii="Arial" w:hAnsi="Arial" w:cs="Arial"/>
          <w:b/>
          <w:sz w:val="24"/>
          <w:szCs w:val="24"/>
        </w:rPr>
        <w:t>de trámite de ley y vista</w:t>
      </w:r>
      <w:r>
        <w:rPr>
          <w:rFonts w:ascii="Arial" w:hAnsi="Arial" w:cs="Arial"/>
          <w:b/>
          <w:bCs/>
          <w:sz w:val="24"/>
          <w:szCs w:val="24"/>
        </w:rPr>
        <w:t xml:space="preserve">. </w:t>
      </w:r>
      <w:r>
        <w:rPr>
          <w:rFonts w:ascii="Arial" w:hAnsi="Arial" w:cs="Arial"/>
          <w:sz w:val="24"/>
          <w:szCs w:val="24"/>
        </w:rPr>
        <w:t xml:space="preserve">Mediante proveído de veinticinco posterior, se tuvo por recibido el trámite de ley, así como diversa documentación y cumpliendo con el requerimiento efectuado; además, se ordenó dar vista a la </w:t>
      </w:r>
      <w:r>
        <w:rPr>
          <w:rFonts w:ascii="Arial" w:hAnsi="Arial" w:cs="Arial"/>
          <w:i/>
          <w:iCs/>
          <w:sz w:val="24"/>
          <w:szCs w:val="24"/>
        </w:rPr>
        <w:t>actora</w:t>
      </w:r>
      <w:r>
        <w:rPr>
          <w:rStyle w:val="Refdenotaalpie"/>
          <w:rFonts w:ascii="Arial" w:hAnsi="Arial" w:cs="Arial"/>
          <w:sz w:val="24"/>
          <w:szCs w:val="24"/>
        </w:rPr>
        <w:footnoteReference w:id="13"/>
      </w:r>
      <w:r>
        <w:rPr>
          <w:rFonts w:ascii="Arial" w:hAnsi="Arial" w:cs="Arial"/>
          <w:sz w:val="24"/>
          <w:szCs w:val="24"/>
        </w:rPr>
        <w:t>.</w:t>
      </w:r>
    </w:p>
    <w:p w14:paraId="48C98970" w14:textId="77777777" w:rsidR="000D1E58" w:rsidRDefault="00000000">
      <w:pPr>
        <w:spacing w:before="240" w:after="0" w:line="360" w:lineRule="auto"/>
        <w:jc w:val="both"/>
        <w:rPr>
          <w:rFonts w:ascii="Arial" w:hAnsi="Arial" w:cs="Arial"/>
          <w:sz w:val="24"/>
          <w:szCs w:val="24"/>
        </w:rPr>
      </w:pPr>
      <w:r>
        <w:rPr>
          <w:rFonts w:ascii="Arial" w:hAnsi="Arial" w:cs="Arial"/>
          <w:b/>
          <w:bCs/>
          <w:sz w:val="24"/>
          <w:szCs w:val="24"/>
        </w:rPr>
        <w:t>5. Vista.</w:t>
      </w:r>
      <w:r>
        <w:rPr>
          <w:rFonts w:ascii="Arial" w:hAnsi="Arial" w:cs="Arial"/>
          <w:sz w:val="24"/>
          <w:szCs w:val="24"/>
        </w:rPr>
        <w:t xml:space="preserve"> El cuatro de marzo, se tuvo por precluido el derecho de la </w:t>
      </w:r>
      <w:r>
        <w:rPr>
          <w:rFonts w:ascii="Arial" w:hAnsi="Arial" w:cs="Arial"/>
          <w:i/>
          <w:iCs/>
          <w:sz w:val="24"/>
          <w:szCs w:val="24"/>
        </w:rPr>
        <w:t xml:space="preserve">Regidora </w:t>
      </w:r>
      <w:r>
        <w:rPr>
          <w:rFonts w:ascii="Arial" w:hAnsi="Arial" w:cs="Arial"/>
          <w:sz w:val="24"/>
          <w:szCs w:val="24"/>
        </w:rPr>
        <w:t>respecto de la vista otorgada por la Magistrada Instructora el veinticinco de febrero</w:t>
      </w:r>
      <w:r>
        <w:rPr>
          <w:rStyle w:val="Refdenotaalpie"/>
          <w:rFonts w:ascii="Arial" w:hAnsi="Arial" w:cs="Arial"/>
          <w:sz w:val="24"/>
          <w:szCs w:val="24"/>
        </w:rPr>
        <w:footnoteReference w:id="14"/>
      </w:r>
      <w:r>
        <w:rPr>
          <w:rFonts w:ascii="Arial" w:hAnsi="Arial" w:cs="Arial"/>
          <w:sz w:val="24"/>
          <w:szCs w:val="24"/>
        </w:rPr>
        <w:t>.</w:t>
      </w:r>
    </w:p>
    <w:p w14:paraId="76AA6187" w14:textId="77777777" w:rsidR="000D1E58" w:rsidRDefault="00000000">
      <w:pPr>
        <w:spacing w:before="240" w:after="0" w:line="360" w:lineRule="auto"/>
        <w:jc w:val="both"/>
        <w:rPr>
          <w:rFonts w:ascii="Arial" w:hAnsi="Arial" w:cs="Arial"/>
          <w:sz w:val="24"/>
          <w:szCs w:val="24"/>
        </w:rPr>
      </w:pPr>
      <w:r>
        <w:rPr>
          <w:rFonts w:ascii="Arial" w:hAnsi="Arial" w:cs="Arial"/>
          <w:b/>
          <w:bCs/>
          <w:sz w:val="24"/>
          <w:szCs w:val="24"/>
        </w:rPr>
        <w:t>6. A</w:t>
      </w:r>
      <w:r>
        <w:rPr>
          <w:rFonts w:ascii="Arial" w:hAnsi="Arial" w:cs="Arial"/>
          <w:b/>
          <w:sz w:val="24"/>
          <w:szCs w:val="24"/>
        </w:rPr>
        <w:t>dmisión.</w:t>
      </w:r>
      <w:r>
        <w:rPr>
          <w:rFonts w:ascii="Arial" w:hAnsi="Arial" w:cs="Arial"/>
          <w:sz w:val="24"/>
          <w:szCs w:val="24"/>
        </w:rPr>
        <w:t xml:space="preserve"> El doce de marzo se admitió el presente </w:t>
      </w:r>
      <w:r>
        <w:rPr>
          <w:rFonts w:ascii="Arial" w:hAnsi="Arial" w:cs="Arial"/>
          <w:i/>
          <w:iCs/>
          <w:sz w:val="24"/>
          <w:szCs w:val="24"/>
        </w:rPr>
        <w:t xml:space="preserve">juicio de la ciudadanía </w:t>
      </w:r>
      <w:r>
        <w:rPr>
          <w:rStyle w:val="Refdenotaalpie"/>
          <w:rFonts w:ascii="Arial" w:hAnsi="Arial" w:cs="Arial"/>
          <w:sz w:val="24"/>
          <w:szCs w:val="24"/>
        </w:rPr>
        <w:footnoteReference w:id="15"/>
      </w:r>
      <w:r>
        <w:rPr>
          <w:rFonts w:ascii="Arial" w:hAnsi="Arial" w:cs="Arial"/>
          <w:sz w:val="24"/>
          <w:szCs w:val="24"/>
        </w:rPr>
        <w:t>.</w:t>
      </w:r>
    </w:p>
    <w:p w14:paraId="016C8211" w14:textId="5B3A8CB5" w:rsidR="000D1E58" w:rsidRDefault="00000000">
      <w:pPr>
        <w:spacing w:before="240" w:after="0" w:line="360" w:lineRule="auto"/>
        <w:jc w:val="both"/>
        <w:rPr>
          <w:rFonts w:ascii="Arial" w:hAnsi="Arial" w:cs="Arial"/>
          <w:b/>
          <w:bCs/>
          <w:sz w:val="24"/>
          <w:szCs w:val="24"/>
        </w:rPr>
      </w:pPr>
      <w:r>
        <w:rPr>
          <w:rFonts w:ascii="Arial" w:hAnsi="Arial" w:cs="Arial"/>
          <w:b/>
          <w:bCs/>
          <w:sz w:val="24"/>
          <w:szCs w:val="24"/>
        </w:rPr>
        <w:t>7. Cierre de instrucción</w:t>
      </w:r>
      <w:r>
        <w:rPr>
          <w:rFonts w:ascii="Arial" w:hAnsi="Arial" w:cs="Arial"/>
          <w:color w:val="000000"/>
          <w:sz w:val="24"/>
          <w:szCs w:val="24"/>
        </w:rPr>
        <w:t xml:space="preserve">. </w:t>
      </w:r>
      <w:r>
        <w:rPr>
          <w:rFonts w:ascii="Arial" w:hAnsi="Arial" w:cs="Arial"/>
          <w:sz w:val="24"/>
          <w:szCs w:val="24"/>
        </w:rPr>
        <w:t>En acuerdo de</w:t>
      </w:r>
      <w:r w:rsidR="00B43304">
        <w:rPr>
          <w:rFonts w:ascii="Arial" w:hAnsi="Arial" w:cs="Arial"/>
          <w:sz w:val="24"/>
          <w:szCs w:val="24"/>
        </w:rPr>
        <w:t xml:space="preserve"> veinte de </w:t>
      </w:r>
      <w:r w:rsidR="00B43304" w:rsidRPr="00B43304">
        <w:rPr>
          <w:rFonts w:ascii="Arial" w:hAnsi="Arial" w:cs="Arial"/>
          <w:sz w:val="24"/>
          <w:szCs w:val="24"/>
        </w:rPr>
        <w:t>marzo</w:t>
      </w:r>
      <w:r w:rsidRPr="00B43304">
        <w:rPr>
          <w:rFonts w:ascii="Arial" w:hAnsi="Arial" w:cs="Arial"/>
          <w:sz w:val="24"/>
          <w:szCs w:val="24"/>
        </w:rPr>
        <w:t>, al no existir</w:t>
      </w:r>
      <w:r>
        <w:rPr>
          <w:rFonts w:ascii="Arial" w:hAnsi="Arial" w:cs="Arial"/>
          <w:sz w:val="24"/>
          <w:szCs w:val="24"/>
        </w:rPr>
        <w:t xml:space="preserve"> diligencias pendientes ni pruebas por desahogar, se declaró cerrada la instrucción, quedando los autos en estado de dictar sentencia</w:t>
      </w:r>
      <w:r>
        <w:rPr>
          <w:rStyle w:val="Refdenotaalpie"/>
          <w:rFonts w:ascii="Arial" w:hAnsi="Arial" w:cs="Arial"/>
          <w:sz w:val="24"/>
          <w:szCs w:val="24"/>
        </w:rPr>
        <w:footnoteReference w:id="16"/>
      </w:r>
      <w:r>
        <w:rPr>
          <w:rFonts w:ascii="Arial" w:hAnsi="Arial" w:cs="Arial"/>
          <w:sz w:val="24"/>
          <w:szCs w:val="24"/>
        </w:rPr>
        <w:t>.</w:t>
      </w:r>
    </w:p>
    <w:p w14:paraId="3AC669C4" w14:textId="77777777" w:rsidR="000D1E58" w:rsidRDefault="00000000">
      <w:pPr>
        <w:pStyle w:val="Ttulo1"/>
        <w:spacing w:before="240" w:after="0" w:line="360" w:lineRule="auto"/>
        <w:jc w:val="center"/>
        <w:rPr>
          <w:rFonts w:ascii="Arial" w:hAnsi="Arial" w:cs="Arial"/>
          <w:b/>
          <w:bCs/>
          <w:color w:val="000000" w:themeColor="text1"/>
          <w:sz w:val="24"/>
          <w:szCs w:val="24"/>
        </w:rPr>
      </w:pPr>
      <w:bookmarkStart w:id="4" w:name="_Toc193363688"/>
      <w:r>
        <w:rPr>
          <w:rFonts w:ascii="Arial" w:hAnsi="Arial" w:cs="Arial"/>
          <w:b/>
          <w:bCs/>
          <w:color w:val="000000" w:themeColor="text1"/>
          <w:sz w:val="24"/>
          <w:szCs w:val="24"/>
        </w:rPr>
        <w:lastRenderedPageBreak/>
        <w:t>III. COMPETENCIA</w:t>
      </w:r>
      <w:bookmarkEnd w:id="4"/>
    </w:p>
    <w:p w14:paraId="68D468C2" w14:textId="77777777" w:rsidR="000D1E58" w:rsidRDefault="00000000">
      <w:pPr>
        <w:spacing w:before="240" w:after="0" w:line="360" w:lineRule="auto"/>
        <w:jc w:val="both"/>
        <w:rPr>
          <w:rFonts w:ascii="Arial" w:hAnsi="Arial" w:cs="Arial"/>
          <w:sz w:val="24"/>
          <w:szCs w:val="24"/>
        </w:rPr>
      </w:pPr>
      <w:r>
        <w:rPr>
          <w:rFonts w:ascii="Arial" w:hAnsi="Arial" w:cs="Arial"/>
          <w:sz w:val="24"/>
          <w:szCs w:val="24"/>
        </w:rPr>
        <w:t xml:space="preserve">El Pleno de este </w:t>
      </w:r>
      <w:r>
        <w:rPr>
          <w:rFonts w:ascii="Arial" w:hAnsi="Arial" w:cs="Arial"/>
          <w:i/>
          <w:iCs/>
          <w:sz w:val="24"/>
          <w:szCs w:val="24"/>
        </w:rPr>
        <w:t>Tribunal Electoral</w:t>
      </w:r>
      <w:r>
        <w:rPr>
          <w:rFonts w:ascii="Arial" w:hAnsi="Arial" w:cs="Arial"/>
          <w:sz w:val="24"/>
          <w:szCs w:val="24"/>
        </w:rPr>
        <w:t xml:space="preserve"> es competente para conocer y resolver este </w:t>
      </w:r>
      <w:r>
        <w:rPr>
          <w:rFonts w:ascii="Arial" w:hAnsi="Arial" w:cs="Arial"/>
          <w:i/>
          <w:iCs/>
          <w:sz w:val="24"/>
          <w:szCs w:val="24"/>
        </w:rPr>
        <w:t>juicio de la ciudadanía</w:t>
      </w:r>
      <w:r>
        <w:rPr>
          <w:rFonts w:ascii="Arial" w:hAnsi="Arial" w:cs="Arial"/>
          <w:sz w:val="24"/>
          <w:szCs w:val="24"/>
        </w:rPr>
        <w:t xml:space="preserve">, en razón de que, fue promovido por una ciudadana que comparece en su carácter de </w:t>
      </w:r>
      <w:r>
        <w:rPr>
          <w:rFonts w:ascii="Arial" w:hAnsi="Arial" w:cs="Arial"/>
          <w:i/>
          <w:iCs/>
          <w:sz w:val="24"/>
          <w:szCs w:val="24"/>
        </w:rPr>
        <w:t>Regidora</w:t>
      </w:r>
      <w:r>
        <w:rPr>
          <w:rFonts w:ascii="Arial" w:hAnsi="Arial" w:cs="Arial"/>
          <w:sz w:val="24"/>
          <w:szCs w:val="24"/>
        </w:rPr>
        <w:t xml:space="preserve">, quien aduce la vulneración de sus derechos políticos-electorales por parte del </w:t>
      </w:r>
      <w:r>
        <w:rPr>
          <w:rFonts w:ascii="Arial" w:hAnsi="Arial" w:cs="Arial"/>
          <w:i/>
          <w:iCs/>
          <w:sz w:val="24"/>
          <w:szCs w:val="24"/>
        </w:rPr>
        <w:t xml:space="preserve">Presidente Municipal y Secretario, </w:t>
      </w:r>
      <w:r>
        <w:rPr>
          <w:rFonts w:ascii="Arial" w:hAnsi="Arial" w:cs="Arial"/>
          <w:sz w:val="24"/>
          <w:szCs w:val="24"/>
        </w:rPr>
        <w:t xml:space="preserve">por la omisión de convocarla a la </w:t>
      </w:r>
      <w:r>
        <w:rPr>
          <w:rFonts w:ascii="Arial" w:hAnsi="Arial" w:cs="Arial"/>
          <w:i/>
          <w:iCs/>
          <w:sz w:val="24"/>
          <w:szCs w:val="24"/>
        </w:rPr>
        <w:t>Sesión Ordinaria 002</w:t>
      </w:r>
      <w:r>
        <w:rPr>
          <w:rFonts w:ascii="Arial" w:hAnsi="Arial" w:cs="Arial"/>
          <w:sz w:val="24"/>
          <w:szCs w:val="24"/>
        </w:rPr>
        <w:t>, y no proporcionarle información documental de los asuntos ahí desahogados; así como irregularidades durante el desarrollo de la</w:t>
      </w:r>
      <w:r>
        <w:rPr>
          <w:rFonts w:ascii="Arial" w:hAnsi="Arial" w:cs="Arial"/>
          <w:i/>
          <w:iCs/>
          <w:sz w:val="24"/>
          <w:szCs w:val="24"/>
        </w:rPr>
        <w:t xml:space="preserve"> Sesión Ordinaria 002</w:t>
      </w:r>
      <w:r>
        <w:rPr>
          <w:rFonts w:ascii="Arial" w:hAnsi="Arial" w:cs="Arial"/>
          <w:sz w:val="24"/>
          <w:szCs w:val="24"/>
        </w:rPr>
        <w:t xml:space="preserve">, de igual manera, la omisión de no convocarla a diversas sesiones ordinarias y extraordinarias del </w:t>
      </w:r>
      <w:r>
        <w:rPr>
          <w:rFonts w:ascii="Arial" w:hAnsi="Arial" w:cs="Arial"/>
          <w:i/>
          <w:iCs/>
          <w:sz w:val="24"/>
          <w:szCs w:val="24"/>
        </w:rPr>
        <w:t>Ayuntamiento.</w:t>
      </w:r>
    </w:p>
    <w:p w14:paraId="37C3B6A4" w14:textId="77777777" w:rsidR="000D1E58" w:rsidRDefault="00000000">
      <w:pPr>
        <w:spacing w:before="240" w:after="0" w:line="360" w:lineRule="auto"/>
        <w:jc w:val="both"/>
        <w:rPr>
          <w:rFonts w:ascii="Arial" w:hAnsi="Arial" w:cs="Arial"/>
          <w:bCs/>
          <w:sz w:val="24"/>
          <w:szCs w:val="24"/>
        </w:rPr>
      </w:pPr>
      <w:r>
        <w:rPr>
          <w:rFonts w:ascii="Arial" w:hAnsi="Arial" w:cs="Arial"/>
          <w:bCs/>
          <w:sz w:val="24"/>
          <w:szCs w:val="24"/>
        </w:rPr>
        <w:t xml:space="preserve">Lo anterior de conformidad con lo dispuesto en los artículos 35, fracción V de la </w:t>
      </w:r>
      <w:r>
        <w:rPr>
          <w:rFonts w:ascii="Arial" w:hAnsi="Arial" w:cs="Arial"/>
          <w:bCs/>
          <w:i/>
          <w:iCs/>
          <w:sz w:val="24"/>
          <w:szCs w:val="24"/>
        </w:rPr>
        <w:t>Constitución General</w:t>
      </w:r>
      <w:r>
        <w:rPr>
          <w:rFonts w:ascii="Arial" w:hAnsi="Arial" w:cs="Arial"/>
          <w:bCs/>
          <w:sz w:val="24"/>
          <w:szCs w:val="24"/>
        </w:rPr>
        <w:t xml:space="preserve">; 98 A de la </w:t>
      </w:r>
      <w:r>
        <w:rPr>
          <w:rFonts w:ascii="Arial" w:hAnsi="Arial" w:cs="Arial"/>
          <w:bCs/>
          <w:i/>
          <w:iCs/>
          <w:sz w:val="24"/>
          <w:szCs w:val="24"/>
        </w:rPr>
        <w:t>Constitución Local</w:t>
      </w:r>
      <w:r>
        <w:rPr>
          <w:rFonts w:ascii="Arial" w:hAnsi="Arial" w:cs="Arial"/>
          <w:bCs/>
          <w:sz w:val="24"/>
          <w:szCs w:val="24"/>
        </w:rPr>
        <w:t xml:space="preserve">; 60, 64, fracción XIII, y 66 fracción II del </w:t>
      </w:r>
      <w:r>
        <w:rPr>
          <w:rFonts w:ascii="Arial" w:hAnsi="Arial" w:cs="Arial"/>
          <w:bCs/>
          <w:i/>
          <w:iCs/>
          <w:sz w:val="24"/>
          <w:szCs w:val="24"/>
        </w:rPr>
        <w:t>Código Electoral</w:t>
      </w:r>
      <w:r>
        <w:rPr>
          <w:rFonts w:ascii="Arial" w:hAnsi="Arial" w:cs="Arial"/>
          <w:bCs/>
          <w:sz w:val="24"/>
          <w:szCs w:val="24"/>
        </w:rPr>
        <w:t xml:space="preserve">; así como 5, 73, 74, inciso c, y 76, fracción V, de la </w:t>
      </w:r>
      <w:r>
        <w:rPr>
          <w:rFonts w:ascii="Arial" w:hAnsi="Arial" w:cs="Arial"/>
          <w:bCs/>
          <w:i/>
          <w:iCs/>
          <w:sz w:val="24"/>
          <w:szCs w:val="24"/>
        </w:rPr>
        <w:t>Ley de Justicia Electoral</w:t>
      </w:r>
      <w:r>
        <w:rPr>
          <w:rFonts w:ascii="Arial" w:hAnsi="Arial" w:cs="Arial"/>
          <w:bCs/>
          <w:sz w:val="24"/>
          <w:szCs w:val="24"/>
        </w:rPr>
        <w:t xml:space="preserve">. </w:t>
      </w:r>
    </w:p>
    <w:p w14:paraId="6A427516" w14:textId="77777777" w:rsidR="000D1E58" w:rsidRDefault="00000000">
      <w:pPr>
        <w:pStyle w:val="Ttulo1"/>
        <w:spacing w:before="240" w:after="0" w:line="360" w:lineRule="auto"/>
        <w:jc w:val="center"/>
        <w:rPr>
          <w:rFonts w:ascii="Arial" w:hAnsi="Arial" w:cs="Arial"/>
          <w:b/>
          <w:bCs/>
          <w:color w:val="auto"/>
          <w:sz w:val="24"/>
          <w:szCs w:val="24"/>
        </w:rPr>
      </w:pPr>
      <w:bookmarkStart w:id="5" w:name="_Toc191026664"/>
      <w:bookmarkStart w:id="6" w:name="_Toc193363689"/>
      <w:r>
        <w:rPr>
          <w:rFonts w:ascii="Arial" w:hAnsi="Arial" w:cs="Arial"/>
          <w:b/>
          <w:bCs/>
          <w:color w:val="auto"/>
          <w:sz w:val="24"/>
          <w:szCs w:val="24"/>
        </w:rPr>
        <w:t>IV. DESIGNACIÓN DE MAGISTRADO EN FUNCIONES</w:t>
      </w:r>
      <w:bookmarkEnd w:id="5"/>
      <w:bookmarkEnd w:id="6"/>
    </w:p>
    <w:p w14:paraId="1292C016" w14:textId="77777777" w:rsidR="000D1E58" w:rsidRDefault="00000000">
      <w:pPr>
        <w:spacing w:before="240" w:after="0" w:line="360" w:lineRule="auto"/>
        <w:jc w:val="both"/>
        <w:rPr>
          <w:rFonts w:ascii="Arial" w:hAnsi="Arial" w:cs="Arial"/>
          <w:bCs/>
          <w:sz w:val="24"/>
          <w:szCs w:val="24"/>
        </w:rPr>
      </w:pPr>
      <w:r>
        <w:rPr>
          <w:rFonts w:ascii="Arial" w:hAnsi="Arial" w:cs="Arial"/>
          <w:bCs/>
          <w:sz w:val="24"/>
          <w:szCs w:val="24"/>
        </w:rPr>
        <w:t>Se hace del conocimiento de las partes la designación del Secretario Instructor y Proyectista de este Tribunal Electoral, Everardo Tovar Valdez, en funciones de Magistrado del Pleno de esta autoridad local</w:t>
      </w:r>
      <w:r>
        <w:rPr>
          <w:rFonts w:ascii="Arial" w:hAnsi="Arial" w:cs="Arial"/>
          <w:bCs/>
          <w:sz w:val="24"/>
          <w:szCs w:val="24"/>
          <w:vertAlign w:val="superscript"/>
        </w:rPr>
        <w:footnoteReference w:id="17"/>
      </w:r>
      <w:r>
        <w:rPr>
          <w:rFonts w:ascii="Arial" w:hAnsi="Arial" w:cs="Arial"/>
          <w:bCs/>
          <w:sz w:val="24"/>
          <w:szCs w:val="24"/>
        </w:rPr>
        <w:t>.</w:t>
      </w:r>
    </w:p>
    <w:p w14:paraId="22DFBF78" w14:textId="77777777" w:rsidR="000D1E58" w:rsidRDefault="00000000">
      <w:pPr>
        <w:pStyle w:val="Ttulo1"/>
        <w:spacing w:before="240" w:after="0" w:line="360" w:lineRule="auto"/>
        <w:jc w:val="center"/>
        <w:rPr>
          <w:rFonts w:ascii="Arial" w:hAnsi="Arial" w:cs="Arial"/>
          <w:b/>
          <w:bCs/>
          <w:color w:val="000000" w:themeColor="text1"/>
          <w:sz w:val="24"/>
          <w:szCs w:val="24"/>
        </w:rPr>
      </w:pPr>
      <w:bookmarkStart w:id="7" w:name="_Toc193363690"/>
      <w:r>
        <w:rPr>
          <w:rFonts w:ascii="Arial" w:hAnsi="Arial" w:cs="Arial"/>
          <w:b/>
          <w:bCs/>
          <w:color w:val="000000" w:themeColor="text1"/>
          <w:sz w:val="24"/>
          <w:szCs w:val="24"/>
        </w:rPr>
        <w:t>V. ACTOS IMPUGNADOS</w:t>
      </w:r>
      <w:bookmarkEnd w:id="7"/>
    </w:p>
    <w:p w14:paraId="7CC13043" w14:textId="2C9320CC" w:rsidR="000D1E58" w:rsidRDefault="00000000">
      <w:pPr>
        <w:pStyle w:val="Prrafodelista"/>
        <w:tabs>
          <w:tab w:val="left" w:pos="0"/>
          <w:tab w:val="left" w:pos="142"/>
          <w:tab w:val="left" w:pos="426"/>
        </w:tabs>
        <w:spacing w:before="240" w:after="0" w:line="360" w:lineRule="auto"/>
        <w:ind w:left="0"/>
        <w:jc w:val="both"/>
        <w:rPr>
          <w:rFonts w:ascii="Arial" w:hAnsi="Arial" w:cs="Arial"/>
          <w:sz w:val="24"/>
          <w:szCs w:val="24"/>
        </w:rPr>
      </w:pPr>
      <w:r w:rsidRPr="00432D9B">
        <w:rPr>
          <w:rFonts w:ascii="Arial" w:eastAsia="Times New Roman" w:hAnsi="Arial" w:cs="Arial"/>
          <w:sz w:val="24"/>
          <w:szCs w:val="24"/>
          <w:lang w:eastAsia="es-MX"/>
        </w:rPr>
        <w:t>De</w:t>
      </w:r>
      <w:r w:rsidRPr="00432D9B">
        <w:rPr>
          <w:rFonts w:ascii="Arial" w:eastAsia="Times New Roman" w:hAnsi="Arial" w:cs="Arial"/>
          <w:sz w:val="24"/>
          <w:szCs w:val="24"/>
          <w:lang w:val="es-ES" w:eastAsia="es-ES"/>
        </w:rPr>
        <w:t xml:space="preserve"> la lectura </w:t>
      </w:r>
      <w:r w:rsidRPr="00432D9B">
        <w:rPr>
          <w:rFonts w:ascii="Arial" w:eastAsia="Times New Roman" w:hAnsi="Arial" w:cs="Arial"/>
          <w:color w:val="000000"/>
          <w:sz w:val="24"/>
          <w:szCs w:val="24"/>
          <w:lang w:eastAsia="es-MX"/>
        </w:rPr>
        <w:t xml:space="preserve">del escrito de demanda, </w:t>
      </w:r>
      <w:r w:rsidRPr="00432D9B">
        <w:rPr>
          <w:rFonts w:ascii="Arial" w:eastAsia="Times New Roman" w:hAnsi="Arial" w:cs="Arial"/>
          <w:sz w:val="24"/>
          <w:szCs w:val="24"/>
          <w:lang w:val="es-ES" w:eastAsia="es-ES"/>
        </w:rPr>
        <w:t xml:space="preserve">en acatamiento al </w:t>
      </w:r>
      <w:r w:rsidRPr="00432D9B">
        <w:rPr>
          <w:rFonts w:ascii="Arial" w:eastAsia="Times New Roman" w:hAnsi="Arial" w:cs="Arial"/>
          <w:sz w:val="24"/>
          <w:szCs w:val="24"/>
          <w:lang w:val="es-ES" w:eastAsia="es-MX"/>
        </w:rPr>
        <w:t xml:space="preserve">deber que tiene este </w:t>
      </w:r>
      <w:r w:rsidRPr="00432D9B">
        <w:rPr>
          <w:rFonts w:ascii="Arial" w:eastAsia="Times New Roman" w:hAnsi="Arial" w:cs="Arial"/>
          <w:i/>
          <w:iCs/>
          <w:sz w:val="24"/>
          <w:szCs w:val="24"/>
          <w:lang w:val="es-ES" w:eastAsia="es-MX"/>
        </w:rPr>
        <w:t>órgano jurisdiccional</w:t>
      </w:r>
      <w:r w:rsidRPr="00432D9B">
        <w:rPr>
          <w:rFonts w:ascii="Arial" w:eastAsia="Times New Roman" w:hAnsi="Arial" w:cs="Arial"/>
          <w:sz w:val="24"/>
          <w:szCs w:val="24"/>
          <w:lang w:val="es-ES" w:eastAsia="es-MX"/>
        </w:rPr>
        <w:t xml:space="preserve"> de examinar e interpretarla íntegramente, </w:t>
      </w:r>
      <w:r w:rsidRPr="00432D9B">
        <w:rPr>
          <w:rFonts w:ascii="Arial" w:eastAsia="Times New Roman" w:hAnsi="Arial" w:cs="Arial"/>
          <w:color w:val="000000"/>
          <w:sz w:val="24"/>
          <w:szCs w:val="24"/>
          <w:lang w:eastAsia="es-MX"/>
        </w:rPr>
        <w:t>a fin de determinar con exactitud la intención de</w:t>
      </w:r>
      <w:r>
        <w:rPr>
          <w:rFonts w:ascii="Arial" w:eastAsia="Times New Roman" w:hAnsi="Arial" w:cs="Arial"/>
          <w:color w:val="000000"/>
          <w:sz w:val="24"/>
          <w:szCs w:val="24"/>
          <w:lang w:eastAsia="es-MX"/>
        </w:rPr>
        <w:t xml:space="preserve"> la parte actora, y evitar una interpretación obscura, deficiente o equívoca de la expresión exacta de la intención de la </w:t>
      </w:r>
      <w:r>
        <w:rPr>
          <w:rFonts w:ascii="Arial" w:eastAsia="Times New Roman" w:hAnsi="Arial" w:cs="Arial"/>
          <w:i/>
          <w:iCs/>
          <w:color w:val="000000"/>
          <w:sz w:val="24"/>
          <w:szCs w:val="24"/>
          <w:lang w:eastAsia="es-MX"/>
        </w:rPr>
        <w:t>actora</w:t>
      </w:r>
      <w:r>
        <w:rPr>
          <w:rStyle w:val="Refdenotaalpie"/>
          <w:rFonts w:ascii="Arial" w:hAnsi="Arial" w:cs="Arial"/>
          <w:sz w:val="24"/>
          <w:szCs w:val="24"/>
        </w:rPr>
        <w:footnoteReference w:id="18"/>
      </w:r>
      <w:r>
        <w:rPr>
          <w:rFonts w:ascii="Arial" w:eastAsia="Times New Roman" w:hAnsi="Arial" w:cs="Arial"/>
          <w:color w:val="000000"/>
          <w:sz w:val="24"/>
          <w:szCs w:val="24"/>
          <w:lang w:eastAsia="es-MX"/>
        </w:rPr>
        <w:t xml:space="preserve">, </w:t>
      </w:r>
      <w:r>
        <w:rPr>
          <w:rFonts w:ascii="Arial" w:hAnsi="Arial" w:cs="Arial"/>
          <w:sz w:val="24"/>
          <w:szCs w:val="24"/>
        </w:rPr>
        <w:t xml:space="preserve">este cuerpo colegiado, infiere que la </w:t>
      </w:r>
      <w:r w:rsidRPr="008E43C8">
        <w:rPr>
          <w:rFonts w:ascii="Arial" w:hAnsi="Arial" w:cs="Arial"/>
          <w:i/>
          <w:iCs/>
          <w:sz w:val="24"/>
          <w:szCs w:val="24"/>
        </w:rPr>
        <w:t>Regidora</w:t>
      </w:r>
      <w:r>
        <w:rPr>
          <w:rFonts w:ascii="Arial" w:hAnsi="Arial" w:cs="Arial"/>
          <w:sz w:val="24"/>
          <w:szCs w:val="24"/>
        </w:rPr>
        <w:t xml:space="preserve"> impugna, actos atribuibles al </w:t>
      </w:r>
      <w:r>
        <w:rPr>
          <w:rFonts w:ascii="Arial" w:hAnsi="Arial" w:cs="Arial"/>
          <w:i/>
          <w:iCs/>
          <w:sz w:val="24"/>
          <w:szCs w:val="24"/>
        </w:rPr>
        <w:t>Presidente Municipal y Secretario</w:t>
      </w:r>
      <w:r>
        <w:rPr>
          <w:rFonts w:ascii="Arial" w:hAnsi="Arial" w:cs="Arial"/>
          <w:sz w:val="24"/>
          <w:szCs w:val="24"/>
        </w:rPr>
        <w:t xml:space="preserve">, consistentes en: </w:t>
      </w:r>
    </w:p>
    <w:p w14:paraId="1A657A18" w14:textId="77777777" w:rsidR="000D1E58" w:rsidRDefault="00000000">
      <w:pPr>
        <w:pStyle w:val="Prrafodelista"/>
        <w:numPr>
          <w:ilvl w:val="0"/>
          <w:numId w:val="26"/>
        </w:numPr>
        <w:tabs>
          <w:tab w:val="left" w:pos="567"/>
        </w:tabs>
        <w:spacing w:before="240" w:after="0" w:line="360" w:lineRule="auto"/>
        <w:ind w:left="1071" w:right="-40" w:hanging="357"/>
        <w:jc w:val="both"/>
        <w:rPr>
          <w:rFonts w:ascii="Arial" w:hAnsi="Arial" w:cs="Arial"/>
          <w:sz w:val="24"/>
          <w:szCs w:val="24"/>
        </w:rPr>
      </w:pPr>
      <w:r>
        <w:rPr>
          <w:rFonts w:ascii="Arial" w:hAnsi="Arial" w:cs="Arial"/>
          <w:sz w:val="24"/>
          <w:szCs w:val="24"/>
        </w:rPr>
        <w:lastRenderedPageBreak/>
        <w:t xml:space="preserve">Omisión de las </w:t>
      </w:r>
      <w:r>
        <w:rPr>
          <w:rFonts w:ascii="Arial" w:hAnsi="Arial" w:cs="Arial"/>
          <w:i/>
          <w:iCs/>
          <w:sz w:val="24"/>
          <w:szCs w:val="24"/>
        </w:rPr>
        <w:t>autoridades responsables</w:t>
      </w:r>
      <w:r>
        <w:rPr>
          <w:rFonts w:ascii="Arial" w:hAnsi="Arial" w:cs="Arial"/>
          <w:sz w:val="24"/>
          <w:szCs w:val="24"/>
        </w:rPr>
        <w:t xml:space="preserve"> de convocarla a la </w:t>
      </w:r>
      <w:r>
        <w:rPr>
          <w:rFonts w:ascii="Arial" w:hAnsi="Arial" w:cs="Arial"/>
          <w:i/>
          <w:iCs/>
          <w:sz w:val="24"/>
          <w:szCs w:val="24"/>
        </w:rPr>
        <w:t>Sesión Ordinaria 002</w:t>
      </w:r>
      <w:r>
        <w:rPr>
          <w:rFonts w:ascii="Arial" w:hAnsi="Arial" w:cs="Arial"/>
          <w:sz w:val="24"/>
          <w:szCs w:val="24"/>
        </w:rPr>
        <w:t>.</w:t>
      </w:r>
    </w:p>
    <w:p w14:paraId="4209B905" w14:textId="77777777" w:rsidR="000D1E58" w:rsidRDefault="00000000">
      <w:pPr>
        <w:pStyle w:val="Prrafodelista"/>
        <w:numPr>
          <w:ilvl w:val="0"/>
          <w:numId w:val="26"/>
        </w:numPr>
        <w:tabs>
          <w:tab w:val="left" w:pos="567"/>
        </w:tabs>
        <w:spacing w:before="240" w:after="0" w:line="360" w:lineRule="auto"/>
        <w:ind w:right="-40"/>
        <w:jc w:val="both"/>
        <w:rPr>
          <w:rFonts w:ascii="Arial" w:hAnsi="Arial" w:cs="Arial"/>
          <w:sz w:val="24"/>
          <w:szCs w:val="24"/>
        </w:rPr>
      </w:pPr>
      <w:r>
        <w:rPr>
          <w:rFonts w:ascii="Arial" w:hAnsi="Arial" w:cs="Arial"/>
          <w:sz w:val="24"/>
          <w:szCs w:val="24"/>
        </w:rPr>
        <w:t>Omisión de proporcionarle la información documental relativa a los puntos desahogados en la sesión en cita.</w:t>
      </w:r>
    </w:p>
    <w:p w14:paraId="0A0BC78A" w14:textId="77777777" w:rsidR="000D1E58" w:rsidRPr="00432D9B" w:rsidRDefault="00000000">
      <w:pPr>
        <w:pStyle w:val="Prrafodelista"/>
        <w:numPr>
          <w:ilvl w:val="0"/>
          <w:numId w:val="26"/>
        </w:numPr>
        <w:tabs>
          <w:tab w:val="left" w:pos="567"/>
        </w:tabs>
        <w:spacing w:before="240" w:after="0" w:line="360" w:lineRule="auto"/>
        <w:ind w:right="-40"/>
        <w:jc w:val="both"/>
        <w:rPr>
          <w:rFonts w:ascii="Arial" w:hAnsi="Arial" w:cs="Arial"/>
          <w:i/>
          <w:iCs/>
          <w:sz w:val="24"/>
          <w:szCs w:val="24"/>
        </w:rPr>
      </w:pPr>
      <w:r w:rsidRPr="00432D9B">
        <w:rPr>
          <w:rFonts w:ascii="Arial" w:hAnsi="Arial" w:cs="Arial"/>
          <w:sz w:val="24"/>
          <w:szCs w:val="24"/>
        </w:rPr>
        <w:t>Irregularidad durante el desarrollo de la</w:t>
      </w:r>
      <w:r w:rsidRPr="00432D9B">
        <w:rPr>
          <w:rFonts w:ascii="Arial" w:hAnsi="Arial" w:cs="Arial"/>
          <w:i/>
          <w:iCs/>
          <w:sz w:val="24"/>
          <w:szCs w:val="24"/>
        </w:rPr>
        <w:t xml:space="preserve"> Sesión Ordinaria 002</w:t>
      </w:r>
      <w:r w:rsidRPr="00432D9B">
        <w:rPr>
          <w:rFonts w:ascii="Arial" w:hAnsi="Arial" w:cs="Arial"/>
          <w:sz w:val="24"/>
          <w:szCs w:val="24"/>
        </w:rPr>
        <w:t>, relacionada con sus intervenciones y asentarlas en el Acta de Sesión correspondiente.</w:t>
      </w:r>
    </w:p>
    <w:p w14:paraId="00F2C0FE" w14:textId="2DD200D4" w:rsidR="000D1E58" w:rsidRPr="00432D9B" w:rsidRDefault="00000000">
      <w:pPr>
        <w:pStyle w:val="Prrafodelista"/>
        <w:numPr>
          <w:ilvl w:val="0"/>
          <w:numId w:val="26"/>
        </w:numPr>
        <w:tabs>
          <w:tab w:val="left" w:pos="567"/>
        </w:tabs>
        <w:spacing w:before="240" w:after="0" w:line="360" w:lineRule="auto"/>
        <w:ind w:right="-40"/>
        <w:jc w:val="both"/>
        <w:rPr>
          <w:rFonts w:ascii="Arial" w:hAnsi="Arial" w:cs="Arial"/>
          <w:sz w:val="24"/>
          <w:szCs w:val="24"/>
        </w:rPr>
      </w:pPr>
      <w:r w:rsidRPr="00432D9B">
        <w:rPr>
          <w:rFonts w:ascii="Arial" w:hAnsi="Arial" w:cs="Arial"/>
          <w:sz w:val="24"/>
          <w:szCs w:val="24"/>
        </w:rPr>
        <w:t xml:space="preserve">Omisión de las </w:t>
      </w:r>
      <w:r w:rsidRPr="00432D9B">
        <w:rPr>
          <w:rFonts w:ascii="Arial" w:hAnsi="Arial" w:cs="Arial"/>
          <w:i/>
          <w:iCs/>
          <w:sz w:val="24"/>
          <w:szCs w:val="24"/>
        </w:rPr>
        <w:t>autoridades responsables</w:t>
      </w:r>
      <w:r w:rsidRPr="00432D9B">
        <w:rPr>
          <w:rFonts w:ascii="Arial" w:hAnsi="Arial" w:cs="Arial"/>
          <w:sz w:val="24"/>
          <w:szCs w:val="24"/>
        </w:rPr>
        <w:t xml:space="preserve"> de convocarla a sesiones ordinarias y extraordinarias del </w:t>
      </w:r>
      <w:r w:rsidRPr="00432D9B">
        <w:rPr>
          <w:rFonts w:ascii="Arial" w:hAnsi="Arial" w:cs="Arial"/>
          <w:i/>
          <w:iCs/>
          <w:sz w:val="24"/>
          <w:szCs w:val="24"/>
        </w:rPr>
        <w:t xml:space="preserve">Ayuntamiento </w:t>
      </w:r>
      <w:r w:rsidRPr="00432D9B">
        <w:rPr>
          <w:rFonts w:ascii="Arial" w:hAnsi="Arial" w:cs="Arial"/>
          <w:sz w:val="24"/>
          <w:szCs w:val="24"/>
        </w:rPr>
        <w:t>diversas a la del veintiocho de enero</w:t>
      </w:r>
      <w:r w:rsidR="005C20D9" w:rsidRPr="00432D9B">
        <w:rPr>
          <w:rFonts w:ascii="Arial" w:hAnsi="Arial" w:cs="Arial"/>
          <w:sz w:val="24"/>
          <w:szCs w:val="24"/>
        </w:rPr>
        <w:t>, así como de proporcionar la información respectiva</w:t>
      </w:r>
      <w:r w:rsidRPr="00432D9B">
        <w:rPr>
          <w:rFonts w:ascii="Arial" w:hAnsi="Arial" w:cs="Arial"/>
          <w:sz w:val="24"/>
          <w:szCs w:val="24"/>
        </w:rPr>
        <w:t>.</w:t>
      </w:r>
    </w:p>
    <w:p w14:paraId="7BE28B2A" w14:textId="7DE846D3" w:rsidR="000D1E58" w:rsidRDefault="00000000">
      <w:pPr>
        <w:pStyle w:val="Ttulo1"/>
        <w:spacing w:before="240" w:after="0" w:line="360" w:lineRule="auto"/>
        <w:jc w:val="center"/>
        <w:rPr>
          <w:rFonts w:ascii="Arial" w:hAnsi="Arial" w:cs="Arial"/>
          <w:b/>
          <w:bCs/>
          <w:color w:val="000000" w:themeColor="text1"/>
          <w:sz w:val="24"/>
          <w:szCs w:val="24"/>
        </w:rPr>
      </w:pPr>
      <w:bookmarkStart w:id="8" w:name="_Toc193363691"/>
      <w:r w:rsidRPr="00432D9B">
        <w:rPr>
          <w:rFonts w:ascii="Arial" w:hAnsi="Arial" w:cs="Arial"/>
          <w:b/>
          <w:bCs/>
          <w:color w:val="000000" w:themeColor="text1"/>
          <w:sz w:val="24"/>
          <w:szCs w:val="24"/>
        </w:rPr>
        <w:t xml:space="preserve">VI. </w:t>
      </w:r>
      <w:bookmarkEnd w:id="8"/>
      <w:r w:rsidR="005C20D9" w:rsidRPr="00432D9B">
        <w:rPr>
          <w:rFonts w:ascii="Arial" w:hAnsi="Arial" w:cs="Arial"/>
          <w:b/>
          <w:bCs/>
          <w:color w:val="000000" w:themeColor="text1"/>
          <w:sz w:val="24"/>
          <w:szCs w:val="24"/>
        </w:rPr>
        <w:t>CAUSALES DE IMPROCEDENCIA</w:t>
      </w:r>
    </w:p>
    <w:p w14:paraId="3D01C19F" w14:textId="77777777" w:rsidR="000D1E58" w:rsidRDefault="00000000">
      <w:pPr>
        <w:spacing w:before="240" w:after="0" w:line="360" w:lineRule="auto"/>
        <w:jc w:val="both"/>
        <w:rPr>
          <w:rFonts w:ascii="Arial" w:hAnsi="Arial" w:cs="Arial"/>
          <w:sz w:val="24"/>
          <w:szCs w:val="24"/>
        </w:rPr>
      </w:pPr>
      <w:r>
        <w:rPr>
          <w:rFonts w:ascii="Arial" w:hAnsi="Arial" w:cs="Arial"/>
          <w:sz w:val="24"/>
          <w:szCs w:val="24"/>
        </w:rPr>
        <w:t>El estudio de las causales de improcedencia es de orden público y de estudio preferente, por ello se deben de examinar incluso de oficio si en el caso se actualiza alguna, pues de resultar fundada haría innecesario analizar el fondo de la cuestión planteada</w:t>
      </w:r>
      <w:r>
        <w:rPr>
          <w:rStyle w:val="Refdenotaalpie"/>
          <w:rFonts w:ascii="Arial" w:hAnsi="Arial" w:cs="Arial"/>
          <w:sz w:val="24"/>
          <w:szCs w:val="24"/>
        </w:rPr>
        <w:footnoteReference w:id="19"/>
      </w:r>
      <w:r>
        <w:rPr>
          <w:rFonts w:ascii="Arial" w:hAnsi="Arial" w:cs="Arial"/>
          <w:sz w:val="24"/>
          <w:szCs w:val="24"/>
        </w:rPr>
        <w:t>.</w:t>
      </w:r>
    </w:p>
    <w:p w14:paraId="076DBD6B" w14:textId="77777777" w:rsidR="000D1E58" w:rsidRDefault="00000000">
      <w:pPr>
        <w:spacing w:before="240" w:after="0" w:line="360" w:lineRule="auto"/>
        <w:jc w:val="both"/>
        <w:rPr>
          <w:rFonts w:ascii="Arial" w:hAnsi="Arial" w:cs="Arial"/>
          <w:sz w:val="24"/>
          <w:szCs w:val="24"/>
        </w:rPr>
      </w:pPr>
      <w:r>
        <w:rPr>
          <w:rFonts w:ascii="Arial" w:hAnsi="Arial" w:cs="Arial"/>
          <w:sz w:val="24"/>
          <w:szCs w:val="24"/>
        </w:rPr>
        <w:t xml:space="preserve">Al respecto, las </w:t>
      </w:r>
      <w:r>
        <w:rPr>
          <w:rFonts w:ascii="Arial" w:hAnsi="Arial" w:cs="Arial"/>
          <w:i/>
          <w:iCs/>
          <w:sz w:val="24"/>
          <w:szCs w:val="24"/>
        </w:rPr>
        <w:t>autoridades responsables</w:t>
      </w:r>
      <w:r>
        <w:rPr>
          <w:rFonts w:ascii="Arial" w:hAnsi="Arial" w:cs="Arial"/>
          <w:sz w:val="24"/>
          <w:szCs w:val="24"/>
        </w:rPr>
        <w:t xml:space="preserve"> al rendir su informe circunstanciado señalaron que se actualizan las causales de improcedencia previstas en el artículo 11, fracción III, de la </w:t>
      </w:r>
      <w:r>
        <w:rPr>
          <w:rFonts w:ascii="Arial" w:hAnsi="Arial" w:cs="Arial"/>
          <w:i/>
          <w:iCs/>
          <w:sz w:val="24"/>
          <w:szCs w:val="24"/>
        </w:rPr>
        <w:t>Ley de Justicia Electoral</w:t>
      </w:r>
      <w:r>
        <w:rPr>
          <w:rFonts w:ascii="Arial" w:hAnsi="Arial" w:cs="Arial"/>
          <w:sz w:val="24"/>
          <w:szCs w:val="24"/>
        </w:rPr>
        <w:t xml:space="preserve">, relativas a que la </w:t>
      </w:r>
      <w:r>
        <w:rPr>
          <w:rFonts w:ascii="Arial" w:hAnsi="Arial" w:cs="Arial"/>
          <w:i/>
          <w:iCs/>
          <w:sz w:val="24"/>
          <w:szCs w:val="24"/>
        </w:rPr>
        <w:t>actora</w:t>
      </w:r>
      <w:r>
        <w:rPr>
          <w:rFonts w:ascii="Arial" w:hAnsi="Arial" w:cs="Arial"/>
          <w:sz w:val="24"/>
          <w:szCs w:val="24"/>
        </w:rPr>
        <w:t xml:space="preserve"> no se inconformó dentro del plazo establecido por la ley, así como que carece de interés jurídico.</w:t>
      </w:r>
    </w:p>
    <w:p w14:paraId="18085E62" w14:textId="77777777" w:rsidR="000D1E58" w:rsidRDefault="00000000">
      <w:pPr>
        <w:pStyle w:val="Prrafodelista"/>
        <w:numPr>
          <w:ilvl w:val="0"/>
          <w:numId w:val="29"/>
        </w:numPr>
        <w:spacing w:before="240" w:after="0" w:line="360" w:lineRule="auto"/>
        <w:jc w:val="center"/>
        <w:rPr>
          <w:rFonts w:ascii="Arial" w:hAnsi="Arial" w:cs="Arial"/>
          <w:b/>
          <w:bCs/>
          <w:sz w:val="24"/>
          <w:szCs w:val="24"/>
        </w:rPr>
      </w:pPr>
      <w:r>
        <w:rPr>
          <w:rFonts w:ascii="Arial" w:hAnsi="Arial" w:cs="Arial"/>
          <w:b/>
          <w:bCs/>
          <w:sz w:val="24"/>
          <w:szCs w:val="24"/>
        </w:rPr>
        <w:t>Extemporaneidad</w:t>
      </w:r>
    </w:p>
    <w:p w14:paraId="07663023" w14:textId="247CCD4D" w:rsidR="00E16D3D" w:rsidRPr="00492D58" w:rsidRDefault="00000000" w:rsidP="00492D58">
      <w:pPr>
        <w:spacing w:after="240" w:line="360" w:lineRule="auto"/>
        <w:jc w:val="both"/>
        <w:rPr>
          <w:rFonts w:ascii="Arial" w:eastAsia="Arial" w:hAnsi="Arial" w:cs="Arial"/>
          <w:sz w:val="24"/>
          <w:szCs w:val="24"/>
        </w:rPr>
      </w:pPr>
      <w:r>
        <w:rPr>
          <w:rFonts w:ascii="Arial" w:eastAsia="Arial" w:hAnsi="Arial" w:cs="Arial"/>
          <w:sz w:val="24"/>
          <w:szCs w:val="24"/>
        </w:rPr>
        <w:t xml:space="preserve">En consideración de este </w:t>
      </w:r>
      <w:r>
        <w:rPr>
          <w:rFonts w:ascii="Arial" w:eastAsia="Arial" w:hAnsi="Arial" w:cs="Arial"/>
          <w:i/>
          <w:iCs/>
          <w:sz w:val="24"/>
          <w:szCs w:val="24"/>
        </w:rPr>
        <w:t xml:space="preserve">Tribunal Electoral, </w:t>
      </w:r>
      <w:r>
        <w:rPr>
          <w:rFonts w:ascii="Arial" w:eastAsia="Arial" w:hAnsi="Arial" w:cs="Arial"/>
          <w:sz w:val="24"/>
          <w:szCs w:val="24"/>
        </w:rPr>
        <w:t xml:space="preserve">por lo que respecta </w:t>
      </w:r>
      <w:r>
        <w:rPr>
          <w:rFonts w:ascii="Arial" w:hAnsi="Arial" w:cs="Arial"/>
          <w:sz w:val="24"/>
          <w:szCs w:val="24"/>
          <w:shd w:val="clear" w:color="auto" w:fill="FFFFFF"/>
        </w:rPr>
        <w:t xml:space="preserve">al </w:t>
      </w:r>
      <w:r w:rsidR="00AA46B5" w:rsidRPr="00AA46B5">
        <w:rPr>
          <w:rFonts w:ascii="Arial" w:eastAsia="Arial" w:hAnsi="Arial" w:cs="Arial"/>
          <w:sz w:val="24"/>
          <w:szCs w:val="24"/>
        </w:rPr>
        <w:t xml:space="preserve">acto impugnado identificado con el </w:t>
      </w:r>
      <w:r w:rsidR="00AA46B5" w:rsidRPr="00492D58">
        <w:rPr>
          <w:rFonts w:ascii="Arial" w:eastAsia="Arial" w:hAnsi="Arial" w:cs="Arial"/>
          <w:sz w:val="24"/>
          <w:szCs w:val="24"/>
        </w:rPr>
        <w:t>numeral</w:t>
      </w:r>
      <w:r w:rsidRPr="00492D58">
        <w:rPr>
          <w:rFonts w:ascii="Arial" w:hAnsi="Arial" w:cs="Arial"/>
          <w:sz w:val="24"/>
          <w:szCs w:val="24"/>
          <w:shd w:val="clear" w:color="auto" w:fill="FFFFFF"/>
        </w:rPr>
        <w:t xml:space="preserve"> </w:t>
      </w:r>
      <w:r w:rsidRPr="00492D58">
        <w:rPr>
          <w:rFonts w:ascii="Arial" w:hAnsi="Arial" w:cs="Arial"/>
          <w:b/>
          <w:bCs/>
          <w:sz w:val="24"/>
          <w:szCs w:val="24"/>
          <w:shd w:val="clear" w:color="auto" w:fill="FFFFFF"/>
        </w:rPr>
        <w:t xml:space="preserve">3 </w:t>
      </w:r>
      <w:r w:rsidR="00EB04FF" w:rsidRPr="00492D58">
        <w:rPr>
          <w:rFonts w:ascii="Arial" w:hAnsi="Arial" w:cs="Arial"/>
          <w:sz w:val="24"/>
          <w:szCs w:val="24"/>
          <w:shd w:val="clear" w:color="auto" w:fill="FFFFFF"/>
        </w:rPr>
        <w:t>relativo a la</w:t>
      </w:r>
      <w:r w:rsidR="00EB04FF" w:rsidRPr="00492D58">
        <w:rPr>
          <w:rFonts w:ascii="Arial" w:hAnsi="Arial" w:cs="Arial"/>
          <w:sz w:val="24"/>
          <w:szCs w:val="24"/>
        </w:rPr>
        <w:t xml:space="preserve"> </w:t>
      </w:r>
      <w:r w:rsidR="00EF0BAA" w:rsidRPr="00492D58">
        <w:rPr>
          <w:rFonts w:ascii="Arial" w:hAnsi="Arial" w:cs="Arial"/>
          <w:sz w:val="24"/>
          <w:szCs w:val="24"/>
        </w:rPr>
        <w:t>i</w:t>
      </w:r>
      <w:r w:rsidR="00EB04FF" w:rsidRPr="00492D58">
        <w:rPr>
          <w:rFonts w:ascii="Arial" w:hAnsi="Arial" w:cs="Arial"/>
          <w:sz w:val="24"/>
          <w:szCs w:val="24"/>
        </w:rPr>
        <w:t>rregularidad durante el desarrollo de la</w:t>
      </w:r>
      <w:r w:rsidR="00EB04FF" w:rsidRPr="00492D58">
        <w:rPr>
          <w:rFonts w:ascii="Arial" w:hAnsi="Arial" w:cs="Arial"/>
          <w:i/>
          <w:iCs/>
          <w:sz w:val="24"/>
          <w:szCs w:val="24"/>
        </w:rPr>
        <w:t xml:space="preserve"> Sesión Ordinaria 002</w:t>
      </w:r>
      <w:r w:rsidR="00EB04FF" w:rsidRPr="00492D58">
        <w:rPr>
          <w:rFonts w:ascii="Arial" w:hAnsi="Arial" w:cs="Arial"/>
          <w:sz w:val="24"/>
          <w:szCs w:val="24"/>
        </w:rPr>
        <w:t xml:space="preserve">, relacionada con sus intervenciones y asentarlas en el Acta de </w:t>
      </w:r>
      <w:r w:rsidR="00C91CB1" w:rsidRPr="00492D58">
        <w:rPr>
          <w:rFonts w:ascii="Arial" w:hAnsi="Arial" w:cs="Arial"/>
          <w:sz w:val="24"/>
          <w:szCs w:val="24"/>
        </w:rPr>
        <w:t xml:space="preserve">Sesión </w:t>
      </w:r>
      <w:r w:rsidRPr="00492D58">
        <w:rPr>
          <w:rFonts w:ascii="Arial" w:hAnsi="Arial" w:cs="Arial"/>
          <w:sz w:val="24"/>
          <w:szCs w:val="24"/>
          <w:shd w:val="clear" w:color="auto" w:fill="FFFFFF"/>
        </w:rPr>
        <w:t>se estima que se actualiza la causal de</w:t>
      </w:r>
      <w:r w:rsidR="00E16D3D" w:rsidRPr="00492D58">
        <w:rPr>
          <w:rFonts w:ascii="Arial" w:hAnsi="Arial" w:cs="Arial"/>
          <w:sz w:val="24"/>
          <w:szCs w:val="24"/>
          <w:shd w:val="clear" w:color="auto" w:fill="FFFFFF"/>
        </w:rPr>
        <w:t xml:space="preserve"> improcedencia establecida en el artículo 11 fracción III de la Ley de Justicia Electoral relativa a que, los medios de impugnación serán improcedentes cuando </w:t>
      </w:r>
      <w:r w:rsidR="00E16D3D" w:rsidRPr="00492D58">
        <w:rPr>
          <w:rFonts w:ascii="Arial" w:hAnsi="Arial" w:cs="Arial"/>
          <w:sz w:val="24"/>
          <w:szCs w:val="24"/>
          <w:shd w:val="clear" w:color="auto" w:fill="FFFFFF"/>
        </w:rPr>
        <w:lastRenderedPageBreak/>
        <w:t>la presentación de la demanda no se realice dentro de los plazos señalados por la misma.</w:t>
      </w:r>
    </w:p>
    <w:p w14:paraId="1CE0CBFE" w14:textId="71ED6479" w:rsidR="00BC124D" w:rsidRDefault="00BC124D" w:rsidP="00BC124D">
      <w:pPr>
        <w:spacing w:after="240" w:line="360" w:lineRule="auto"/>
        <w:jc w:val="both"/>
        <w:rPr>
          <w:rFonts w:ascii="Arial" w:hAnsi="Arial" w:cs="Arial"/>
          <w:sz w:val="24"/>
          <w:szCs w:val="24"/>
          <w:shd w:val="clear" w:color="auto" w:fill="FFFFFF"/>
        </w:rPr>
      </w:pPr>
      <w:r w:rsidRPr="00492D58">
        <w:rPr>
          <w:rFonts w:ascii="Arial" w:eastAsia="Arial" w:hAnsi="Arial" w:cs="Arial"/>
          <w:sz w:val="24"/>
          <w:szCs w:val="24"/>
        </w:rPr>
        <w:t xml:space="preserve">En relación con los artículos 9 y 74 de la </w:t>
      </w:r>
      <w:r w:rsidRPr="00492D58">
        <w:rPr>
          <w:rFonts w:ascii="Arial" w:eastAsia="Arial" w:hAnsi="Arial" w:cs="Arial"/>
          <w:i/>
          <w:sz w:val="24"/>
          <w:szCs w:val="24"/>
        </w:rPr>
        <w:t>Ley de Justicia Electoral</w:t>
      </w:r>
      <w:r w:rsidRPr="00492D58">
        <w:rPr>
          <w:rFonts w:ascii="Arial" w:eastAsia="Arial" w:hAnsi="Arial" w:cs="Arial"/>
          <w:sz w:val="24"/>
          <w:szCs w:val="24"/>
        </w:rPr>
        <w:t xml:space="preserve"> que estipulan que la demanda debe presentarse dentro de los</w:t>
      </w:r>
      <w:r>
        <w:rPr>
          <w:rFonts w:ascii="Arial" w:eastAsia="Arial" w:hAnsi="Arial" w:cs="Arial"/>
          <w:sz w:val="24"/>
          <w:szCs w:val="24"/>
        </w:rPr>
        <w:t xml:space="preserve"> cinco días contados a partir del día siguiente en que se tenga conocimiento del acto impugnado, </w:t>
      </w:r>
      <w:r>
        <w:rPr>
          <w:rFonts w:ascii="Arial" w:hAnsi="Arial" w:cs="Arial"/>
          <w:sz w:val="24"/>
          <w:szCs w:val="24"/>
          <w:shd w:val="clear" w:color="auto" w:fill="FFFFFF"/>
        </w:rPr>
        <w:t xml:space="preserve">debiéndose </w:t>
      </w:r>
      <w:r>
        <w:rPr>
          <w:rFonts w:ascii="Arial" w:hAnsi="Arial" w:cs="Arial"/>
          <w:b/>
          <w:bCs/>
          <w:sz w:val="24"/>
          <w:szCs w:val="24"/>
        </w:rPr>
        <w:t>sobreseerse</w:t>
      </w:r>
      <w:r>
        <w:rPr>
          <w:rFonts w:ascii="Arial" w:hAnsi="Arial" w:cs="Arial"/>
          <w:sz w:val="24"/>
          <w:szCs w:val="24"/>
        </w:rPr>
        <w:t xml:space="preserve"> la parte correspondiente, atendiendo a las consideraciones siguientes</w:t>
      </w:r>
      <w:r>
        <w:rPr>
          <w:rFonts w:ascii="Arial" w:hAnsi="Arial" w:cs="Arial"/>
          <w:sz w:val="24"/>
          <w:szCs w:val="24"/>
          <w:shd w:val="clear" w:color="auto" w:fill="FFFFFF"/>
        </w:rPr>
        <w:t>:</w:t>
      </w:r>
    </w:p>
    <w:p w14:paraId="5F269B7B" w14:textId="77777777" w:rsidR="000D1E58" w:rsidRDefault="00000000">
      <w:pPr>
        <w:spacing w:after="240" w:line="360" w:lineRule="auto"/>
        <w:jc w:val="both"/>
        <w:rPr>
          <w:rFonts w:ascii="Arial" w:eastAsia="Arial" w:hAnsi="Arial" w:cs="Arial"/>
          <w:sz w:val="24"/>
          <w:szCs w:val="24"/>
        </w:rPr>
      </w:pPr>
      <w:r>
        <w:rPr>
          <w:rFonts w:ascii="Arial" w:eastAsia="Arial" w:hAnsi="Arial" w:cs="Arial"/>
          <w:sz w:val="24"/>
          <w:szCs w:val="24"/>
        </w:rPr>
        <w:t xml:space="preserve">En tanto que, los artículos 9 y 74, de la </w:t>
      </w:r>
      <w:r>
        <w:rPr>
          <w:rFonts w:ascii="Arial" w:eastAsia="Arial" w:hAnsi="Arial" w:cs="Arial"/>
          <w:i/>
          <w:sz w:val="24"/>
          <w:szCs w:val="24"/>
        </w:rPr>
        <w:t>Ley de Justicia Electoral</w:t>
      </w:r>
      <w:r>
        <w:rPr>
          <w:rFonts w:ascii="Arial" w:eastAsia="Arial" w:hAnsi="Arial" w:cs="Arial"/>
          <w:sz w:val="24"/>
          <w:szCs w:val="24"/>
        </w:rPr>
        <w:t xml:space="preserve"> estipulan que la demanda debe presentarse dentro de los cinco días contados a partir del día siguiente en que se tenga conocimiento del acto impugnado.</w:t>
      </w:r>
    </w:p>
    <w:p w14:paraId="67279E0A" w14:textId="77777777" w:rsidR="000D1E58" w:rsidRDefault="00000000">
      <w:pPr>
        <w:spacing w:after="240" w:line="360" w:lineRule="auto"/>
        <w:jc w:val="both"/>
        <w:rPr>
          <w:rFonts w:ascii="Arial" w:eastAsia="Arial" w:hAnsi="Arial" w:cs="Arial"/>
          <w:sz w:val="24"/>
          <w:szCs w:val="24"/>
        </w:rPr>
      </w:pPr>
      <w:r>
        <w:rPr>
          <w:rFonts w:ascii="Arial" w:eastAsia="Arial" w:hAnsi="Arial" w:cs="Arial"/>
          <w:sz w:val="24"/>
          <w:szCs w:val="24"/>
        </w:rPr>
        <w:t xml:space="preserve">Al respecto, la propia </w:t>
      </w:r>
      <w:r>
        <w:rPr>
          <w:rFonts w:ascii="Arial" w:eastAsia="Arial" w:hAnsi="Arial" w:cs="Arial"/>
          <w:i/>
          <w:iCs/>
          <w:sz w:val="24"/>
          <w:szCs w:val="24"/>
        </w:rPr>
        <w:t>actora</w:t>
      </w:r>
      <w:r>
        <w:rPr>
          <w:rFonts w:ascii="Arial" w:eastAsia="Arial" w:hAnsi="Arial" w:cs="Arial"/>
          <w:sz w:val="24"/>
          <w:szCs w:val="24"/>
        </w:rPr>
        <w:t xml:space="preserve"> reconoce en su escrito de demanda que asistió a la</w:t>
      </w:r>
      <w:r>
        <w:rPr>
          <w:rFonts w:ascii="Arial" w:hAnsi="Arial" w:cs="Arial"/>
          <w:i/>
          <w:iCs/>
          <w:sz w:val="24"/>
          <w:szCs w:val="24"/>
        </w:rPr>
        <w:t xml:space="preserve"> Sesión Ordinaria 002</w:t>
      </w:r>
      <w:r>
        <w:rPr>
          <w:rFonts w:ascii="Arial" w:eastAsia="Arial" w:hAnsi="Arial" w:cs="Arial"/>
          <w:sz w:val="24"/>
          <w:szCs w:val="24"/>
        </w:rPr>
        <w:t xml:space="preserve">, celebrada el veintiocho de enero, y que participó en ésta expresando su voto en contra en algunos puntos del orden del día, manifestaciones que al considerar que no eran atendidas presentó por escrito durante el desarrollo de la sesión, requiriendo a las </w:t>
      </w:r>
      <w:r>
        <w:rPr>
          <w:rFonts w:ascii="Arial" w:eastAsia="Arial" w:hAnsi="Arial" w:cs="Arial"/>
          <w:i/>
          <w:iCs/>
          <w:sz w:val="24"/>
          <w:szCs w:val="24"/>
        </w:rPr>
        <w:t>autoridades responsables</w:t>
      </w:r>
      <w:r>
        <w:rPr>
          <w:rFonts w:ascii="Arial" w:eastAsia="Arial" w:hAnsi="Arial" w:cs="Arial"/>
          <w:sz w:val="24"/>
          <w:szCs w:val="24"/>
        </w:rPr>
        <w:t xml:space="preserve"> que lo adjuntaran como anexo al Acta correspondiente. Al respecto, en su escrito primigenio solicitó a este </w:t>
      </w:r>
      <w:r>
        <w:rPr>
          <w:rFonts w:ascii="Arial" w:eastAsia="Arial" w:hAnsi="Arial" w:cs="Arial"/>
          <w:i/>
          <w:iCs/>
          <w:sz w:val="24"/>
          <w:szCs w:val="24"/>
        </w:rPr>
        <w:t>Tribunal Electoral</w:t>
      </w:r>
      <w:r>
        <w:rPr>
          <w:rFonts w:ascii="Arial" w:eastAsia="Arial" w:hAnsi="Arial" w:cs="Arial"/>
          <w:sz w:val="24"/>
          <w:szCs w:val="24"/>
        </w:rPr>
        <w:t xml:space="preserve"> requerir a las autoridades responsables las constancias referidas.</w:t>
      </w:r>
    </w:p>
    <w:p w14:paraId="75E6D619" w14:textId="77777777" w:rsidR="000D1E58" w:rsidRDefault="00000000">
      <w:pPr>
        <w:spacing w:after="240" w:line="360" w:lineRule="auto"/>
        <w:jc w:val="both"/>
        <w:rPr>
          <w:rFonts w:ascii="Arial" w:eastAsia="Arial" w:hAnsi="Arial" w:cs="Arial"/>
          <w:sz w:val="24"/>
          <w:szCs w:val="24"/>
        </w:rPr>
      </w:pPr>
      <w:r>
        <w:rPr>
          <w:rFonts w:ascii="Arial" w:eastAsia="Arial" w:hAnsi="Arial" w:cs="Arial"/>
          <w:sz w:val="24"/>
          <w:szCs w:val="24"/>
        </w:rPr>
        <w:t xml:space="preserve">Por lo que, en autos obra copia certificada del Acta de </w:t>
      </w:r>
      <w:r>
        <w:rPr>
          <w:rFonts w:ascii="Arial" w:hAnsi="Arial" w:cs="Arial"/>
          <w:i/>
          <w:iCs/>
          <w:sz w:val="24"/>
          <w:szCs w:val="24"/>
        </w:rPr>
        <w:t>Sesión Ordinaria 002,</w:t>
      </w:r>
      <w:r>
        <w:rPr>
          <w:rFonts w:ascii="Arial" w:eastAsia="Arial" w:hAnsi="Arial" w:cs="Arial"/>
          <w:sz w:val="24"/>
          <w:szCs w:val="24"/>
        </w:rPr>
        <w:t xml:space="preserve"> en la que, de conformidad con punto de Acuerdo 1, se advierte que la </w:t>
      </w:r>
      <w:r>
        <w:rPr>
          <w:rFonts w:ascii="Arial" w:eastAsia="Arial" w:hAnsi="Arial" w:cs="Arial"/>
          <w:i/>
          <w:iCs/>
          <w:sz w:val="24"/>
          <w:szCs w:val="24"/>
        </w:rPr>
        <w:t>Regidora</w:t>
      </w:r>
      <w:r>
        <w:rPr>
          <w:rFonts w:ascii="Arial" w:eastAsia="Arial" w:hAnsi="Arial" w:cs="Arial"/>
          <w:sz w:val="24"/>
          <w:szCs w:val="24"/>
        </w:rPr>
        <w:t xml:space="preserve"> haciendo uso de la voz leyó el escrito referido, manifestando su voto en contra de los puntos V, VI, VII y VIII del orden del día -documento que </w:t>
      </w:r>
      <w:proofErr w:type="gramStart"/>
      <w:r>
        <w:rPr>
          <w:rFonts w:ascii="Arial" w:eastAsia="Arial" w:hAnsi="Arial" w:cs="Arial"/>
          <w:sz w:val="24"/>
          <w:szCs w:val="24"/>
        </w:rPr>
        <w:t>obra anexo</w:t>
      </w:r>
      <w:proofErr w:type="gramEnd"/>
      <w:r>
        <w:rPr>
          <w:rFonts w:ascii="Arial" w:eastAsia="Arial" w:hAnsi="Arial" w:cs="Arial"/>
          <w:sz w:val="24"/>
          <w:szCs w:val="24"/>
        </w:rPr>
        <w:t xml:space="preserve"> al Acta correspondiente- lo cual a su vez, asentó de puño y letra: “</w:t>
      </w:r>
      <w:r>
        <w:rPr>
          <w:rFonts w:ascii="Arial" w:eastAsia="Arial" w:hAnsi="Arial" w:cs="Arial"/>
          <w:i/>
          <w:iCs/>
          <w:sz w:val="24"/>
          <w:szCs w:val="24"/>
        </w:rPr>
        <w:t>Firmo bajo protesta puntos V-VI-VII-VIII. Anexo documentos”</w:t>
      </w:r>
      <w:r>
        <w:rPr>
          <w:rFonts w:ascii="Arial" w:eastAsia="Arial" w:hAnsi="Arial" w:cs="Arial"/>
          <w:sz w:val="24"/>
          <w:szCs w:val="24"/>
        </w:rPr>
        <w:t>, junto con su firma.</w:t>
      </w:r>
    </w:p>
    <w:p w14:paraId="33B06F93" w14:textId="77777777" w:rsidR="000D1E58" w:rsidRPr="00F36250" w:rsidRDefault="00000000">
      <w:pPr>
        <w:spacing w:before="100" w:beforeAutospacing="1" w:after="100" w:afterAutospacing="1" w:line="360" w:lineRule="auto"/>
        <w:jc w:val="both"/>
        <w:rPr>
          <w:rFonts w:ascii="Arial" w:eastAsia="Times New Roman" w:hAnsi="Arial" w:cs="Arial"/>
          <w:i/>
          <w:iCs/>
          <w:sz w:val="24"/>
          <w:szCs w:val="24"/>
        </w:rPr>
      </w:pPr>
      <w:proofErr w:type="gramStart"/>
      <w:r>
        <w:rPr>
          <w:rFonts w:ascii="Arial" w:eastAsia="Times New Roman" w:hAnsi="Arial" w:cs="Arial"/>
          <w:sz w:val="24"/>
          <w:szCs w:val="24"/>
        </w:rPr>
        <w:t>Documentales públicas</w:t>
      </w:r>
      <w:proofErr w:type="gramEnd"/>
      <w:r>
        <w:rPr>
          <w:rFonts w:ascii="Arial" w:eastAsia="Times New Roman" w:hAnsi="Arial" w:cs="Arial"/>
          <w:sz w:val="24"/>
          <w:szCs w:val="24"/>
        </w:rPr>
        <w:t xml:space="preserve"> que de conformidad con lo dispuesto por los artículos 17, fracción III y 22, fracción II, de la </w:t>
      </w:r>
      <w:r>
        <w:rPr>
          <w:rFonts w:ascii="Arial" w:eastAsia="Times New Roman" w:hAnsi="Arial" w:cs="Arial"/>
          <w:i/>
          <w:iCs/>
          <w:sz w:val="24"/>
          <w:szCs w:val="24"/>
        </w:rPr>
        <w:t>Ley de Justicia Electoral</w:t>
      </w:r>
      <w:r>
        <w:rPr>
          <w:rFonts w:ascii="Arial" w:eastAsia="Times New Roman" w:hAnsi="Arial" w:cs="Arial"/>
          <w:sz w:val="24"/>
          <w:szCs w:val="24"/>
        </w:rPr>
        <w:t xml:space="preserve">, cuentan con valor probatorio pleno, al ser expedida por un funcionario facultado para certificar los </w:t>
      </w:r>
      <w:r w:rsidRPr="00492D58">
        <w:rPr>
          <w:rFonts w:ascii="Arial" w:eastAsia="Times New Roman" w:hAnsi="Arial" w:cs="Arial"/>
          <w:sz w:val="24"/>
          <w:szCs w:val="24"/>
        </w:rPr>
        <w:t xml:space="preserve">actos de competencia municipal, en términos del artículo 69, fracción VIII, de la </w:t>
      </w:r>
      <w:r w:rsidRPr="00492D58">
        <w:rPr>
          <w:rFonts w:ascii="Arial" w:eastAsia="Times New Roman" w:hAnsi="Arial" w:cs="Arial"/>
          <w:i/>
          <w:iCs/>
          <w:sz w:val="24"/>
          <w:szCs w:val="24"/>
        </w:rPr>
        <w:t>Ley Orgánica Municipal.</w:t>
      </w:r>
    </w:p>
    <w:p w14:paraId="12B522DC" w14:textId="77777777" w:rsidR="000D1E58" w:rsidRDefault="00000000">
      <w:pPr>
        <w:spacing w:after="240" w:line="360" w:lineRule="auto"/>
        <w:jc w:val="both"/>
        <w:rPr>
          <w:rFonts w:ascii="Arial" w:eastAsia="Arial" w:hAnsi="Arial" w:cs="Arial"/>
          <w:sz w:val="24"/>
          <w:szCs w:val="24"/>
        </w:rPr>
      </w:pPr>
      <w:r>
        <w:rPr>
          <w:rFonts w:ascii="Arial" w:eastAsia="Arial" w:hAnsi="Arial" w:cs="Arial"/>
          <w:sz w:val="24"/>
          <w:szCs w:val="24"/>
        </w:rPr>
        <w:t xml:space="preserve">De lo anterior, se puede advertir que el desarrollo de la </w:t>
      </w:r>
      <w:r>
        <w:rPr>
          <w:rFonts w:ascii="Arial" w:eastAsia="Arial" w:hAnsi="Arial" w:cs="Arial"/>
          <w:i/>
          <w:iCs/>
          <w:sz w:val="24"/>
          <w:szCs w:val="24"/>
        </w:rPr>
        <w:t>Sesión Ordinaria 002</w:t>
      </w:r>
      <w:r>
        <w:rPr>
          <w:rFonts w:ascii="Arial" w:eastAsia="Arial" w:hAnsi="Arial" w:cs="Arial"/>
          <w:sz w:val="24"/>
          <w:szCs w:val="24"/>
        </w:rPr>
        <w:t xml:space="preserve">, en la que la </w:t>
      </w:r>
      <w:r>
        <w:rPr>
          <w:rFonts w:ascii="Arial" w:eastAsia="Arial" w:hAnsi="Arial" w:cs="Arial"/>
          <w:i/>
          <w:iCs/>
          <w:sz w:val="24"/>
          <w:szCs w:val="24"/>
        </w:rPr>
        <w:t>actora</w:t>
      </w:r>
      <w:r>
        <w:rPr>
          <w:rFonts w:ascii="Arial" w:eastAsia="Arial" w:hAnsi="Arial" w:cs="Arial"/>
          <w:sz w:val="24"/>
          <w:szCs w:val="24"/>
        </w:rPr>
        <w:t xml:space="preserve"> aduce la irregularidad reclamada fue el veintiocho de enero y fue </w:t>
      </w:r>
      <w:r>
        <w:rPr>
          <w:rFonts w:ascii="Arial" w:eastAsia="Arial" w:hAnsi="Arial" w:cs="Arial"/>
          <w:sz w:val="24"/>
          <w:szCs w:val="24"/>
        </w:rPr>
        <w:lastRenderedPageBreak/>
        <w:t>hasta el once de febrero, que ésta presentó su escrito de demanda</w:t>
      </w:r>
      <w:r>
        <w:rPr>
          <w:rFonts w:ascii="Arial" w:eastAsia="Arial" w:hAnsi="Arial" w:cs="Arial"/>
          <w:b/>
          <w:bCs/>
          <w:sz w:val="24"/>
          <w:szCs w:val="24"/>
        </w:rPr>
        <w:t xml:space="preserve"> </w:t>
      </w:r>
      <w:r>
        <w:rPr>
          <w:rFonts w:ascii="Arial" w:eastAsia="Arial" w:hAnsi="Arial" w:cs="Arial"/>
          <w:sz w:val="24"/>
          <w:szCs w:val="24"/>
        </w:rPr>
        <w:t xml:space="preserve">ante este </w:t>
      </w:r>
      <w:r>
        <w:rPr>
          <w:rFonts w:ascii="Arial" w:eastAsia="Arial" w:hAnsi="Arial" w:cs="Arial"/>
          <w:i/>
          <w:iCs/>
          <w:sz w:val="24"/>
          <w:szCs w:val="24"/>
        </w:rPr>
        <w:t>órgano jurisdiccional</w:t>
      </w:r>
      <w:r>
        <w:rPr>
          <w:rFonts w:ascii="Arial" w:eastAsia="Arial" w:hAnsi="Arial" w:cs="Arial"/>
          <w:sz w:val="24"/>
          <w:szCs w:val="24"/>
        </w:rPr>
        <w:t xml:space="preserve">. </w:t>
      </w:r>
    </w:p>
    <w:p w14:paraId="4A071E33" w14:textId="1492DB89" w:rsidR="000D1E58" w:rsidRDefault="00000000">
      <w:pPr>
        <w:spacing w:before="100" w:beforeAutospacing="1" w:after="100" w:afterAutospacing="1" w:line="360" w:lineRule="auto"/>
        <w:jc w:val="both"/>
        <w:rPr>
          <w:rFonts w:ascii="Arial" w:eastAsia="Times New Roman" w:hAnsi="Arial" w:cs="Arial"/>
          <w:sz w:val="24"/>
          <w:szCs w:val="24"/>
        </w:rPr>
      </w:pPr>
      <w:r>
        <w:rPr>
          <w:rFonts w:ascii="Arial" w:eastAsia="Times New Roman" w:hAnsi="Arial" w:cs="Arial"/>
          <w:sz w:val="24"/>
          <w:szCs w:val="24"/>
        </w:rPr>
        <w:t xml:space="preserve">Bajo este orden de ideas, es evidente que el término de cinco días que establece el mencionado dispositivo 9 de la </w:t>
      </w:r>
      <w:r>
        <w:rPr>
          <w:rFonts w:ascii="Arial" w:eastAsia="Times New Roman" w:hAnsi="Arial" w:cs="Arial"/>
          <w:i/>
          <w:iCs/>
          <w:sz w:val="24"/>
          <w:szCs w:val="24"/>
        </w:rPr>
        <w:t>Ley de Justicia Electoral</w:t>
      </w:r>
      <w:r>
        <w:rPr>
          <w:rFonts w:ascii="Arial" w:eastAsia="Times New Roman" w:hAnsi="Arial" w:cs="Arial"/>
          <w:sz w:val="24"/>
          <w:szCs w:val="24"/>
        </w:rPr>
        <w:t xml:space="preserve">, transcurrió del </w:t>
      </w:r>
      <w:r w:rsidRPr="00492D58">
        <w:rPr>
          <w:rFonts w:ascii="Arial" w:eastAsia="Times New Roman" w:hAnsi="Arial" w:cs="Arial"/>
          <w:sz w:val="24"/>
          <w:szCs w:val="24"/>
        </w:rPr>
        <w:t xml:space="preserve">veintinueve de enero al </w:t>
      </w:r>
      <w:r w:rsidR="00FC42CB" w:rsidRPr="00492D58">
        <w:rPr>
          <w:rFonts w:ascii="Arial" w:eastAsia="Times New Roman" w:hAnsi="Arial" w:cs="Arial"/>
          <w:sz w:val="24"/>
          <w:szCs w:val="24"/>
        </w:rPr>
        <w:t>seis</w:t>
      </w:r>
      <w:r w:rsidRPr="00492D58">
        <w:rPr>
          <w:rFonts w:ascii="Arial" w:eastAsia="Times New Roman" w:hAnsi="Arial" w:cs="Arial"/>
          <w:sz w:val="24"/>
          <w:szCs w:val="24"/>
        </w:rPr>
        <w:t xml:space="preserve"> de febrero</w:t>
      </w:r>
      <w:r w:rsidRPr="00492D58">
        <w:rPr>
          <w:rFonts w:ascii="Arial" w:eastAsia="Arial" w:hAnsi="Arial" w:cs="Arial"/>
          <w:sz w:val="24"/>
          <w:szCs w:val="24"/>
          <w:vertAlign w:val="superscript"/>
        </w:rPr>
        <w:footnoteReference w:id="20"/>
      </w:r>
      <w:r w:rsidRPr="00492D58">
        <w:rPr>
          <w:rFonts w:ascii="Arial" w:eastAsia="Times New Roman" w:hAnsi="Arial" w:cs="Arial"/>
          <w:sz w:val="24"/>
          <w:szCs w:val="24"/>
        </w:rPr>
        <w:t xml:space="preserve">; en tanto que la fecha de presentación del </w:t>
      </w:r>
      <w:r w:rsidRPr="00492D58">
        <w:rPr>
          <w:rFonts w:ascii="Arial" w:eastAsia="Times New Roman" w:hAnsi="Arial" w:cs="Arial"/>
          <w:i/>
          <w:iCs/>
          <w:sz w:val="24"/>
          <w:szCs w:val="24"/>
        </w:rPr>
        <w:t>juicio de la ciudadanía</w:t>
      </w:r>
      <w:r w:rsidRPr="00492D58">
        <w:rPr>
          <w:rFonts w:ascii="Arial" w:eastAsia="Times New Roman" w:hAnsi="Arial" w:cs="Arial"/>
          <w:sz w:val="24"/>
          <w:szCs w:val="24"/>
        </w:rPr>
        <w:t xml:space="preserve"> fue hasta el once siguiente, lo que hace evidente que se presentó fuera del plazo</w:t>
      </w:r>
      <w:r>
        <w:rPr>
          <w:rFonts w:ascii="Arial" w:eastAsia="Times New Roman" w:hAnsi="Arial" w:cs="Arial"/>
          <w:sz w:val="24"/>
          <w:szCs w:val="24"/>
        </w:rPr>
        <w:t xml:space="preserve"> previsto por la ley</w:t>
      </w:r>
      <w:r>
        <w:rPr>
          <w:rFonts w:ascii="Arial" w:eastAsia="Arial" w:hAnsi="Arial" w:cs="Arial"/>
          <w:sz w:val="24"/>
          <w:szCs w:val="24"/>
          <w:vertAlign w:val="superscript"/>
        </w:rPr>
        <w:footnoteReference w:id="21"/>
      </w:r>
      <w:r>
        <w:rPr>
          <w:rFonts w:ascii="Arial" w:eastAsia="Times New Roman" w:hAnsi="Arial" w:cs="Arial"/>
          <w:sz w:val="24"/>
          <w:szCs w:val="24"/>
        </w:rPr>
        <w:t xml:space="preserve">. </w:t>
      </w:r>
    </w:p>
    <w:p w14:paraId="0E1E60EC" w14:textId="77777777" w:rsidR="000D1E58" w:rsidRPr="00DF1E4E" w:rsidRDefault="00000000">
      <w:pPr>
        <w:spacing w:before="100" w:beforeAutospacing="1" w:after="100" w:afterAutospacing="1" w:line="360" w:lineRule="auto"/>
        <w:jc w:val="both"/>
        <w:rPr>
          <w:rFonts w:ascii="Arial" w:eastAsia="Times New Roman" w:hAnsi="Arial" w:cs="Arial"/>
          <w:sz w:val="24"/>
          <w:szCs w:val="24"/>
        </w:rPr>
      </w:pPr>
      <w:r>
        <w:rPr>
          <w:rFonts w:ascii="Arial" w:eastAsia="Times New Roman" w:hAnsi="Arial" w:cs="Arial"/>
          <w:sz w:val="24"/>
          <w:szCs w:val="24"/>
        </w:rPr>
        <w:t xml:space="preserve">Para </w:t>
      </w:r>
      <w:r w:rsidRPr="00DF1E4E">
        <w:rPr>
          <w:rFonts w:ascii="Arial" w:eastAsia="Times New Roman" w:hAnsi="Arial" w:cs="Arial"/>
          <w:sz w:val="24"/>
          <w:szCs w:val="24"/>
        </w:rPr>
        <w:t>mayor claridad se ilustra el siguiente cuadro esquemático:</w:t>
      </w:r>
    </w:p>
    <w:tbl>
      <w:tblPr>
        <w:tblStyle w:val="Tablaconcuadrcula"/>
        <w:tblW w:w="7678" w:type="dxa"/>
        <w:jc w:val="center"/>
        <w:tblLook w:val="04A0" w:firstRow="1" w:lastRow="0" w:firstColumn="1" w:lastColumn="0" w:noHBand="0" w:noVBand="1"/>
      </w:tblPr>
      <w:tblGrid>
        <w:gridCol w:w="1838"/>
        <w:gridCol w:w="1418"/>
        <w:gridCol w:w="1559"/>
        <w:gridCol w:w="1642"/>
        <w:gridCol w:w="1221"/>
      </w:tblGrid>
      <w:tr w:rsidR="000D1E58" w:rsidRPr="00DF1E4E" w14:paraId="59D3E8D7" w14:textId="77777777">
        <w:trPr>
          <w:jc w:val="center"/>
        </w:trPr>
        <w:tc>
          <w:tcPr>
            <w:tcW w:w="1838" w:type="dxa"/>
            <w:shd w:val="clear" w:color="auto" w:fill="C5E0B3" w:themeFill="accent6" w:themeFillTint="66"/>
          </w:tcPr>
          <w:p w14:paraId="3E7901C5" w14:textId="77777777" w:rsidR="000D1E58" w:rsidRPr="00DF1E4E" w:rsidRDefault="00000000">
            <w:pPr>
              <w:spacing w:line="360" w:lineRule="auto"/>
              <w:jc w:val="center"/>
              <w:rPr>
                <w:rFonts w:ascii="Arial" w:hAnsi="Arial" w:cs="Arial"/>
                <w:b/>
                <w:sz w:val="16"/>
                <w:szCs w:val="16"/>
              </w:rPr>
            </w:pPr>
            <w:r w:rsidRPr="00DF1E4E">
              <w:rPr>
                <w:rFonts w:ascii="Arial" w:hAnsi="Arial" w:cs="Arial"/>
                <w:b/>
                <w:sz w:val="16"/>
                <w:szCs w:val="16"/>
              </w:rPr>
              <w:t>Conocimiento del acto impugnado</w:t>
            </w:r>
          </w:p>
          <w:p w14:paraId="4345B9B5" w14:textId="77777777" w:rsidR="000D1E58" w:rsidRPr="00DF1E4E" w:rsidRDefault="00000000">
            <w:pPr>
              <w:spacing w:line="360" w:lineRule="auto"/>
              <w:jc w:val="center"/>
              <w:rPr>
                <w:rFonts w:ascii="Arial" w:hAnsi="Arial" w:cs="Arial"/>
                <w:b/>
                <w:sz w:val="16"/>
                <w:szCs w:val="16"/>
              </w:rPr>
            </w:pPr>
            <w:r w:rsidRPr="00DF1E4E">
              <w:rPr>
                <w:rFonts w:ascii="Arial" w:hAnsi="Arial" w:cs="Arial"/>
                <w:b/>
                <w:sz w:val="16"/>
                <w:szCs w:val="16"/>
              </w:rPr>
              <w:t xml:space="preserve">(Irregularidad en la intervención en la </w:t>
            </w:r>
            <w:r w:rsidRPr="00DF1E4E">
              <w:rPr>
                <w:rFonts w:ascii="Arial" w:hAnsi="Arial" w:cs="Arial"/>
                <w:b/>
                <w:i/>
                <w:iCs/>
                <w:sz w:val="16"/>
                <w:szCs w:val="16"/>
              </w:rPr>
              <w:t>Sesión número 002</w:t>
            </w:r>
            <w:r w:rsidRPr="00DF1E4E">
              <w:rPr>
                <w:rFonts w:ascii="Arial" w:hAnsi="Arial" w:cs="Arial"/>
                <w:b/>
                <w:sz w:val="16"/>
                <w:szCs w:val="16"/>
              </w:rPr>
              <w:t xml:space="preserve"> de </w:t>
            </w:r>
            <w:r w:rsidRPr="00DF1E4E">
              <w:rPr>
                <w:rFonts w:ascii="Arial" w:hAnsi="Arial" w:cs="Arial"/>
                <w:b/>
                <w:i/>
                <w:iCs/>
                <w:sz w:val="16"/>
                <w:szCs w:val="16"/>
              </w:rPr>
              <w:t>Ayuntamiento</w:t>
            </w:r>
            <w:r w:rsidRPr="00DF1E4E">
              <w:rPr>
                <w:rFonts w:ascii="Arial" w:hAnsi="Arial" w:cs="Arial"/>
                <w:b/>
                <w:sz w:val="16"/>
                <w:szCs w:val="16"/>
              </w:rPr>
              <w:t>)</w:t>
            </w:r>
          </w:p>
        </w:tc>
        <w:tc>
          <w:tcPr>
            <w:tcW w:w="1418" w:type="dxa"/>
            <w:shd w:val="clear" w:color="auto" w:fill="C5E0B3" w:themeFill="accent6" w:themeFillTint="66"/>
          </w:tcPr>
          <w:p w14:paraId="64F2381B" w14:textId="0C83A8F5" w:rsidR="000D1E58" w:rsidRPr="00DF1E4E" w:rsidRDefault="00000000">
            <w:pPr>
              <w:spacing w:line="360" w:lineRule="auto"/>
              <w:jc w:val="center"/>
              <w:rPr>
                <w:rFonts w:ascii="Arial" w:hAnsi="Arial" w:cs="Arial"/>
                <w:b/>
                <w:sz w:val="16"/>
                <w:szCs w:val="16"/>
              </w:rPr>
            </w:pPr>
            <w:r w:rsidRPr="00DF1E4E">
              <w:rPr>
                <w:rFonts w:ascii="Arial" w:hAnsi="Arial" w:cs="Arial"/>
                <w:b/>
                <w:sz w:val="16"/>
                <w:szCs w:val="16"/>
              </w:rPr>
              <w:t>Inicio de término</w:t>
            </w:r>
            <w:r w:rsidR="008D784F" w:rsidRPr="00DF1E4E">
              <w:rPr>
                <w:rFonts w:ascii="Arial" w:hAnsi="Arial" w:cs="Arial"/>
                <w:b/>
                <w:sz w:val="16"/>
                <w:szCs w:val="16"/>
              </w:rPr>
              <w:t xml:space="preserve"> para impugnar</w:t>
            </w:r>
          </w:p>
        </w:tc>
        <w:tc>
          <w:tcPr>
            <w:tcW w:w="1559" w:type="dxa"/>
            <w:shd w:val="clear" w:color="auto" w:fill="C5E0B3" w:themeFill="accent6" w:themeFillTint="66"/>
          </w:tcPr>
          <w:p w14:paraId="3B5F5E78" w14:textId="77777777" w:rsidR="000D1E58" w:rsidRPr="00DF1E4E" w:rsidRDefault="00000000">
            <w:pPr>
              <w:spacing w:line="360" w:lineRule="auto"/>
              <w:jc w:val="center"/>
              <w:rPr>
                <w:rFonts w:ascii="Arial" w:hAnsi="Arial" w:cs="Arial"/>
                <w:b/>
                <w:sz w:val="16"/>
                <w:szCs w:val="16"/>
              </w:rPr>
            </w:pPr>
            <w:r w:rsidRPr="00DF1E4E">
              <w:rPr>
                <w:rFonts w:ascii="Arial" w:hAnsi="Arial" w:cs="Arial"/>
                <w:b/>
                <w:sz w:val="16"/>
                <w:szCs w:val="16"/>
              </w:rPr>
              <w:t>Días inhábiles</w:t>
            </w:r>
          </w:p>
        </w:tc>
        <w:tc>
          <w:tcPr>
            <w:tcW w:w="1642" w:type="dxa"/>
            <w:shd w:val="clear" w:color="auto" w:fill="C5E0B3" w:themeFill="accent6" w:themeFillTint="66"/>
          </w:tcPr>
          <w:p w14:paraId="1429DFF2" w14:textId="77777777" w:rsidR="001D4798" w:rsidRPr="00DF1E4E" w:rsidRDefault="001D4798" w:rsidP="001D4798">
            <w:pPr>
              <w:spacing w:line="360" w:lineRule="auto"/>
              <w:jc w:val="center"/>
              <w:rPr>
                <w:rFonts w:ascii="Arial" w:hAnsi="Arial" w:cs="Arial"/>
                <w:b/>
                <w:sz w:val="16"/>
                <w:szCs w:val="16"/>
              </w:rPr>
            </w:pPr>
            <w:r w:rsidRPr="00DF1E4E">
              <w:rPr>
                <w:rFonts w:ascii="Arial" w:hAnsi="Arial" w:cs="Arial"/>
                <w:b/>
                <w:sz w:val="16"/>
                <w:szCs w:val="16"/>
              </w:rPr>
              <w:t>Fenece término para impugnar</w:t>
            </w:r>
          </w:p>
          <w:p w14:paraId="2D72AE52" w14:textId="258113CB" w:rsidR="000D1E58" w:rsidRPr="00DF1E4E" w:rsidRDefault="001D4798" w:rsidP="001D4798">
            <w:pPr>
              <w:spacing w:line="360" w:lineRule="auto"/>
              <w:jc w:val="center"/>
              <w:rPr>
                <w:rFonts w:ascii="Arial" w:hAnsi="Arial" w:cs="Arial"/>
                <w:b/>
                <w:color w:val="1D1B11"/>
                <w:sz w:val="28"/>
                <w:szCs w:val="28"/>
              </w:rPr>
            </w:pPr>
            <w:r w:rsidRPr="00DF1E4E">
              <w:rPr>
                <w:rFonts w:ascii="Arial" w:hAnsi="Arial" w:cs="Arial"/>
                <w:b/>
                <w:sz w:val="16"/>
                <w:szCs w:val="16"/>
              </w:rPr>
              <w:t xml:space="preserve">(Irregularidad en la intervención en la </w:t>
            </w:r>
            <w:r w:rsidRPr="00DF1E4E">
              <w:rPr>
                <w:rFonts w:ascii="Arial" w:hAnsi="Arial" w:cs="Arial"/>
                <w:b/>
                <w:i/>
                <w:iCs/>
                <w:sz w:val="16"/>
                <w:szCs w:val="16"/>
              </w:rPr>
              <w:t>Sesión número 002</w:t>
            </w:r>
            <w:r w:rsidRPr="00DF1E4E">
              <w:rPr>
                <w:rFonts w:ascii="Arial" w:hAnsi="Arial" w:cs="Arial"/>
                <w:b/>
                <w:sz w:val="16"/>
                <w:szCs w:val="16"/>
              </w:rPr>
              <w:t xml:space="preserve"> del </w:t>
            </w:r>
            <w:r w:rsidRPr="00DF1E4E">
              <w:rPr>
                <w:rFonts w:ascii="Arial" w:hAnsi="Arial" w:cs="Arial"/>
                <w:b/>
                <w:i/>
                <w:iCs/>
                <w:sz w:val="16"/>
                <w:szCs w:val="16"/>
              </w:rPr>
              <w:t>Ayuntamiento</w:t>
            </w:r>
            <w:r w:rsidRPr="00DF1E4E">
              <w:rPr>
                <w:rFonts w:ascii="Arial" w:hAnsi="Arial" w:cs="Arial"/>
                <w:b/>
                <w:sz w:val="16"/>
                <w:szCs w:val="16"/>
              </w:rPr>
              <w:t>)</w:t>
            </w:r>
          </w:p>
        </w:tc>
        <w:tc>
          <w:tcPr>
            <w:tcW w:w="1221" w:type="dxa"/>
            <w:shd w:val="clear" w:color="auto" w:fill="C5E0B3" w:themeFill="accent6" w:themeFillTint="66"/>
          </w:tcPr>
          <w:p w14:paraId="239658A8" w14:textId="77777777" w:rsidR="000D1E58" w:rsidRPr="00DF1E4E" w:rsidRDefault="00000000">
            <w:pPr>
              <w:spacing w:line="360" w:lineRule="auto"/>
              <w:jc w:val="center"/>
              <w:rPr>
                <w:rFonts w:ascii="Arial" w:hAnsi="Arial" w:cs="Arial"/>
                <w:b/>
                <w:color w:val="1D1B11"/>
                <w:sz w:val="28"/>
                <w:szCs w:val="28"/>
              </w:rPr>
            </w:pPr>
            <w:r w:rsidRPr="00DF1E4E">
              <w:rPr>
                <w:rFonts w:ascii="Arial" w:hAnsi="Arial" w:cs="Arial"/>
                <w:b/>
                <w:sz w:val="16"/>
                <w:szCs w:val="16"/>
              </w:rPr>
              <w:t>Presentación de la demanda</w:t>
            </w:r>
          </w:p>
        </w:tc>
      </w:tr>
      <w:tr w:rsidR="000D1E58" w:rsidRPr="00DF1E4E" w14:paraId="74A54E7B" w14:textId="77777777">
        <w:trPr>
          <w:jc w:val="center"/>
        </w:trPr>
        <w:tc>
          <w:tcPr>
            <w:tcW w:w="1838" w:type="dxa"/>
          </w:tcPr>
          <w:p w14:paraId="319868B5" w14:textId="77777777" w:rsidR="000D1E58" w:rsidRPr="00DF1E4E" w:rsidRDefault="00000000">
            <w:pPr>
              <w:spacing w:line="360" w:lineRule="auto"/>
              <w:jc w:val="both"/>
              <w:rPr>
                <w:rFonts w:ascii="Arial" w:hAnsi="Arial" w:cs="Arial"/>
                <w:color w:val="1D1B11"/>
                <w:sz w:val="16"/>
                <w:szCs w:val="16"/>
              </w:rPr>
            </w:pPr>
            <w:r w:rsidRPr="00DF1E4E">
              <w:rPr>
                <w:rFonts w:ascii="Arial" w:hAnsi="Arial" w:cs="Arial"/>
                <w:color w:val="1D1B11"/>
                <w:sz w:val="16"/>
                <w:szCs w:val="16"/>
              </w:rPr>
              <w:t>Martes 28 de enero</w:t>
            </w:r>
          </w:p>
        </w:tc>
        <w:tc>
          <w:tcPr>
            <w:tcW w:w="1418" w:type="dxa"/>
          </w:tcPr>
          <w:p w14:paraId="3EF5B11C" w14:textId="77777777" w:rsidR="000D1E58" w:rsidRPr="00DF1E4E" w:rsidRDefault="00000000">
            <w:pPr>
              <w:spacing w:line="360" w:lineRule="auto"/>
              <w:jc w:val="both"/>
              <w:rPr>
                <w:rFonts w:ascii="Arial" w:hAnsi="Arial" w:cs="Arial"/>
                <w:color w:val="1D1B11"/>
                <w:sz w:val="16"/>
                <w:szCs w:val="16"/>
              </w:rPr>
            </w:pPr>
            <w:r w:rsidRPr="00DF1E4E">
              <w:rPr>
                <w:rFonts w:ascii="Arial" w:hAnsi="Arial" w:cs="Arial"/>
                <w:color w:val="1D1B11"/>
                <w:sz w:val="16"/>
                <w:szCs w:val="16"/>
              </w:rPr>
              <w:t>Miércoles 29 de enero.</w:t>
            </w:r>
          </w:p>
        </w:tc>
        <w:tc>
          <w:tcPr>
            <w:tcW w:w="1559" w:type="dxa"/>
          </w:tcPr>
          <w:p w14:paraId="72985257" w14:textId="1FBFD2B8" w:rsidR="000D1E58" w:rsidRPr="00DF1E4E" w:rsidRDefault="00000000">
            <w:pPr>
              <w:spacing w:line="360" w:lineRule="auto"/>
              <w:jc w:val="both"/>
              <w:rPr>
                <w:rFonts w:ascii="Arial" w:hAnsi="Arial" w:cs="Arial"/>
                <w:color w:val="1D1B11"/>
                <w:sz w:val="28"/>
                <w:szCs w:val="28"/>
              </w:rPr>
            </w:pPr>
            <w:r w:rsidRPr="00DF1E4E">
              <w:rPr>
                <w:rFonts w:ascii="Arial" w:hAnsi="Arial" w:cs="Arial"/>
                <w:color w:val="1D1B11"/>
                <w:sz w:val="16"/>
                <w:szCs w:val="16"/>
              </w:rPr>
              <w:t>Sábado 1 y domingo 2, así como el lunes 3</w:t>
            </w:r>
            <w:r w:rsidR="008D784F" w:rsidRPr="00DF1E4E">
              <w:rPr>
                <w:rFonts w:ascii="Arial" w:hAnsi="Arial" w:cs="Arial"/>
                <w:color w:val="1D1B11"/>
                <w:sz w:val="16"/>
                <w:szCs w:val="16"/>
              </w:rPr>
              <w:t xml:space="preserve"> y </w:t>
            </w:r>
            <w:r w:rsidR="00DF1E4E" w:rsidRPr="00DF1E4E">
              <w:rPr>
                <w:rFonts w:ascii="Arial" w:hAnsi="Arial" w:cs="Arial"/>
                <w:color w:val="1D1B11"/>
                <w:sz w:val="16"/>
                <w:szCs w:val="16"/>
              </w:rPr>
              <w:t xml:space="preserve">martes </w:t>
            </w:r>
            <w:r w:rsidR="008D784F" w:rsidRPr="00DF1E4E">
              <w:rPr>
                <w:rFonts w:ascii="Arial" w:hAnsi="Arial" w:cs="Arial"/>
                <w:color w:val="1D1B11"/>
                <w:sz w:val="16"/>
                <w:szCs w:val="16"/>
              </w:rPr>
              <w:t>4</w:t>
            </w:r>
            <w:r w:rsidRPr="00DF1E4E">
              <w:rPr>
                <w:rStyle w:val="Refdenotaalpie"/>
                <w:rFonts w:ascii="Arial" w:hAnsi="Arial" w:cs="Arial"/>
                <w:color w:val="1D1B11"/>
                <w:sz w:val="16"/>
                <w:szCs w:val="16"/>
              </w:rPr>
              <w:footnoteReference w:id="22"/>
            </w:r>
            <w:r w:rsidRPr="00DF1E4E">
              <w:rPr>
                <w:rFonts w:ascii="Arial" w:hAnsi="Arial" w:cs="Arial"/>
                <w:color w:val="1D1B11"/>
                <w:sz w:val="16"/>
                <w:szCs w:val="16"/>
              </w:rPr>
              <w:t xml:space="preserve"> de febrero. </w:t>
            </w:r>
          </w:p>
        </w:tc>
        <w:tc>
          <w:tcPr>
            <w:tcW w:w="1642" w:type="dxa"/>
          </w:tcPr>
          <w:p w14:paraId="589BC545" w14:textId="1052FABC" w:rsidR="000D1E58" w:rsidRPr="00DF1E4E" w:rsidRDefault="008D784F">
            <w:pPr>
              <w:spacing w:line="360" w:lineRule="auto"/>
              <w:jc w:val="both"/>
              <w:rPr>
                <w:rFonts w:ascii="Arial" w:hAnsi="Arial" w:cs="Arial"/>
                <w:color w:val="1D1B11"/>
                <w:sz w:val="28"/>
                <w:szCs w:val="28"/>
              </w:rPr>
            </w:pPr>
            <w:r w:rsidRPr="00DF1E4E">
              <w:rPr>
                <w:rFonts w:ascii="Arial" w:hAnsi="Arial" w:cs="Arial"/>
                <w:color w:val="1D1B11"/>
                <w:sz w:val="16"/>
                <w:szCs w:val="16"/>
              </w:rPr>
              <w:t>6 de febrero</w:t>
            </w:r>
          </w:p>
        </w:tc>
        <w:tc>
          <w:tcPr>
            <w:tcW w:w="1221" w:type="dxa"/>
          </w:tcPr>
          <w:p w14:paraId="6AEBD708" w14:textId="77777777" w:rsidR="000D1E58" w:rsidRPr="00DF1E4E" w:rsidRDefault="00000000">
            <w:pPr>
              <w:spacing w:line="360" w:lineRule="auto"/>
              <w:jc w:val="both"/>
              <w:rPr>
                <w:rFonts w:ascii="Arial" w:hAnsi="Arial" w:cs="Arial"/>
                <w:color w:val="1D1B11"/>
                <w:sz w:val="28"/>
                <w:szCs w:val="28"/>
              </w:rPr>
            </w:pPr>
            <w:r w:rsidRPr="00DF1E4E">
              <w:rPr>
                <w:rFonts w:ascii="Arial" w:hAnsi="Arial" w:cs="Arial"/>
                <w:color w:val="1D1B11"/>
                <w:sz w:val="16"/>
                <w:szCs w:val="16"/>
              </w:rPr>
              <w:t>11 de febrero</w:t>
            </w:r>
          </w:p>
        </w:tc>
      </w:tr>
    </w:tbl>
    <w:p w14:paraId="04C0B933" w14:textId="2D23C73E" w:rsidR="000D1E58" w:rsidRDefault="00000000">
      <w:pPr>
        <w:spacing w:before="280" w:after="280" w:line="360" w:lineRule="auto"/>
        <w:jc w:val="both"/>
        <w:rPr>
          <w:rFonts w:ascii="Arial" w:eastAsia="Arial" w:hAnsi="Arial" w:cs="Arial"/>
          <w:sz w:val="24"/>
          <w:szCs w:val="24"/>
        </w:rPr>
      </w:pPr>
      <w:r w:rsidRPr="00DF1E4E">
        <w:rPr>
          <w:rFonts w:ascii="Arial" w:eastAsia="Arial" w:hAnsi="Arial" w:cs="Arial"/>
          <w:sz w:val="24"/>
          <w:szCs w:val="24"/>
        </w:rPr>
        <w:t>Por lo que</w:t>
      </w:r>
      <w:r w:rsidR="00614C07" w:rsidRPr="00DF1E4E">
        <w:rPr>
          <w:rFonts w:ascii="Arial" w:eastAsia="Arial" w:hAnsi="Arial" w:cs="Arial"/>
          <w:sz w:val="24"/>
          <w:szCs w:val="24"/>
        </w:rPr>
        <w:t>,</w:t>
      </w:r>
      <w:r w:rsidRPr="00DF1E4E">
        <w:rPr>
          <w:rFonts w:ascii="Arial" w:eastAsia="Arial" w:hAnsi="Arial" w:cs="Arial"/>
          <w:sz w:val="24"/>
          <w:szCs w:val="24"/>
        </w:rPr>
        <w:t xml:space="preserve"> resulta</w:t>
      </w:r>
      <w:r>
        <w:rPr>
          <w:rFonts w:ascii="Arial" w:eastAsia="Arial" w:hAnsi="Arial" w:cs="Arial"/>
          <w:sz w:val="24"/>
          <w:szCs w:val="24"/>
        </w:rPr>
        <w:t xml:space="preserve"> evidente que el presente </w:t>
      </w:r>
      <w:r>
        <w:rPr>
          <w:rFonts w:ascii="Arial" w:eastAsia="Arial" w:hAnsi="Arial" w:cs="Arial"/>
          <w:i/>
          <w:sz w:val="24"/>
          <w:szCs w:val="24"/>
        </w:rPr>
        <w:t xml:space="preserve">juicio de la ciudadanía </w:t>
      </w:r>
      <w:r>
        <w:rPr>
          <w:rFonts w:ascii="Arial" w:eastAsia="Arial" w:hAnsi="Arial" w:cs="Arial"/>
          <w:sz w:val="24"/>
          <w:szCs w:val="24"/>
        </w:rPr>
        <w:t xml:space="preserve">es extemporáneo respecto de la irregularidad aducida por la </w:t>
      </w:r>
      <w:r>
        <w:rPr>
          <w:rFonts w:ascii="Arial" w:eastAsia="Arial" w:hAnsi="Arial" w:cs="Arial"/>
          <w:i/>
          <w:iCs/>
          <w:sz w:val="24"/>
          <w:szCs w:val="24"/>
        </w:rPr>
        <w:t>Regidora</w:t>
      </w:r>
      <w:r>
        <w:rPr>
          <w:rFonts w:ascii="Arial" w:eastAsia="Arial" w:hAnsi="Arial" w:cs="Arial"/>
          <w:sz w:val="24"/>
          <w:szCs w:val="24"/>
        </w:rPr>
        <w:t xml:space="preserve"> durante el desarrollo de la </w:t>
      </w:r>
      <w:r>
        <w:rPr>
          <w:rFonts w:ascii="Arial" w:eastAsia="Arial" w:hAnsi="Arial" w:cs="Arial"/>
          <w:i/>
          <w:iCs/>
          <w:sz w:val="24"/>
          <w:szCs w:val="24"/>
        </w:rPr>
        <w:t>Sesión Ordinaria 002</w:t>
      </w:r>
      <w:r>
        <w:rPr>
          <w:rFonts w:ascii="Arial" w:eastAsia="Arial" w:hAnsi="Arial" w:cs="Arial"/>
          <w:sz w:val="24"/>
          <w:szCs w:val="24"/>
        </w:rPr>
        <w:t>, toda vez que, la presentación de la demanda se efectuó una vez fenecido el plazo legal.</w:t>
      </w:r>
    </w:p>
    <w:p w14:paraId="708D9E62" w14:textId="77777777" w:rsidR="000D1E5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Ahora bien, se estima oportuno precisar que, si bien el artículo 17 párrafo segundo, de la </w:t>
      </w:r>
      <w:r>
        <w:rPr>
          <w:rFonts w:ascii="Arial" w:eastAsia="Arial" w:hAnsi="Arial" w:cs="Arial"/>
          <w:i/>
          <w:iCs/>
          <w:sz w:val="24"/>
          <w:szCs w:val="24"/>
        </w:rPr>
        <w:t xml:space="preserve">Constitución Federal </w:t>
      </w:r>
      <w:r>
        <w:rPr>
          <w:rFonts w:ascii="Arial" w:eastAsia="Arial" w:hAnsi="Arial" w:cs="Arial"/>
          <w:sz w:val="24"/>
          <w:szCs w:val="24"/>
        </w:rPr>
        <w:t xml:space="preserve">reconoce el derecho de las personas a que se les administre justicia, el acceso a ésta y a contar con un recurso sencillo, rápido y efectivo, dichos principios encuentran como limitantes las propias </w:t>
      </w:r>
      <w:r>
        <w:rPr>
          <w:rFonts w:ascii="Arial" w:eastAsia="Arial" w:hAnsi="Arial" w:cs="Arial"/>
          <w:sz w:val="24"/>
          <w:szCs w:val="24"/>
        </w:rPr>
        <w:lastRenderedPageBreak/>
        <w:t>causales impuestas por la normativa respectiva, las cuales establecen una serie de requerimientos necesarios para el debido trámite y resolución del asunto.</w:t>
      </w:r>
    </w:p>
    <w:p w14:paraId="04021309" w14:textId="3312E499" w:rsidR="000D1E58" w:rsidRPr="00121FBD" w:rsidRDefault="00000000">
      <w:pPr>
        <w:spacing w:before="280" w:after="280" w:line="360" w:lineRule="auto"/>
        <w:jc w:val="both"/>
        <w:rPr>
          <w:rFonts w:ascii="Arial" w:eastAsia="Arial" w:hAnsi="Arial" w:cs="Arial"/>
          <w:sz w:val="24"/>
          <w:szCs w:val="24"/>
        </w:rPr>
      </w:pPr>
      <w:r w:rsidRPr="00121FBD">
        <w:rPr>
          <w:rFonts w:ascii="Arial" w:eastAsia="Arial" w:hAnsi="Arial" w:cs="Arial"/>
          <w:sz w:val="24"/>
          <w:szCs w:val="24"/>
        </w:rPr>
        <w:t xml:space="preserve">Así pues, y al haber sido admitido el presente juicio, lo procedente es </w:t>
      </w:r>
      <w:r w:rsidRPr="00121FBD">
        <w:rPr>
          <w:rFonts w:ascii="Arial" w:eastAsia="Arial" w:hAnsi="Arial" w:cs="Arial"/>
          <w:b/>
          <w:bCs/>
          <w:sz w:val="24"/>
          <w:szCs w:val="24"/>
        </w:rPr>
        <w:t>sobreseer</w:t>
      </w:r>
      <w:r w:rsidR="0024365E" w:rsidRPr="00121FBD">
        <w:rPr>
          <w:rFonts w:ascii="Arial" w:eastAsia="Arial" w:hAnsi="Arial" w:cs="Arial"/>
          <w:b/>
          <w:bCs/>
          <w:sz w:val="24"/>
          <w:szCs w:val="24"/>
        </w:rPr>
        <w:t>lo</w:t>
      </w:r>
      <w:r w:rsidRPr="00121FBD">
        <w:rPr>
          <w:rFonts w:ascii="Arial" w:eastAsia="Arial" w:hAnsi="Arial" w:cs="Arial"/>
          <w:sz w:val="24"/>
          <w:szCs w:val="24"/>
        </w:rPr>
        <w:t xml:space="preserve">, con fundamento en el artículo 12, fracción III de la </w:t>
      </w:r>
      <w:r w:rsidRPr="00121FBD">
        <w:rPr>
          <w:rFonts w:ascii="Arial" w:eastAsia="Arial" w:hAnsi="Arial" w:cs="Arial"/>
          <w:i/>
          <w:iCs/>
          <w:sz w:val="24"/>
          <w:szCs w:val="24"/>
        </w:rPr>
        <w:t xml:space="preserve">Ley de Justicia Electoral, </w:t>
      </w:r>
      <w:r w:rsidRPr="00121FBD">
        <w:rPr>
          <w:rFonts w:ascii="Arial" w:eastAsia="Arial" w:hAnsi="Arial" w:cs="Arial"/>
          <w:sz w:val="24"/>
          <w:szCs w:val="24"/>
        </w:rPr>
        <w:t xml:space="preserve">únicamente </w:t>
      </w:r>
      <w:r w:rsidR="00F224F9" w:rsidRPr="00121FBD">
        <w:rPr>
          <w:rFonts w:ascii="Arial" w:eastAsia="Arial" w:hAnsi="Arial" w:cs="Arial"/>
          <w:sz w:val="24"/>
          <w:szCs w:val="24"/>
        </w:rPr>
        <w:t>respecto</w:t>
      </w:r>
      <w:r w:rsidRPr="00121FBD">
        <w:rPr>
          <w:rFonts w:ascii="Arial" w:eastAsia="Arial" w:hAnsi="Arial" w:cs="Arial"/>
          <w:sz w:val="24"/>
          <w:szCs w:val="24"/>
        </w:rPr>
        <w:t xml:space="preserve"> con el </w:t>
      </w:r>
      <w:r w:rsidR="00F224F9" w:rsidRPr="00121FBD">
        <w:rPr>
          <w:rFonts w:ascii="Arial" w:eastAsia="Arial" w:hAnsi="Arial" w:cs="Arial"/>
          <w:sz w:val="24"/>
          <w:szCs w:val="24"/>
        </w:rPr>
        <w:t>numeral</w:t>
      </w:r>
      <w:r w:rsidRPr="00121FBD">
        <w:rPr>
          <w:rFonts w:ascii="Arial" w:eastAsia="Arial" w:hAnsi="Arial" w:cs="Arial"/>
          <w:sz w:val="24"/>
          <w:szCs w:val="24"/>
        </w:rPr>
        <w:t xml:space="preserve"> </w:t>
      </w:r>
      <w:r w:rsidRPr="00121FBD">
        <w:rPr>
          <w:rFonts w:ascii="Arial" w:eastAsia="Arial" w:hAnsi="Arial" w:cs="Arial"/>
          <w:b/>
          <w:bCs/>
          <w:sz w:val="24"/>
          <w:szCs w:val="24"/>
        </w:rPr>
        <w:t>3</w:t>
      </w:r>
      <w:r w:rsidRPr="00121FBD">
        <w:rPr>
          <w:rFonts w:ascii="Arial" w:eastAsia="Arial" w:hAnsi="Arial" w:cs="Arial"/>
          <w:sz w:val="24"/>
          <w:szCs w:val="24"/>
        </w:rPr>
        <w:t xml:space="preserve"> del apartado de Actos Impugnados. </w:t>
      </w:r>
    </w:p>
    <w:p w14:paraId="64B2DE9A" w14:textId="7E139515" w:rsidR="00BD7464" w:rsidRDefault="00BD7464" w:rsidP="00BD7464">
      <w:pPr>
        <w:shd w:val="clear" w:color="auto" w:fill="FFFFFF" w:themeFill="background1"/>
        <w:spacing w:before="240" w:after="0" w:line="360" w:lineRule="auto"/>
        <w:jc w:val="both"/>
        <w:rPr>
          <w:rFonts w:ascii="Arial" w:hAnsi="Arial" w:cs="Arial"/>
          <w:sz w:val="24"/>
          <w:szCs w:val="24"/>
          <w:shd w:val="clear" w:color="auto" w:fill="FFFFFF"/>
        </w:rPr>
      </w:pPr>
      <w:r w:rsidRPr="00121FBD">
        <w:rPr>
          <w:rFonts w:ascii="Arial" w:hAnsi="Arial" w:cs="Arial"/>
          <w:b/>
          <w:bCs/>
          <w:sz w:val="24"/>
          <w:szCs w:val="24"/>
          <w:shd w:val="clear" w:color="auto" w:fill="FFFFFF"/>
        </w:rPr>
        <w:t>Desestimándose</w:t>
      </w:r>
      <w:r w:rsidRPr="00121FBD">
        <w:rPr>
          <w:rFonts w:ascii="Arial" w:hAnsi="Arial" w:cs="Arial"/>
          <w:sz w:val="24"/>
          <w:szCs w:val="24"/>
          <w:shd w:val="clear" w:color="auto" w:fill="FFFFFF"/>
        </w:rPr>
        <w:t xml:space="preserve"> dicha causal de improcedencia respecto a los actos impugnados identificados con los numerales 1, 2 y 4, al ser omisiones que se consideran de tracto sucesivo, es decir, que se actualizan de momento a momento mientras éstas persistan.</w:t>
      </w:r>
    </w:p>
    <w:p w14:paraId="0E8FD4E8" w14:textId="77777777" w:rsidR="000D1E58" w:rsidRDefault="00000000">
      <w:pPr>
        <w:pStyle w:val="Prrafodelista"/>
        <w:numPr>
          <w:ilvl w:val="0"/>
          <w:numId w:val="29"/>
        </w:numPr>
        <w:spacing w:before="240" w:after="0" w:line="360" w:lineRule="auto"/>
        <w:jc w:val="center"/>
        <w:rPr>
          <w:rFonts w:ascii="Arial" w:hAnsi="Arial" w:cs="Arial"/>
          <w:b/>
          <w:bCs/>
          <w:sz w:val="24"/>
          <w:szCs w:val="24"/>
        </w:rPr>
      </w:pPr>
      <w:r>
        <w:rPr>
          <w:rFonts w:ascii="Arial" w:hAnsi="Arial" w:cs="Arial"/>
          <w:b/>
          <w:bCs/>
          <w:sz w:val="24"/>
          <w:szCs w:val="24"/>
        </w:rPr>
        <w:t>Falta de interés jurídico</w:t>
      </w:r>
    </w:p>
    <w:p w14:paraId="3EE77DA1" w14:textId="77777777" w:rsidR="000D1E58" w:rsidRDefault="00000000">
      <w:pPr>
        <w:tabs>
          <w:tab w:val="left" w:pos="567"/>
        </w:tabs>
        <w:spacing w:before="240" w:after="0" w:line="360" w:lineRule="auto"/>
        <w:ind w:right="-40"/>
        <w:jc w:val="both"/>
        <w:rPr>
          <w:rFonts w:ascii="Arial" w:hAnsi="Arial" w:cs="Arial"/>
          <w:i/>
          <w:iCs/>
          <w:sz w:val="24"/>
          <w:szCs w:val="24"/>
        </w:rPr>
      </w:pPr>
      <w:r>
        <w:rPr>
          <w:rFonts w:ascii="Arial" w:hAnsi="Arial" w:cs="Arial"/>
          <w:sz w:val="24"/>
          <w:szCs w:val="24"/>
        </w:rPr>
        <w:t xml:space="preserve">De igual manera, las </w:t>
      </w:r>
      <w:r>
        <w:rPr>
          <w:rFonts w:ascii="Arial" w:hAnsi="Arial" w:cs="Arial"/>
          <w:i/>
          <w:iCs/>
          <w:sz w:val="24"/>
          <w:szCs w:val="24"/>
        </w:rPr>
        <w:t>autoridades responsables</w:t>
      </w:r>
      <w:r>
        <w:rPr>
          <w:rFonts w:ascii="Arial" w:hAnsi="Arial" w:cs="Arial"/>
          <w:sz w:val="24"/>
          <w:szCs w:val="24"/>
        </w:rPr>
        <w:t xml:space="preserve"> al rendir su informe circunstanciado invocaron como causal de improcedencia, la falta de interés jurídico de la </w:t>
      </w:r>
      <w:r>
        <w:rPr>
          <w:rFonts w:ascii="Arial" w:hAnsi="Arial" w:cs="Arial"/>
          <w:i/>
          <w:iCs/>
          <w:sz w:val="24"/>
          <w:szCs w:val="24"/>
        </w:rPr>
        <w:t>actora</w:t>
      </w:r>
      <w:r>
        <w:rPr>
          <w:rFonts w:ascii="Arial" w:hAnsi="Arial" w:cs="Arial"/>
          <w:sz w:val="24"/>
          <w:szCs w:val="24"/>
        </w:rPr>
        <w:t xml:space="preserve">, bajo el argumento de que en el caso concreto es aplicable la jurisprudencia 35/2002 de rubro: </w:t>
      </w:r>
      <w:r>
        <w:rPr>
          <w:rFonts w:ascii="Arial" w:hAnsi="Arial" w:cs="Arial"/>
          <w:i/>
          <w:iCs/>
          <w:sz w:val="24"/>
          <w:szCs w:val="24"/>
        </w:rPr>
        <w:t>INTERÉS JURÍDICO. QUIEN CON SU CONDUCTA PROVOCA LA EMISIÓN DEL ACTO IMPUGNADO CARECE DEL NECESARIO PARA COMBATIRLO.</w:t>
      </w:r>
    </w:p>
    <w:p w14:paraId="51CB6FEA" w14:textId="77777777" w:rsidR="000D1E58" w:rsidRDefault="00000000">
      <w:pPr>
        <w:tabs>
          <w:tab w:val="left" w:pos="567"/>
        </w:tabs>
        <w:spacing w:before="240" w:after="0" w:line="360" w:lineRule="auto"/>
        <w:ind w:right="-40"/>
        <w:jc w:val="both"/>
        <w:rPr>
          <w:rFonts w:ascii="Arial" w:hAnsi="Arial" w:cs="Arial"/>
          <w:sz w:val="24"/>
          <w:szCs w:val="24"/>
        </w:rPr>
      </w:pPr>
      <w:r>
        <w:rPr>
          <w:rFonts w:ascii="Arial" w:hAnsi="Arial" w:cs="Arial"/>
          <w:sz w:val="24"/>
          <w:szCs w:val="24"/>
        </w:rPr>
        <w:t xml:space="preserve">Ello, porque a su consideración no existe una afectación a la esfera de derechos de la </w:t>
      </w:r>
      <w:r>
        <w:rPr>
          <w:rFonts w:ascii="Arial" w:hAnsi="Arial" w:cs="Arial"/>
          <w:i/>
          <w:iCs/>
          <w:sz w:val="24"/>
          <w:szCs w:val="24"/>
        </w:rPr>
        <w:t>actora</w:t>
      </w:r>
      <w:r>
        <w:rPr>
          <w:rFonts w:ascii="Arial" w:hAnsi="Arial" w:cs="Arial"/>
          <w:sz w:val="24"/>
          <w:szCs w:val="24"/>
        </w:rPr>
        <w:t xml:space="preserve">, toda vez que, el veinticuatro de enero sí fue convocada y le entregaron la información necesaria para el desahogo de la </w:t>
      </w:r>
      <w:r>
        <w:rPr>
          <w:rFonts w:ascii="Arial" w:hAnsi="Arial" w:cs="Arial"/>
          <w:i/>
          <w:iCs/>
          <w:sz w:val="24"/>
          <w:szCs w:val="24"/>
        </w:rPr>
        <w:t>Sesión Ordinaria 002</w:t>
      </w:r>
      <w:r>
        <w:rPr>
          <w:rFonts w:ascii="Arial" w:hAnsi="Arial" w:cs="Arial"/>
          <w:sz w:val="24"/>
          <w:szCs w:val="24"/>
        </w:rPr>
        <w:t>.</w:t>
      </w:r>
    </w:p>
    <w:p w14:paraId="04914977" w14:textId="65D88AAB" w:rsidR="000D1E58" w:rsidRDefault="00000000">
      <w:pPr>
        <w:shd w:val="clear" w:color="auto" w:fill="FFFFFF" w:themeFill="background1"/>
        <w:spacing w:before="240" w:after="0" w:line="360" w:lineRule="auto"/>
        <w:jc w:val="both"/>
        <w:rPr>
          <w:rFonts w:ascii="Arial" w:hAnsi="Arial" w:cs="Arial"/>
          <w:sz w:val="24"/>
          <w:szCs w:val="24"/>
          <w:shd w:val="clear" w:color="auto" w:fill="FFFFFF"/>
        </w:rPr>
      </w:pPr>
      <w:r>
        <w:rPr>
          <w:rFonts w:ascii="Arial" w:hAnsi="Arial" w:cs="Arial"/>
          <w:sz w:val="24"/>
          <w:szCs w:val="24"/>
          <w:shd w:val="clear" w:color="auto" w:fill="FFFFFF"/>
        </w:rPr>
        <w:t xml:space="preserve">En virtud de lo anterior, se considera que dicha causal de improcedencia debe </w:t>
      </w:r>
      <w:r>
        <w:rPr>
          <w:rFonts w:ascii="Arial" w:hAnsi="Arial" w:cs="Arial"/>
          <w:b/>
          <w:bCs/>
          <w:sz w:val="24"/>
          <w:szCs w:val="24"/>
          <w:shd w:val="clear" w:color="auto" w:fill="FFFFFF"/>
        </w:rPr>
        <w:t>desestimarse</w:t>
      </w:r>
      <w:r>
        <w:rPr>
          <w:rFonts w:ascii="Arial" w:hAnsi="Arial" w:cs="Arial"/>
          <w:sz w:val="24"/>
          <w:szCs w:val="24"/>
          <w:shd w:val="clear" w:color="auto" w:fill="FFFFFF"/>
        </w:rPr>
        <w:t xml:space="preserve">, porque este </w:t>
      </w:r>
      <w:r>
        <w:rPr>
          <w:rFonts w:ascii="Arial" w:hAnsi="Arial" w:cs="Arial"/>
          <w:i/>
          <w:iCs/>
          <w:sz w:val="24"/>
          <w:szCs w:val="24"/>
          <w:shd w:val="clear" w:color="auto" w:fill="FFFFFF"/>
        </w:rPr>
        <w:t>órgano jurisdiccional</w:t>
      </w:r>
      <w:r>
        <w:rPr>
          <w:rFonts w:ascii="Arial" w:hAnsi="Arial" w:cs="Arial"/>
          <w:sz w:val="24"/>
          <w:szCs w:val="24"/>
          <w:shd w:val="clear" w:color="auto" w:fill="FFFFFF"/>
        </w:rPr>
        <w:t xml:space="preserve"> debe analizar si </w:t>
      </w:r>
      <w:bookmarkStart w:id="9" w:name="_ftnref7"/>
      <w:bookmarkEnd w:id="9"/>
      <w:r>
        <w:rPr>
          <w:rFonts w:ascii="Arial" w:hAnsi="Arial" w:cs="Arial"/>
          <w:sz w:val="24"/>
          <w:szCs w:val="24"/>
          <w:shd w:val="clear" w:color="auto" w:fill="FFFFFF"/>
        </w:rPr>
        <w:t xml:space="preserve">tiene o no razón la </w:t>
      </w:r>
      <w:r>
        <w:rPr>
          <w:rFonts w:ascii="Arial" w:hAnsi="Arial" w:cs="Arial"/>
          <w:i/>
          <w:iCs/>
          <w:sz w:val="24"/>
          <w:szCs w:val="24"/>
          <w:shd w:val="clear" w:color="auto" w:fill="FFFFFF"/>
        </w:rPr>
        <w:t>actora</w:t>
      </w:r>
      <w:r>
        <w:rPr>
          <w:rFonts w:ascii="Arial" w:hAnsi="Arial" w:cs="Arial"/>
          <w:sz w:val="24"/>
          <w:szCs w:val="24"/>
          <w:shd w:val="clear" w:color="auto" w:fill="FFFFFF"/>
        </w:rPr>
        <w:t xml:space="preserve"> en sus planteamientos toda vez que, la violación que se reclama es la obstrucción en el desempeño de su cargo por las omisiones atribuibles a las </w:t>
      </w:r>
      <w:r>
        <w:rPr>
          <w:rFonts w:ascii="Arial" w:hAnsi="Arial" w:cs="Arial"/>
          <w:i/>
          <w:iCs/>
          <w:sz w:val="24"/>
          <w:szCs w:val="24"/>
          <w:shd w:val="clear" w:color="auto" w:fill="FFFFFF"/>
        </w:rPr>
        <w:t>autoridades responsables</w:t>
      </w:r>
      <w:r>
        <w:rPr>
          <w:rFonts w:ascii="Arial" w:hAnsi="Arial" w:cs="Arial"/>
          <w:sz w:val="24"/>
          <w:szCs w:val="24"/>
          <w:shd w:val="clear" w:color="auto" w:fill="FFFFFF"/>
        </w:rPr>
        <w:t xml:space="preserve">, circunstancia que debe ser materia de análisis de fondo a fin de no incurrir en el vicio lógico de petición de principio; y así conforme a los agravios expresados por la </w:t>
      </w:r>
      <w:r>
        <w:rPr>
          <w:rFonts w:ascii="Arial" w:hAnsi="Arial" w:cs="Arial"/>
          <w:i/>
          <w:iCs/>
          <w:sz w:val="24"/>
          <w:szCs w:val="24"/>
          <w:shd w:val="clear" w:color="auto" w:fill="FFFFFF"/>
        </w:rPr>
        <w:t>Regidora</w:t>
      </w:r>
      <w:r>
        <w:rPr>
          <w:rFonts w:ascii="Arial" w:hAnsi="Arial" w:cs="Arial"/>
          <w:sz w:val="24"/>
          <w:szCs w:val="24"/>
          <w:shd w:val="clear" w:color="auto" w:fill="FFFFFF"/>
        </w:rPr>
        <w:t>, determinar si su derecho político-electoral puede ser restituido o reparable al obtener sentencia favorable</w:t>
      </w:r>
      <w:r>
        <w:rPr>
          <w:rStyle w:val="Refdenotaalpie"/>
          <w:rFonts w:ascii="Arial" w:hAnsi="Arial" w:cs="Arial"/>
          <w:sz w:val="24"/>
          <w:szCs w:val="24"/>
          <w:shd w:val="clear" w:color="auto" w:fill="FFFFFF"/>
        </w:rPr>
        <w:footnoteReference w:id="23"/>
      </w:r>
      <w:r>
        <w:rPr>
          <w:rFonts w:ascii="Arial" w:hAnsi="Arial" w:cs="Arial"/>
          <w:sz w:val="24"/>
          <w:szCs w:val="24"/>
          <w:shd w:val="clear" w:color="auto" w:fill="FFFFFF"/>
        </w:rPr>
        <w:t>.</w:t>
      </w:r>
    </w:p>
    <w:p w14:paraId="54BC0B75" w14:textId="77777777" w:rsidR="000D1E58" w:rsidRDefault="00000000">
      <w:pPr>
        <w:shd w:val="clear" w:color="auto" w:fill="FFFFFF" w:themeFill="background1"/>
        <w:spacing w:before="240" w:after="0" w:line="360" w:lineRule="auto"/>
        <w:jc w:val="both"/>
        <w:rPr>
          <w:rFonts w:ascii="Arial" w:hAnsi="Arial" w:cs="Arial"/>
          <w:sz w:val="24"/>
          <w:szCs w:val="24"/>
          <w:shd w:val="clear" w:color="auto" w:fill="FFFFFF"/>
        </w:rPr>
      </w:pPr>
      <w:r>
        <w:rPr>
          <w:rFonts w:ascii="Arial" w:hAnsi="Arial" w:cs="Arial"/>
          <w:sz w:val="24"/>
          <w:szCs w:val="24"/>
          <w:shd w:val="clear" w:color="auto" w:fill="FFFFFF"/>
        </w:rPr>
        <w:lastRenderedPageBreak/>
        <w:t>En consecuencia, serán motivo de estudio de fondo los punto</w:t>
      </w:r>
      <w:r>
        <w:rPr>
          <w:rFonts w:ascii="Arial" w:hAnsi="Arial" w:cs="Arial"/>
          <w:sz w:val="24"/>
          <w:szCs w:val="24"/>
        </w:rPr>
        <w:t>s</w:t>
      </w:r>
      <w:r>
        <w:rPr>
          <w:rFonts w:ascii="Arial" w:hAnsi="Arial" w:cs="Arial"/>
          <w:sz w:val="24"/>
          <w:szCs w:val="24"/>
          <w:shd w:val="clear" w:color="auto" w:fill="FFFFFF"/>
        </w:rPr>
        <w:t xml:space="preserve"> </w:t>
      </w:r>
      <w:r>
        <w:rPr>
          <w:rFonts w:ascii="Arial" w:hAnsi="Arial" w:cs="Arial"/>
          <w:b/>
          <w:bCs/>
          <w:sz w:val="24"/>
          <w:szCs w:val="24"/>
          <w:shd w:val="clear" w:color="auto" w:fill="FFFFFF"/>
        </w:rPr>
        <w:t>1</w:t>
      </w:r>
      <w:r>
        <w:rPr>
          <w:rFonts w:ascii="Arial" w:hAnsi="Arial" w:cs="Arial"/>
          <w:sz w:val="24"/>
          <w:szCs w:val="24"/>
          <w:shd w:val="clear" w:color="auto" w:fill="FFFFFF"/>
        </w:rPr>
        <w:t xml:space="preserve">, </w:t>
      </w:r>
      <w:r>
        <w:rPr>
          <w:rFonts w:ascii="Arial" w:hAnsi="Arial" w:cs="Arial"/>
          <w:b/>
          <w:bCs/>
          <w:sz w:val="24"/>
          <w:szCs w:val="24"/>
          <w:shd w:val="clear" w:color="auto" w:fill="FFFFFF"/>
        </w:rPr>
        <w:t>2</w:t>
      </w:r>
      <w:r>
        <w:rPr>
          <w:rFonts w:ascii="Arial" w:hAnsi="Arial" w:cs="Arial"/>
          <w:sz w:val="24"/>
          <w:szCs w:val="24"/>
          <w:shd w:val="clear" w:color="auto" w:fill="FFFFFF"/>
        </w:rPr>
        <w:t xml:space="preserve"> y </w:t>
      </w:r>
      <w:r>
        <w:rPr>
          <w:rFonts w:ascii="Arial" w:hAnsi="Arial" w:cs="Arial"/>
          <w:b/>
          <w:bCs/>
          <w:sz w:val="24"/>
          <w:szCs w:val="24"/>
          <w:shd w:val="clear" w:color="auto" w:fill="FFFFFF"/>
        </w:rPr>
        <w:t>4</w:t>
      </w:r>
      <w:r>
        <w:rPr>
          <w:rFonts w:ascii="Arial" w:hAnsi="Arial" w:cs="Arial"/>
          <w:sz w:val="24"/>
          <w:szCs w:val="24"/>
          <w:shd w:val="clear" w:color="auto" w:fill="FFFFFF"/>
        </w:rPr>
        <w:t xml:space="preserve"> del apartado de Actos Impugnados.</w:t>
      </w:r>
    </w:p>
    <w:p w14:paraId="4D106E4E" w14:textId="77777777" w:rsidR="000D1E58" w:rsidRDefault="00000000">
      <w:pPr>
        <w:shd w:val="clear" w:color="auto" w:fill="FFFFFF" w:themeFill="background1"/>
        <w:spacing w:before="240" w:after="0" w:line="360" w:lineRule="auto"/>
        <w:ind w:left="1068" w:hanging="539"/>
        <w:jc w:val="center"/>
        <w:outlineLvl w:val="2"/>
        <w:rPr>
          <w:rFonts w:ascii="Arial" w:hAnsi="Arial" w:cs="Arial"/>
          <w:b/>
          <w:bCs/>
          <w:color w:val="000000" w:themeColor="text1"/>
          <w:sz w:val="24"/>
          <w:szCs w:val="24"/>
        </w:rPr>
      </w:pPr>
      <w:bookmarkStart w:id="10" w:name="_Toc193363692"/>
      <w:r>
        <w:rPr>
          <w:rFonts w:ascii="Arial" w:hAnsi="Arial" w:cs="Arial"/>
          <w:b/>
          <w:bCs/>
          <w:color w:val="000000" w:themeColor="text1"/>
          <w:sz w:val="24"/>
          <w:szCs w:val="24"/>
        </w:rPr>
        <w:t>VII. PROCEDENCIA</w:t>
      </w:r>
      <w:bookmarkEnd w:id="10"/>
    </w:p>
    <w:p w14:paraId="0A648845" w14:textId="77777777" w:rsidR="000D1E58" w:rsidRDefault="00000000">
      <w:pPr>
        <w:spacing w:before="240" w:after="0" w:line="360" w:lineRule="auto"/>
        <w:jc w:val="both"/>
        <w:rPr>
          <w:rFonts w:ascii="Arial" w:hAnsi="Arial" w:cs="Arial"/>
          <w:sz w:val="24"/>
          <w:szCs w:val="24"/>
        </w:rPr>
      </w:pPr>
      <w:r>
        <w:rPr>
          <w:rFonts w:ascii="Arial" w:hAnsi="Arial" w:cs="Arial"/>
          <w:sz w:val="24"/>
          <w:szCs w:val="24"/>
        </w:rPr>
        <w:t xml:space="preserve">El </w:t>
      </w:r>
      <w:r>
        <w:rPr>
          <w:rFonts w:ascii="Arial" w:hAnsi="Arial" w:cs="Arial"/>
          <w:i/>
          <w:iCs/>
          <w:sz w:val="24"/>
          <w:szCs w:val="24"/>
        </w:rPr>
        <w:t xml:space="preserve">juicio de la ciudadanía </w:t>
      </w:r>
      <w:r>
        <w:rPr>
          <w:rFonts w:ascii="Arial" w:hAnsi="Arial" w:cs="Arial"/>
          <w:sz w:val="24"/>
          <w:szCs w:val="24"/>
        </w:rPr>
        <w:t>reúne los requisitos de procedencia</w:t>
      </w:r>
      <w:r>
        <w:rPr>
          <w:rStyle w:val="Refdenotaalpie"/>
          <w:rFonts w:ascii="Arial" w:hAnsi="Arial" w:cs="Arial"/>
          <w:sz w:val="24"/>
          <w:szCs w:val="24"/>
        </w:rPr>
        <w:footnoteReference w:id="24"/>
      </w:r>
      <w:r>
        <w:rPr>
          <w:rFonts w:ascii="Arial" w:hAnsi="Arial" w:cs="Arial"/>
          <w:sz w:val="24"/>
          <w:szCs w:val="24"/>
        </w:rPr>
        <w:t xml:space="preserve">, conforme con lo siguiente. </w:t>
      </w:r>
    </w:p>
    <w:p w14:paraId="4DCC820D" w14:textId="77777777" w:rsidR="000D1E58" w:rsidRDefault="00000000">
      <w:pPr>
        <w:suppressAutoHyphens/>
        <w:spacing w:before="240" w:after="0" w:line="360" w:lineRule="auto"/>
        <w:jc w:val="both"/>
        <w:rPr>
          <w:rFonts w:ascii="Arial" w:hAnsi="Arial" w:cs="Arial"/>
          <w:sz w:val="24"/>
          <w:szCs w:val="24"/>
        </w:rPr>
      </w:pPr>
      <w:r>
        <w:rPr>
          <w:rFonts w:ascii="Arial" w:hAnsi="Arial" w:cs="Arial"/>
          <w:b/>
          <w:bCs/>
          <w:sz w:val="24"/>
          <w:szCs w:val="24"/>
        </w:rPr>
        <w:t xml:space="preserve">7.1. Oportunidad. </w:t>
      </w:r>
      <w:r>
        <w:rPr>
          <w:rFonts w:ascii="Arial" w:hAnsi="Arial" w:cs="Arial"/>
          <w:sz w:val="24"/>
          <w:szCs w:val="24"/>
        </w:rPr>
        <w:t>Se estima que la presentación de la demanda es oportuna, ya que, como se analizó previamente, los actos impugnados, se tratan de omisiones que se actualizan de momento a momento, esto es, cada día que transcurre</w:t>
      </w:r>
      <w:r>
        <w:rPr>
          <w:rStyle w:val="Refdenotaalpie"/>
          <w:rFonts w:ascii="Arial" w:hAnsi="Arial" w:cs="Arial"/>
          <w:sz w:val="24"/>
          <w:szCs w:val="24"/>
        </w:rPr>
        <w:footnoteReference w:id="25"/>
      </w:r>
      <w:r>
        <w:rPr>
          <w:rFonts w:ascii="Arial" w:hAnsi="Arial" w:cs="Arial"/>
          <w:sz w:val="24"/>
          <w:szCs w:val="24"/>
        </w:rPr>
        <w:t>.</w:t>
      </w:r>
    </w:p>
    <w:p w14:paraId="39A61566" w14:textId="328ED846" w:rsidR="000D1E58" w:rsidRDefault="00000000">
      <w:pPr>
        <w:suppressAutoHyphens/>
        <w:spacing w:before="240" w:after="0" w:line="360" w:lineRule="auto"/>
        <w:jc w:val="both"/>
        <w:rPr>
          <w:rFonts w:ascii="Arial" w:hAnsi="Arial" w:cs="Arial"/>
          <w:sz w:val="24"/>
          <w:szCs w:val="24"/>
        </w:rPr>
      </w:pPr>
      <w:r>
        <w:rPr>
          <w:rFonts w:ascii="Arial" w:hAnsi="Arial" w:cs="Arial"/>
          <w:b/>
          <w:bCs/>
          <w:sz w:val="24"/>
          <w:szCs w:val="24"/>
        </w:rPr>
        <w:t xml:space="preserve">7.2. Forma. </w:t>
      </w:r>
      <w:r>
        <w:rPr>
          <w:rFonts w:ascii="Arial" w:hAnsi="Arial" w:cs="Arial"/>
          <w:sz w:val="24"/>
          <w:szCs w:val="24"/>
        </w:rPr>
        <w:t>Se satisface, debido a que la demanda</w:t>
      </w:r>
      <w:r>
        <w:rPr>
          <w:rFonts w:ascii="Arial" w:hAnsi="Arial" w:cs="Arial"/>
          <w:b/>
          <w:bCs/>
          <w:sz w:val="24"/>
          <w:szCs w:val="24"/>
        </w:rPr>
        <w:t xml:space="preserve"> </w:t>
      </w:r>
      <w:r>
        <w:rPr>
          <w:rFonts w:ascii="Arial" w:hAnsi="Arial" w:cs="Arial"/>
          <w:sz w:val="24"/>
          <w:szCs w:val="24"/>
        </w:rPr>
        <w:t xml:space="preserve">se presentó por escrito y precisa: el nombre, la firma y el carácter con que comparece a juicio la </w:t>
      </w:r>
      <w:r w:rsidRPr="008E43C8">
        <w:rPr>
          <w:rFonts w:ascii="Arial" w:hAnsi="Arial" w:cs="Arial"/>
          <w:i/>
          <w:iCs/>
          <w:sz w:val="24"/>
          <w:szCs w:val="24"/>
        </w:rPr>
        <w:t>actora</w:t>
      </w:r>
      <w:r>
        <w:rPr>
          <w:rFonts w:ascii="Arial" w:hAnsi="Arial" w:cs="Arial"/>
          <w:sz w:val="24"/>
          <w:szCs w:val="24"/>
        </w:rPr>
        <w:t xml:space="preserve">; el domicilio para recibir notificaciones; </w:t>
      </w:r>
      <w:r w:rsidRPr="00121FBD">
        <w:rPr>
          <w:rFonts w:ascii="Arial" w:hAnsi="Arial" w:cs="Arial"/>
          <w:sz w:val="24"/>
          <w:szCs w:val="24"/>
        </w:rPr>
        <w:t xml:space="preserve">identifica </w:t>
      </w:r>
      <w:r w:rsidR="00BD7464" w:rsidRPr="00121FBD">
        <w:rPr>
          <w:rFonts w:ascii="Arial" w:hAnsi="Arial" w:cs="Arial"/>
          <w:sz w:val="24"/>
          <w:szCs w:val="24"/>
        </w:rPr>
        <w:t>los</w:t>
      </w:r>
      <w:r w:rsidRPr="00121FBD">
        <w:rPr>
          <w:rFonts w:ascii="Arial" w:hAnsi="Arial" w:cs="Arial"/>
          <w:sz w:val="24"/>
          <w:szCs w:val="24"/>
        </w:rPr>
        <w:t xml:space="preserve"> acto</w:t>
      </w:r>
      <w:r w:rsidR="00BD7464" w:rsidRPr="00121FBD">
        <w:rPr>
          <w:rFonts w:ascii="Arial" w:hAnsi="Arial" w:cs="Arial"/>
          <w:sz w:val="24"/>
          <w:szCs w:val="24"/>
        </w:rPr>
        <w:t>s</w:t>
      </w:r>
      <w:r w:rsidRPr="00121FBD">
        <w:rPr>
          <w:rFonts w:ascii="Arial" w:hAnsi="Arial" w:cs="Arial"/>
          <w:sz w:val="24"/>
          <w:szCs w:val="24"/>
        </w:rPr>
        <w:t xml:space="preserve"> impugnado</w:t>
      </w:r>
      <w:r w:rsidR="00BD7464" w:rsidRPr="00121FBD">
        <w:rPr>
          <w:rFonts w:ascii="Arial" w:hAnsi="Arial" w:cs="Arial"/>
          <w:sz w:val="24"/>
          <w:szCs w:val="24"/>
        </w:rPr>
        <w:t>s</w:t>
      </w:r>
      <w:r w:rsidRPr="00121FBD">
        <w:rPr>
          <w:rFonts w:ascii="Arial" w:hAnsi="Arial" w:cs="Arial"/>
          <w:sz w:val="24"/>
          <w:szCs w:val="24"/>
        </w:rPr>
        <w:t xml:space="preserve"> y la</w:t>
      </w:r>
      <w:r w:rsidR="00BD7464" w:rsidRPr="00121FBD">
        <w:rPr>
          <w:rFonts w:ascii="Arial" w:hAnsi="Arial" w:cs="Arial"/>
          <w:sz w:val="24"/>
          <w:szCs w:val="24"/>
        </w:rPr>
        <w:t>s</w:t>
      </w:r>
      <w:r w:rsidRPr="00121FBD">
        <w:rPr>
          <w:rFonts w:ascii="Arial" w:hAnsi="Arial" w:cs="Arial"/>
          <w:sz w:val="24"/>
          <w:szCs w:val="24"/>
        </w:rPr>
        <w:t xml:space="preserve"> autoridad</w:t>
      </w:r>
      <w:r w:rsidR="00BD7464" w:rsidRPr="00121FBD">
        <w:rPr>
          <w:rFonts w:ascii="Arial" w:hAnsi="Arial" w:cs="Arial"/>
          <w:sz w:val="24"/>
          <w:szCs w:val="24"/>
        </w:rPr>
        <w:t>es</w:t>
      </w:r>
      <w:r w:rsidRPr="00121FBD">
        <w:rPr>
          <w:rFonts w:ascii="Arial" w:hAnsi="Arial" w:cs="Arial"/>
          <w:sz w:val="24"/>
          <w:szCs w:val="24"/>
        </w:rPr>
        <w:t xml:space="preserve"> responsable</w:t>
      </w:r>
      <w:r w:rsidR="00BD7464" w:rsidRPr="00121FBD">
        <w:rPr>
          <w:rFonts w:ascii="Arial" w:hAnsi="Arial" w:cs="Arial"/>
          <w:sz w:val="24"/>
          <w:szCs w:val="24"/>
        </w:rPr>
        <w:t>s</w:t>
      </w:r>
      <w:r w:rsidRPr="00121FBD">
        <w:rPr>
          <w:rFonts w:ascii="Arial" w:hAnsi="Arial" w:cs="Arial"/>
          <w:sz w:val="24"/>
          <w:szCs w:val="24"/>
        </w:rPr>
        <w:t>; expone los hechos e</w:t>
      </w:r>
      <w:r>
        <w:rPr>
          <w:rFonts w:ascii="Arial" w:hAnsi="Arial" w:cs="Arial"/>
          <w:sz w:val="24"/>
          <w:szCs w:val="24"/>
        </w:rPr>
        <w:t>n los que se basa la impugnación, los agravios y preceptos presuntamente violados; y, ofrece pruebas</w:t>
      </w:r>
      <w:r>
        <w:rPr>
          <w:rStyle w:val="Refdenotaalpie"/>
          <w:rFonts w:ascii="Arial" w:hAnsi="Arial" w:cs="Arial"/>
          <w:sz w:val="24"/>
          <w:szCs w:val="24"/>
        </w:rPr>
        <w:footnoteReference w:id="26"/>
      </w:r>
      <w:r>
        <w:rPr>
          <w:rFonts w:ascii="Arial" w:hAnsi="Arial" w:cs="Arial"/>
          <w:sz w:val="24"/>
          <w:szCs w:val="24"/>
        </w:rPr>
        <w:t xml:space="preserve">. </w:t>
      </w:r>
    </w:p>
    <w:p w14:paraId="338FBA61" w14:textId="77777777" w:rsidR="000D1E58" w:rsidRDefault="00000000">
      <w:pPr>
        <w:tabs>
          <w:tab w:val="left" w:pos="544"/>
        </w:tabs>
        <w:spacing w:before="240" w:after="0" w:line="360" w:lineRule="auto"/>
        <w:ind w:right="-40"/>
        <w:jc w:val="both"/>
        <w:rPr>
          <w:rFonts w:ascii="Arial" w:hAnsi="Arial" w:cs="Arial"/>
          <w:sz w:val="24"/>
          <w:szCs w:val="24"/>
        </w:rPr>
      </w:pPr>
      <w:r>
        <w:rPr>
          <w:rFonts w:ascii="Arial" w:hAnsi="Arial" w:cs="Arial"/>
          <w:b/>
          <w:bCs/>
          <w:sz w:val="24"/>
          <w:szCs w:val="24"/>
        </w:rPr>
        <w:t xml:space="preserve">7.3. Legitimación e interés jurídico. </w:t>
      </w:r>
      <w:r>
        <w:rPr>
          <w:rFonts w:ascii="Arial" w:hAnsi="Arial" w:cs="Arial"/>
          <w:sz w:val="24"/>
          <w:szCs w:val="24"/>
        </w:rPr>
        <w:t xml:space="preserve">El </w:t>
      </w:r>
      <w:r>
        <w:rPr>
          <w:rFonts w:ascii="Arial" w:hAnsi="Arial" w:cs="Arial"/>
          <w:i/>
          <w:iCs/>
          <w:sz w:val="24"/>
          <w:szCs w:val="24"/>
        </w:rPr>
        <w:t xml:space="preserve">juicio de la ciudadanía </w:t>
      </w:r>
      <w:r>
        <w:rPr>
          <w:rFonts w:ascii="Arial" w:hAnsi="Arial" w:cs="Arial"/>
          <w:sz w:val="24"/>
          <w:szCs w:val="24"/>
        </w:rPr>
        <w:t xml:space="preserve">fue interpuesto por parte legítima, toda vez que se trata de una ciudadana en su calidad de </w:t>
      </w:r>
      <w:r>
        <w:rPr>
          <w:rFonts w:ascii="Arial" w:hAnsi="Arial" w:cs="Arial"/>
          <w:i/>
          <w:iCs/>
          <w:sz w:val="24"/>
          <w:szCs w:val="24"/>
        </w:rPr>
        <w:t>Regidora,</w:t>
      </w:r>
      <w:r>
        <w:rPr>
          <w:rFonts w:ascii="Arial" w:hAnsi="Arial" w:cs="Arial"/>
          <w:sz w:val="24"/>
          <w:szCs w:val="24"/>
        </w:rPr>
        <w:t xml:space="preserve"> quien acude en defensa de sus derechos políticos-electorales de ser votada en la vertiente del desempeño al cargo</w:t>
      </w:r>
      <w:r>
        <w:rPr>
          <w:rStyle w:val="Refdenotaalpie"/>
          <w:rFonts w:ascii="Arial" w:hAnsi="Arial" w:cs="Arial"/>
          <w:sz w:val="24"/>
          <w:szCs w:val="24"/>
        </w:rPr>
        <w:footnoteReference w:id="27"/>
      </w:r>
      <w:r>
        <w:rPr>
          <w:rFonts w:ascii="Arial" w:hAnsi="Arial" w:cs="Arial"/>
          <w:sz w:val="24"/>
          <w:szCs w:val="24"/>
        </w:rPr>
        <w:t>.</w:t>
      </w:r>
    </w:p>
    <w:p w14:paraId="2BEDEA4A" w14:textId="77777777" w:rsidR="000D1E58" w:rsidRDefault="00000000">
      <w:pPr>
        <w:spacing w:before="240" w:after="0" w:line="360" w:lineRule="auto"/>
        <w:jc w:val="both"/>
        <w:rPr>
          <w:rFonts w:ascii="Arial" w:hAnsi="Arial" w:cs="Arial"/>
          <w:sz w:val="24"/>
          <w:szCs w:val="24"/>
        </w:rPr>
      </w:pPr>
      <w:r>
        <w:rPr>
          <w:rFonts w:ascii="Arial" w:hAnsi="Arial" w:cs="Arial"/>
          <w:b/>
          <w:bCs/>
          <w:sz w:val="24"/>
          <w:szCs w:val="24"/>
        </w:rPr>
        <w:t>7.4. Definitividad.</w:t>
      </w:r>
      <w:r>
        <w:rPr>
          <w:rFonts w:ascii="Arial" w:hAnsi="Arial" w:cs="Arial"/>
          <w:sz w:val="24"/>
          <w:szCs w:val="24"/>
        </w:rPr>
        <w:t xml:space="preserve"> Se tiene por cumplido, porque no existe medio de defensa que deba ser agotado previo a acudir a esta instancia.</w:t>
      </w:r>
    </w:p>
    <w:p w14:paraId="6141E48F" w14:textId="77777777" w:rsidR="000D1E58" w:rsidRDefault="00000000">
      <w:pPr>
        <w:tabs>
          <w:tab w:val="left" w:pos="544"/>
        </w:tabs>
        <w:spacing w:before="240" w:after="0" w:line="360" w:lineRule="auto"/>
        <w:ind w:right="-40"/>
        <w:jc w:val="both"/>
        <w:rPr>
          <w:rFonts w:ascii="Arial" w:hAnsi="Arial" w:cs="Arial"/>
          <w:sz w:val="24"/>
          <w:szCs w:val="24"/>
        </w:rPr>
      </w:pPr>
      <w:r>
        <w:rPr>
          <w:rFonts w:ascii="Arial" w:hAnsi="Arial" w:cs="Arial"/>
          <w:sz w:val="24"/>
          <w:szCs w:val="24"/>
        </w:rPr>
        <w:t>Una vez satisfechos los requisitos de procedibilidad del juicio que nos ocupa, se analizará el fondo del asunto.</w:t>
      </w:r>
    </w:p>
    <w:p w14:paraId="37EA2D53" w14:textId="77777777" w:rsidR="000D1E58" w:rsidRDefault="00000000">
      <w:pPr>
        <w:shd w:val="clear" w:color="auto" w:fill="FFFFFF" w:themeFill="background1"/>
        <w:spacing w:before="240" w:after="0" w:line="360" w:lineRule="auto"/>
        <w:ind w:left="1068" w:hanging="539"/>
        <w:jc w:val="center"/>
        <w:outlineLvl w:val="2"/>
        <w:rPr>
          <w:rFonts w:ascii="Arial" w:hAnsi="Arial" w:cs="Arial"/>
          <w:b/>
          <w:bCs/>
          <w:color w:val="000000" w:themeColor="text1"/>
          <w:sz w:val="24"/>
          <w:szCs w:val="24"/>
        </w:rPr>
      </w:pPr>
      <w:bookmarkStart w:id="11" w:name="_Toc193363693"/>
      <w:r>
        <w:rPr>
          <w:rFonts w:ascii="Arial" w:hAnsi="Arial" w:cs="Arial"/>
          <w:b/>
          <w:bCs/>
          <w:color w:val="000000" w:themeColor="text1"/>
          <w:sz w:val="24"/>
          <w:szCs w:val="24"/>
        </w:rPr>
        <w:t>VIII. ESTUDIO DE FONDO</w:t>
      </w:r>
      <w:bookmarkEnd w:id="11"/>
    </w:p>
    <w:p w14:paraId="2DD987CB" w14:textId="77777777" w:rsidR="000D1E58" w:rsidRDefault="00000000" w:rsidP="00A67FDF">
      <w:pPr>
        <w:pStyle w:val="Ttulo2"/>
        <w:spacing w:before="240" w:line="360" w:lineRule="auto"/>
        <w:jc w:val="both"/>
        <w:rPr>
          <w:rFonts w:ascii="Arial" w:hAnsi="Arial" w:cs="Arial"/>
          <w:b/>
          <w:bCs/>
          <w:sz w:val="24"/>
          <w:szCs w:val="24"/>
        </w:rPr>
      </w:pPr>
      <w:bookmarkStart w:id="12" w:name="_Toc193363694"/>
      <w:r>
        <w:rPr>
          <w:rFonts w:ascii="Arial" w:hAnsi="Arial" w:cs="Arial"/>
          <w:b/>
          <w:bCs/>
          <w:sz w:val="24"/>
          <w:szCs w:val="24"/>
        </w:rPr>
        <w:lastRenderedPageBreak/>
        <w:t>8.1. Pretensión</w:t>
      </w:r>
      <w:bookmarkEnd w:id="12"/>
    </w:p>
    <w:p w14:paraId="0D3B4AE5" w14:textId="77777777" w:rsidR="000D1E58" w:rsidRDefault="00000000">
      <w:pPr>
        <w:shd w:val="clear" w:color="auto" w:fill="FFFFFF" w:themeFill="background1"/>
        <w:spacing w:before="240" w:after="0" w:line="360" w:lineRule="auto"/>
        <w:jc w:val="both"/>
        <w:rPr>
          <w:rFonts w:ascii="Arial" w:hAnsi="Arial" w:cs="Arial"/>
          <w:sz w:val="24"/>
          <w:szCs w:val="24"/>
        </w:rPr>
      </w:pPr>
      <w:r>
        <w:rPr>
          <w:rFonts w:ascii="Arial" w:hAnsi="Arial" w:cs="Arial"/>
          <w:sz w:val="24"/>
          <w:szCs w:val="24"/>
        </w:rPr>
        <w:t xml:space="preserve">La pretensión de la </w:t>
      </w:r>
      <w:r>
        <w:rPr>
          <w:rFonts w:ascii="Arial" w:hAnsi="Arial" w:cs="Arial"/>
          <w:i/>
          <w:iCs/>
          <w:sz w:val="24"/>
          <w:szCs w:val="24"/>
        </w:rPr>
        <w:t>actora</w:t>
      </w:r>
      <w:r>
        <w:rPr>
          <w:rFonts w:ascii="Arial" w:hAnsi="Arial" w:cs="Arial"/>
          <w:sz w:val="24"/>
          <w:szCs w:val="24"/>
        </w:rPr>
        <w:t xml:space="preserve"> consiste en que se le restituya su derecho político-electoral en la vertiente del ejercicio del cargo, ya que, a su decir, el </w:t>
      </w:r>
      <w:r>
        <w:rPr>
          <w:rFonts w:ascii="Arial" w:hAnsi="Arial" w:cs="Arial"/>
          <w:i/>
          <w:iCs/>
          <w:sz w:val="24"/>
          <w:szCs w:val="24"/>
        </w:rPr>
        <w:t>Presidente Municipal y</w:t>
      </w:r>
      <w:r>
        <w:rPr>
          <w:rFonts w:ascii="Arial" w:hAnsi="Arial" w:cs="Arial"/>
          <w:sz w:val="24"/>
          <w:szCs w:val="24"/>
        </w:rPr>
        <w:t xml:space="preserve"> </w:t>
      </w:r>
      <w:r>
        <w:rPr>
          <w:rFonts w:ascii="Arial" w:hAnsi="Arial" w:cs="Arial"/>
          <w:i/>
          <w:iCs/>
          <w:sz w:val="24"/>
          <w:szCs w:val="24"/>
        </w:rPr>
        <w:t>Secretario</w:t>
      </w:r>
      <w:r>
        <w:rPr>
          <w:rFonts w:ascii="Arial" w:hAnsi="Arial" w:cs="Arial"/>
          <w:sz w:val="24"/>
          <w:szCs w:val="24"/>
        </w:rPr>
        <w:t xml:space="preserve"> han sido omisos en: convocarla a la </w:t>
      </w:r>
      <w:r>
        <w:rPr>
          <w:rFonts w:ascii="Arial" w:hAnsi="Arial" w:cs="Arial"/>
          <w:i/>
          <w:iCs/>
          <w:sz w:val="24"/>
          <w:szCs w:val="24"/>
        </w:rPr>
        <w:t>Sesión Ordinaria 002</w:t>
      </w:r>
      <w:r>
        <w:rPr>
          <w:rFonts w:ascii="Arial" w:hAnsi="Arial" w:cs="Arial"/>
          <w:sz w:val="24"/>
          <w:szCs w:val="24"/>
        </w:rPr>
        <w:t xml:space="preserve">; </w:t>
      </w:r>
      <w:proofErr w:type="gramStart"/>
      <w:r>
        <w:rPr>
          <w:rFonts w:ascii="Arial" w:hAnsi="Arial" w:cs="Arial"/>
          <w:sz w:val="24"/>
          <w:szCs w:val="24"/>
        </w:rPr>
        <w:t>proporcionarle</w:t>
      </w:r>
      <w:proofErr w:type="gramEnd"/>
      <w:r>
        <w:rPr>
          <w:rFonts w:ascii="Arial" w:hAnsi="Arial" w:cs="Arial"/>
          <w:sz w:val="24"/>
          <w:szCs w:val="24"/>
        </w:rPr>
        <w:t xml:space="preserve"> la información documental relativa a los puntos desahogados en la sesión en cita; y, convocarla a sesiones ordinarias y extraordinarias del </w:t>
      </w:r>
      <w:r>
        <w:rPr>
          <w:rFonts w:ascii="Arial" w:hAnsi="Arial" w:cs="Arial"/>
          <w:i/>
          <w:iCs/>
          <w:sz w:val="24"/>
          <w:szCs w:val="24"/>
        </w:rPr>
        <w:t xml:space="preserve">Ayuntamiento </w:t>
      </w:r>
      <w:r>
        <w:rPr>
          <w:rFonts w:ascii="Arial" w:hAnsi="Arial" w:cs="Arial"/>
          <w:sz w:val="24"/>
          <w:szCs w:val="24"/>
        </w:rPr>
        <w:t>diversas a la referida.</w:t>
      </w:r>
    </w:p>
    <w:p w14:paraId="36B4E5FE" w14:textId="77777777" w:rsidR="000D1E58" w:rsidRDefault="00000000">
      <w:pPr>
        <w:pStyle w:val="Ttulo2"/>
        <w:spacing w:before="240" w:line="360" w:lineRule="auto"/>
        <w:jc w:val="both"/>
        <w:rPr>
          <w:rFonts w:ascii="Arial" w:hAnsi="Arial" w:cs="Arial"/>
          <w:b/>
          <w:bCs/>
          <w:color w:val="auto"/>
          <w:sz w:val="24"/>
          <w:szCs w:val="24"/>
        </w:rPr>
      </w:pPr>
      <w:bookmarkStart w:id="13" w:name="_Toc193363695"/>
      <w:r>
        <w:rPr>
          <w:rFonts w:ascii="Arial" w:hAnsi="Arial" w:cs="Arial"/>
          <w:b/>
          <w:bCs/>
          <w:color w:val="auto"/>
          <w:sz w:val="24"/>
          <w:szCs w:val="24"/>
        </w:rPr>
        <w:t>8.2. Agravios</w:t>
      </w:r>
      <w:bookmarkEnd w:id="13"/>
      <w:r>
        <w:rPr>
          <w:rFonts w:ascii="Arial" w:hAnsi="Arial" w:cs="Arial"/>
          <w:b/>
          <w:bCs/>
          <w:color w:val="auto"/>
          <w:sz w:val="24"/>
          <w:szCs w:val="24"/>
        </w:rPr>
        <w:t xml:space="preserve"> </w:t>
      </w:r>
    </w:p>
    <w:p w14:paraId="54E820F5" w14:textId="48B90CBB" w:rsidR="000D1E58" w:rsidRDefault="00000000">
      <w:pPr>
        <w:spacing w:before="100" w:beforeAutospacing="1" w:after="100" w:afterAutospacing="1" w:line="360" w:lineRule="auto"/>
        <w:jc w:val="both"/>
        <w:rPr>
          <w:rFonts w:ascii="Arial" w:eastAsia="Arial" w:hAnsi="Arial" w:cs="Arial"/>
          <w:sz w:val="24"/>
          <w:szCs w:val="24"/>
        </w:rPr>
      </w:pPr>
      <w:r>
        <w:rPr>
          <w:rFonts w:ascii="Arial" w:eastAsia="Arial" w:hAnsi="Arial" w:cs="Arial"/>
          <w:sz w:val="24"/>
          <w:szCs w:val="24"/>
        </w:rPr>
        <w:t xml:space="preserve">Ahora bien, conforme a la norma contenida en el artículo 32, fracción II, de la </w:t>
      </w:r>
      <w:r>
        <w:rPr>
          <w:rFonts w:ascii="Arial" w:eastAsia="Arial" w:hAnsi="Arial" w:cs="Arial"/>
          <w:i/>
          <w:iCs/>
          <w:sz w:val="24"/>
          <w:szCs w:val="24"/>
        </w:rPr>
        <w:t>Ley de Justicia Electoral</w:t>
      </w:r>
      <w:r>
        <w:rPr>
          <w:rFonts w:ascii="Arial" w:eastAsia="Arial" w:hAnsi="Arial" w:cs="Arial"/>
          <w:sz w:val="24"/>
          <w:szCs w:val="24"/>
        </w:rPr>
        <w:t xml:space="preserve">, se hace una síntesis de los agravios esgrimidos por la </w:t>
      </w:r>
      <w:r>
        <w:rPr>
          <w:rFonts w:ascii="Arial" w:eastAsia="Arial" w:hAnsi="Arial" w:cs="Arial"/>
          <w:i/>
          <w:iCs/>
          <w:sz w:val="24"/>
          <w:szCs w:val="24"/>
        </w:rPr>
        <w:t xml:space="preserve">Regidora, </w:t>
      </w:r>
      <w:r>
        <w:rPr>
          <w:rFonts w:ascii="Arial" w:eastAsia="Arial" w:hAnsi="Arial" w:cs="Arial"/>
          <w:sz w:val="24"/>
          <w:szCs w:val="24"/>
        </w:rPr>
        <w:t xml:space="preserve">sin que se desconozca el deber que tiene este </w:t>
      </w:r>
      <w:r>
        <w:rPr>
          <w:rFonts w:ascii="Arial" w:eastAsia="Arial" w:hAnsi="Arial" w:cs="Arial"/>
          <w:i/>
          <w:iCs/>
          <w:sz w:val="24"/>
          <w:szCs w:val="24"/>
        </w:rPr>
        <w:t>órgano jurisdiccional</w:t>
      </w:r>
      <w:r>
        <w:rPr>
          <w:rFonts w:ascii="Arial" w:eastAsia="Arial" w:hAnsi="Arial" w:cs="Arial"/>
          <w:sz w:val="24"/>
          <w:szCs w:val="24"/>
        </w:rPr>
        <w:t xml:space="preserve"> para examinar e interpretar íntegramente la demanda respectiva, a fin de identificar los motivos de disenso expuestos, con el objeto de llevar a cabo su análisis, siempre y cuando se haya expresado con claridad la causa de pedir</w:t>
      </w:r>
      <w:r>
        <w:rPr>
          <w:rStyle w:val="Refdenotaalpie"/>
          <w:rFonts w:ascii="Arial" w:eastAsia="Arial" w:hAnsi="Arial" w:cs="Arial"/>
          <w:i/>
          <w:iCs/>
          <w:sz w:val="24"/>
          <w:szCs w:val="24"/>
        </w:rPr>
        <w:footnoteReference w:id="28"/>
      </w:r>
      <w:r>
        <w:rPr>
          <w:rFonts w:ascii="Arial" w:eastAsia="Arial" w:hAnsi="Arial" w:cs="Arial"/>
          <w:i/>
          <w:iCs/>
          <w:sz w:val="24"/>
          <w:szCs w:val="24"/>
        </w:rPr>
        <w:t>.</w:t>
      </w:r>
    </w:p>
    <w:p w14:paraId="68452F1E" w14:textId="7E2A35C6" w:rsidR="000D1E58" w:rsidRDefault="00000000">
      <w:pPr>
        <w:spacing w:before="100" w:beforeAutospacing="1" w:after="100" w:afterAutospacing="1" w:line="360" w:lineRule="auto"/>
        <w:jc w:val="both"/>
        <w:rPr>
          <w:rFonts w:ascii="Arial" w:eastAsia="Arial" w:hAnsi="Arial" w:cs="Arial"/>
          <w:sz w:val="24"/>
          <w:szCs w:val="24"/>
        </w:rPr>
      </w:pPr>
      <w:r>
        <w:rPr>
          <w:rFonts w:ascii="Arial" w:eastAsia="Arial" w:hAnsi="Arial" w:cs="Arial"/>
          <w:sz w:val="24"/>
          <w:szCs w:val="24"/>
        </w:rPr>
        <w:t xml:space="preserve">De ahí que, del escrito de demanda se advierte que la </w:t>
      </w:r>
      <w:r>
        <w:rPr>
          <w:rFonts w:ascii="Arial" w:eastAsia="Arial" w:hAnsi="Arial" w:cs="Arial"/>
          <w:i/>
          <w:iCs/>
          <w:sz w:val="24"/>
          <w:szCs w:val="24"/>
        </w:rPr>
        <w:t>Regidora</w:t>
      </w:r>
      <w:r>
        <w:rPr>
          <w:rFonts w:ascii="Arial" w:eastAsia="Arial" w:hAnsi="Arial" w:cs="Arial"/>
          <w:sz w:val="24"/>
          <w:szCs w:val="24"/>
        </w:rPr>
        <w:t xml:space="preserve"> hace valer diversos conceptos de agravio respecto de los temas siguientes:</w:t>
      </w:r>
    </w:p>
    <w:p w14:paraId="412D831E" w14:textId="77777777" w:rsidR="000D1E58" w:rsidRDefault="00000000">
      <w:pPr>
        <w:pStyle w:val="Prrafodelista"/>
        <w:numPr>
          <w:ilvl w:val="0"/>
          <w:numId w:val="34"/>
        </w:numPr>
        <w:tabs>
          <w:tab w:val="left" w:pos="567"/>
        </w:tabs>
        <w:spacing w:before="240" w:after="0" w:line="360" w:lineRule="auto"/>
        <w:ind w:left="709" w:right="-40"/>
        <w:jc w:val="both"/>
        <w:rPr>
          <w:rFonts w:ascii="Arial" w:hAnsi="Arial" w:cs="Arial"/>
          <w:sz w:val="24"/>
          <w:szCs w:val="24"/>
        </w:rPr>
      </w:pPr>
      <w:r>
        <w:rPr>
          <w:rFonts w:ascii="Arial" w:hAnsi="Arial" w:cs="Arial"/>
          <w:sz w:val="24"/>
          <w:szCs w:val="24"/>
        </w:rPr>
        <w:t xml:space="preserve">Omisión de las </w:t>
      </w:r>
      <w:r>
        <w:rPr>
          <w:rFonts w:ascii="Arial" w:hAnsi="Arial" w:cs="Arial"/>
          <w:i/>
          <w:iCs/>
          <w:sz w:val="24"/>
          <w:szCs w:val="24"/>
        </w:rPr>
        <w:t>autoridades responsables</w:t>
      </w:r>
      <w:r>
        <w:rPr>
          <w:rFonts w:ascii="Arial" w:hAnsi="Arial" w:cs="Arial"/>
          <w:sz w:val="24"/>
          <w:szCs w:val="24"/>
        </w:rPr>
        <w:t xml:space="preserve"> de convocarla a la </w:t>
      </w:r>
      <w:r>
        <w:rPr>
          <w:rFonts w:ascii="Arial" w:hAnsi="Arial" w:cs="Arial"/>
          <w:i/>
          <w:iCs/>
          <w:sz w:val="24"/>
          <w:szCs w:val="24"/>
        </w:rPr>
        <w:t>Sesión Ordinaria 002</w:t>
      </w:r>
      <w:r>
        <w:rPr>
          <w:rFonts w:ascii="Arial" w:hAnsi="Arial" w:cs="Arial"/>
          <w:sz w:val="24"/>
          <w:szCs w:val="24"/>
        </w:rPr>
        <w:t>.</w:t>
      </w:r>
    </w:p>
    <w:p w14:paraId="5B0DB354" w14:textId="77777777" w:rsidR="00F36250" w:rsidRPr="00121FBD" w:rsidRDefault="00000000" w:rsidP="00F36250">
      <w:pPr>
        <w:pStyle w:val="Prrafodelista"/>
        <w:numPr>
          <w:ilvl w:val="0"/>
          <w:numId w:val="34"/>
        </w:numPr>
        <w:tabs>
          <w:tab w:val="left" w:pos="567"/>
        </w:tabs>
        <w:spacing w:before="240" w:after="0" w:line="360" w:lineRule="auto"/>
        <w:ind w:left="709" w:right="-40"/>
        <w:jc w:val="both"/>
        <w:rPr>
          <w:rFonts w:ascii="Arial" w:hAnsi="Arial" w:cs="Arial"/>
          <w:sz w:val="24"/>
          <w:szCs w:val="24"/>
        </w:rPr>
      </w:pPr>
      <w:r w:rsidRPr="00121FBD">
        <w:rPr>
          <w:rFonts w:ascii="Arial" w:hAnsi="Arial" w:cs="Arial"/>
          <w:sz w:val="24"/>
          <w:szCs w:val="24"/>
        </w:rPr>
        <w:t>Omisión de proporcionarle la información documental relativa a los puntos desahogados en la sesión en cita.</w:t>
      </w:r>
    </w:p>
    <w:p w14:paraId="6DCD58F6" w14:textId="1A842860" w:rsidR="003113C7" w:rsidRPr="00F36250" w:rsidRDefault="00F36250" w:rsidP="00F36250">
      <w:pPr>
        <w:pStyle w:val="Prrafodelista"/>
        <w:numPr>
          <w:ilvl w:val="0"/>
          <w:numId w:val="34"/>
        </w:numPr>
        <w:tabs>
          <w:tab w:val="left" w:pos="567"/>
        </w:tabs>
        <w:spacing w:before="240" w:after="0" w:line="360" w:lineRule="auto"/>
        <w:ind w:left="709" w:right="-40"/>
        <w:jc w:val="both"/>
        <w:rPr>
          <w:rFonts w:ascii="Arial" w:hAnsi="Arial" w:cs="Arial"/>
          <w:sz w:val="24"/>
          <w:szCs w:val="24"/>
        </w:rPr>
      </w:pPr>
      <w:r w:rsidRPr="00121FBD">
        <w:rPr>
          <w:rFonts w:ascii="Arial" w:hAnsi="Arial" w:cs="Arial"/>
          <w:sz w:val="24"/>
          <w:szCs w:val="24"/>
        </w:rPr>
        <w:t xml:space="preserve"> Omisión de las </w:t>
      </w:r>
      <w:r w:rsidRPr="00121FBD">
        <w:rPr>
          <w:rFonts w:ascii="Arial" w:hAnsi="Arial" w:cs="Arial"/>
          <w:i/>
          <w:iCs/>
          <w:sz w:val="24"/>
          <w:szCs w:val="24"/>
        </w:rPr>
        <w:t>autoridades responsables</w:t>
      </w:r>
      <w:r w:rsidRPr="00121FBD">
        <w:rPr>
          <w:rFonts w:ascii="Arial" w:hAnsi="Arial" w:cs="Arial"/>
          <w:sz w:val="24"/>
          <w:szCs w:val="24"/>
        </w:rPr>
        <w:t xml:space="preserve"> de convocarla a sesiones</w:t>
      </w:r>
      <w:r w:rsidRPr="00F36250">
        <w:rPr>
          <w:rFonts w:ascii="Arial" w:hAnsi="Arial" w:cs="Arial"/>
          <w:sz w:val="24"/>
          <w:szCs w:val="24"/>
        </w:rPr>
        <w:t xml:space="preserve"> ordinarias y extraordinarias del </w:t>
      </w:r>
      <w:r w:rsidRPr="00F36250">
        <w:rPr>
          <w:rFonts w:ascii="Arial" w:hAnsi="Arial" w:cs="Arial"/>
          <w:i/>
          <w:iCs/>
          <w:sz w:val="24"/>
          <w:szCs w:val="24"/>
        </w:rPr>
        <w:t>Ayuntamiento</w:t>
      </w:r>
      <w:r w:rsidR="003113C7" w:rsidRPr="00F36250">
        <w:rPr>
          <w:rFonts w:ascii="Arial" w:hAnsi="Arial" w:cs="Arial"/>
          <w:i/>
          <w:iCs/>
          <w:sz w:val="24"/>
          <w:szCs w:val="24"/>
        </w:rPr>
        <w:t xml:space="preserve"> </w:t>
      </w:r>
      <w:r w:rsidR="003113C7" w:rsidRPr="00F36250">
        <w:rPr>
          <w:rFonts w:ascii="Arial" w:hAnsi="Arial" w:cs="Arial"/>
          <w:sz w:val="24"/>
          <w:szCs w:val="24"/>
        </w:rPr>
        <w:t>y de proporcionarle la información respectiva.</w:t>
      </w:r>
    </w:p>
    <w:p w14:paraId="4604BD8E" w14:textId="77777777" w:rsidR="000D1E58" w:rsidRDefault="00000000">
      <w:pPr>
        <w:pStyle w:val="Ttulo2"/>
        <w:spacing w:before="240" w:line="360" w:lineRule="auto"/>
        <w:jc w:val="both"/>
        <w:rPr>
          <w:rFonts w:ascii="Arial" w:hAnsi="Arial" w:cs="Arial"/>
          <w:b/>
          <w:bCs/>
          <w:color w:val="auto"/>
          <w:sz w:val="24"/>
          <w:szCs w:val="24"/>
        </w:rPr>
      </w:pPr>
      <w:bookmarkStart w:id="14" w:name="_Toc193363696"/>
      <w:r>
        <w:rPr>
          <w:rFonts w:ascii="Arial" w:hAnsi="Arial" w:cs="Arial"/>
          <w:b/>
          <w:bCs/>
          <w:color w:val="auto"/>
          <w:sz w:val="26"/>
          <w:szCs w:val="26"/>
        </w:rPr>
        <w:t>8.3</w:t>
      </w:r>
      <w:r>
        <w:rPr>
          <w:rFonts w:ascii="Arial" w:hAnsi="Arial" w:cs="Arial"/>
          <w:b/>
          <w:bCs/>
          <w:color w:val="auto"/>
          <w:sz w:val="24"/>
          <w:szCs w:val="24"/>
        </w:rPr>
        <w:t>. Metodología de estudio</w:t>
      </w:r>
      <w:bookmarkEnd w:id="14"/>
    </w:p>
    <w:p w14:paraId="3EE8CA20" w14:textId="0C97E726" w:rsidR="000D1E58" w:rsidRDefault="00000000">
      <w:pPr>
        <w:spacing w:before="100" w:beforeAutospacing="1" w:after="100" w:afterAutospacing="1" w:line="360" w:lineRule="auto"/>
        <w:jc w:val="both"/>
        <w:rPr>
          <w:rFonts w:ascii="Arial" w:hAnsi="Arial" w:cs="Arial"/>
          <w:sz w:val="24"/>
          <w:szCs w:val="24"/>
        </w:rPr>
      </w:pPr>
      <w:r>
        <w:rPr>
          <w:rFonts w:ascii="Arial" w:hAnsi="Arial" w:cs="Arial"/>
          <w:sz w:val="24"/>
          <w:szCs w:val="24"/>
        </w:rPr>
        <w:t>Ha sido crite</w:t>
      </w:r>
      <w:r>
        <w:rPr>
          <w:rFonts w:ascii="Arial" w:hAnsi="Arial" w:cs="Arial"/>
          <w:color w:val="000000" w:themeColor="text1"/>
          <w:sz w:val="24"/>
          <w:szCs w:val="24"/>
        </w:rPr>
        <w:t xml:space="preserve">rio de la </w:t>
      </w:r>
      <w:r>
        <w:rPr>
          <w:rFonts w:ascii="Arial" w:hAnsi="Arial" w:cs="Arial"/>
          <w:i/>
          <w:iCs/>
          <w:color w:val="000000" w:themeColor="text1"/>
          <w:sz w:val="24"/>
          <w:szCs w:val="24"/>
        </w:rPr>
        <w:t>Sala Superior</w:t>
      </w:r>
      <w:r>
        <w:rPr>
          <w:rFonts w:ascii="Arial" w:hAnsi="Arial" w:cs="Arial"/>
          <w:color w:val="000000" w:themeColor="text1"/>
          <w:sz w:val="24"/>
          <w:szCs w:val="24"/>
        </w:rPr>
        <w:t xml:space="preserve"> </w:t>
      </w:r>
      <w:r>
        <w:rPr>
          <w:rFonts w:ascii="Arial" w:hAnsi="Arial" w:cs="Arial"/>
          <w:sz w:val="24"/>
          <w:szCs w:val="24"/>
        </w:rPr>
        <w:t xml:space="preserve">que el orden y la forma en la que se aborde el estudio de los motivos de agravios no ocasiona perjuicio a la </w:t>
      </w:r>
      <w:r>
        <w:rPr>
          <w:rFonts w:ascii="Arial" w:hAnsi="Arial" w:cs="Arial"/>
          <w:i/>
          <w:iCs/>
          <w:sz w:val="24"/>
          <w:szCs w:val="24"/>
        </w:rPr>
        <w:t>Regidora</w:t>
      </w:r>
      <w:r>
        <w:rPr>
          <w:rFonts w:ascii="Arial" w:hAnsi="Arial" w:cs="Arial"/>
          <w:sz w:val="24"/>
          <w:szCs w:val="24"/>
        </w:rPr>
        <w:t xml:space="preserve">, pues lo verdaderamente trascendente es que se analicen todos y cada uno de ellos, </w:t>
      </w:r>
      <w:r>
        <w:rPr>
          <w:rFonts w:ascii="Arial" w:hAnsi="Arial" w:cs="Arial"/>
          <w:sz w:val="24"/>
          <w:szCs w:val="24"/>
        </w:rPr>
        <w:lastRenderedPageBreak/>
        <w:t xml:space="preserve">sin importar el orden de su estudio. Por tanto, se analizará primero los temas </w:t>
      </w:r>
      <w:r>
        <w:rPr>
          <w:rFonts w:ascii="Arial" w:hAnsi="Arial" w:cs="Arial"/>
          <w:b/>
          <w:bCs/>
          <w:sz w:val="24"/>
          <w:szCs w:val="24"/>
        </w:rPr>
        <w:t xml:space="preserve">a) </w:t>
      </w:r>
      <w:r>
        <w:rPr>
          <w:rFonts w:ascii="Arial" w:hAnsi="Arial" w:cs="Arial"/>
          <w:sz w:val="24"/>
          <w:szCs w:val="24"/>
        </w:rPr>
        <w:t>y</w:t>
      </w:r>
      <w:r>
        <w:rPr>
          <w:rFonts w:ascii="Arial" w:hAnsi="Arial" w:cs="Arial"/>
          <w:b/>
          <w:bCs/>
          <w:sz w:val="24"/>
          <w:szCs w:val="24"/>
        </w:rPr>
        <w:t xml:space="preserve"> b) </w:t>
      </w:r>
      <w:r>
        <w:rPr>
          <w:rFonts w:ascii="Arial" w:hAnsi="Arial" w:cs="Arial"/>
          <w:sz w:val="24"/>
          <w:szCs w:val="24"/>
        </w:rPr>
        <w:t>en conjunto, y</w:t>
      </w:r>
      <w:r>
        <w:rPr>
          <w:rFonts w:ascii="Arial" w:hAnsi="Arial" w:cs="Arial"/>
          <w:b/>
          <w:bCs/>
          <w:sz w:val="24"/>
          <w:szCs w:val="24"/>
        </w:rPr>
        <w:t xml:space="preserve"> </w:t>
      </w:r>
      <w:r>
        <w:rPr>
          <w:rFonts w:ascii="Arial" w:hAnsi="Arial" w:cs="Arial"/>
          <w:sz w:val="24"/>
          <w:szCs w:val="24"/>
        </w:rPr>
        <w:t xml:space="preserve">después el </w:t>
      </w:r>
      <w:r>
        <w:rPr>
          <w:rFonts w:ascii="Arial" w:hAnsi="Arial" w:cs="Arial"/>
          <w:b/>
          <w:bCs/>
          <w:sz w:val="24"/>
          <w:szCs w:val="24"/>
        </w:rPr>
        <w:t>c)</w:t>
      </w:r>
      <w:r>
        <w:rPr>
          <w:rStyle w:val="Refdenotaalpie"/>
          <w:rFonts w:ascii="Arial" w:hAnsi="Arial" w:cs="Arial"/>
          <w:sz w:val="24"/>
          <w:szCs w:val="24"/>
        </w:rPr>
        <w:footnoteReference w:id="29"/>
      </w:r>
      <w:r>
        <w:rPr>
          <w:rFonts w:ascii="Arial" w:hAnsi="Arial" w:cs="Arial"/>
          <w:sz w:val="24"/>
          <w:szCs w:val="24"/>
        </w:rPr>
        <w:t>.</w:t>
      </w:r>
    </w:p>
    <w:p w14:paraId="039F09CA" w14:textId="77777777" w:rsidR="000D1E58" w:rsidRDefault="00000000">
      <w:pPr>
        <w:pStyle w:val="Ttulo2"/>
        <w:spacing w:before="240" w:line="360" w:lineRule="auto"/>
        <w:jc w:val="both"/>
        <w:rPr>
          <w:rFonts w:ascii="Arial" w:hAnsi="Arial" w:cs="Arial"/>
          <w:b/>
          <w:bCs/>
          <w:color w:val="auto"/>
          <w:sz w:val="24"/>
          <w:szCs w:val="24"/>
        </w:rPr>
      </w:pPr>
      <w:bookmarkStart w:id="15" w:name="_Toc193363697"/>
      <w:r>
        <w:rPr>
          <w:rFonts w:ascii="Arial" w:hAnsi="Arial" w:cs="Arial"/>
          <w:b/>
          <w:bCs/>
          <w:color w:val="auto"/>
          <w:sz w:val="24"/>
          <w:szCs w:val="24"/>
        </w:rPr>
        <w:t>8.4. Marco normativo</w:t>
      </w:r>
      <w:bookmarkEnd w:id="15"/>
    </w:p>
    <w:p w14:paraId="07474DE6" w14:textId="77777777" w:rsidR="000D1E58" w:rsidRDefault="00000000">
      <w:pPr>
        <w:spacing w:before="100" w:beforeAutospacing="1" w:after="100" w:afterAutospacing="1" w:line="360" w:lineRule="auto"/>
        <w:jc w:val="both"/>
        <w:rPr>
          <w:sz w:val="24"/>
          <w:szCs w:val="24"/>
        </w:rPr>
      </w:pPr>
      <w:r>
        <w:rPr>
          <w:rFonts w:ascii="Arial" w:hAnsi="Arial" w:cs="Arial"/>
          <w:sz w:val="24"/>
          <w:szCs w:val="24"/>
        </w:rPr>
        <w:t>A fin</w:t>
      </w:r>
      <w:r>
        <w:rPr>
          <w:rFonts w:ascii="Arial" w:hAnsi="Arial" w:cs="Arial"/>
          <w:bCs/>
          <w:sz w:val="24"/>
          <w:szCs w:val="24"/>
        </w:rPr>
        <w:t xml:space="preserve"> de analizar la vulneración alegada por la </w:t>
      </w:r>
      <w:r>
        <w:rPr>
          <w:rFonts w:ascii="Arial" w:hAnsi="Arial" w:cs="Arial"/>
          <w:bCs/>
          <w:i/>
          <w:iCs/>
          <w:sz w:val="24"/>
          <w:szCs w:val="24"/>
        </w:rPr>
        <w:t>actora</w:t>
      </w:r>
      <w:r>
        <w:rPr>
          <w:rFonts w:ascii="Arial" w:hAnsi="Arial" w:cs="Arial"/>
          <w:bCs/>
          <w:sz w:val="24"/>
          <w:szCs w:val="24"/>
        </w:rPr>
        <w:t>, se considera necesario establecer el marco normativo aplicable al caso concreto.</w:t>
      </w:r>
    </w:p>
    <w:p w14:paraId="558416EB" w14:textId="77777777" w:rsidR="000D1E58" w:rsidRDefault="00000000">
      <w:pPr>
        <w:pStyle w:val="Prrafodelista"/>
        <w:numPr>
          <w:ilvl w:val="0"/>
          <w:numId w:val="12"/>
        </w:numPr>
        <w:spacing w:before="240" w:after="0" w:line="360" w:lineRule="auto"/>
        <w:jc w:val="both"/>
        <w:rPr>
          <w:rFonts w:ascii="Arial" w:hAnsi="Arial" w:cs="Arial"/>
          <w:b/>
          <w:sz w:val="24"/>
          <w:szCs w:val="24"/>
        </w:rPr>
      </w:pPr>
      <w:r>
        <w:rPr>
          <w:rFonts w:ascii="Arial" w:hAnsi="Arial" w:cs="Arial"/>
          <w:b/>
          <w:sz w:val="24"/>
          <w:szCs w:val="24"/>
        </w:rPr>
        <w:t>Derecho de acceso al cargo</w:t>
      </w:r>
    </w:p>
    <w:p w14:paraId="47700F36" w14:textId="77777777" w:rsidR="000D1E58" w:rsidRDefault="00000000">
      <w:pPr>
        <w:spacing w:before="240" w:after="0" w:line="360" w:lineRule="auto"/>
        <w:jc w:val="both"/>
        <w:rPr>
          <w:rFonts w:ascii="Arial" w:hAnsi="Arial" w:cs="Arial"/>
          <w:bCs/>
          <w:sz w:val="24"/>
          <w:szCs w:val="24"/>
        </w:rPr>
      </w:pPr>
      <w:r>
        <w:rPr>
          <w:rFonts w:ascii="Arial" w:hAnsi="Arial" w:cs="Arial"/>
          <w:bCs/>
          <w:sz w:val="24"/>
          <w:szCs w:val="24"/>
        </w:rPr>
        <w:t xml:space="preserve">Conforme a la línea interpretativa y jurisprudencial de la </w:t>
      </w:r>
      <w:r>
        <w:rPr>
          <w:rFonts w:ascii="Arial" w:hAnsi="Arial" w:cs="Arial"/>
          <w:bCs/>
          <w:i/>
          <w:sz w:val="24"/>
          <w:szCs w:val="24"/>
        </w:rPr>
        <w:t>Sala Superior</w:t>
      </w:r>
      <w:r>
        <w:rPr>
          <w:rFonts w:ascii="Arial" w:hAnsi="Arial" w:cs="Arial"/>
          <w:bCs/>
          <w:sz w:val="24"/>
          <w:szCs w:val="24"/>
        </w:rPr>
        <w:t>, el derecho a ser votado</w:t>
      </w:r>
      <w:r>
        <w:rPr>
          <w:rStyle w:val="Refdenotaalpie"/>
          <w:rFonts w:ascii="Arial" w:hAnsi="Arial" w:cs="Arial"/>
          <w:bCs/>
          <w:sz w:val="24"/>
          <w:szCs w:val="24"/>
        </w:rPr>
        <w:footnoteReference w:id="30"/>
      </w:r>
      <w:r>
        <w:rPr>
          <w:rFonts w:ascii="Arial" w:hAnsi="Arial" w:cs="Arial"/>
          <w:bCs/>
          <w:sz w:val="24"/>
          <w:szCs w:val="24"/>
        </w:rPr>
        <w:t xml:space="preserve"> no se limita a la posibilidad de acceder a un cargo de elección popular en un proceso electoral, sino también incluye el que pueda ocupar dicho cargo y mantenerse en él, de resultar electo o electa, así como el ejercicio y disfrute de los derechos inherentes al mismo.</w:t>
      </w:r>
    </w:p>
    <w:p w14:paraId="31045C4A" w14:textId="77777777" w:rsidR="000D1E58" w:rsidRDefault="00000000">
      <w:pPr>
        <w:spacing w:before="240" w:after="0" w:line="360" w:lineRule="auto"/>
        <w:jc w:val="both"/>
        <w:rPr>
          <w:rFonts w:ascii="Arial" w:hAnsi="Arial" w:cs="Arial"/>
          <w:bCs/>
          <w:sz w:val="24"/>
          <w:szCs w:val="24"/>
        </w:rPr>
      </w:pPr>
      <w:r>
        <w:rPr>
          <w:rFonts w:ascii="Arial" w:hAnsi="Arial" w:cs="Arial"/>
          <w:sz w:val="24"/>
          <w:szCs w:val="24"/>
        </w:rPr>
        <w:t xml:space="preserve">Lo anterior, se traduce en que el derecho a ser votado debe ser garantizado, a fin de que el cargo obtenido sea efectivamente asumido y que, durante el transcurso </w:t>
      </w:r>
      <w:proofErr w:type="gramStart"/>
      <w:r>
        <w:rPr>
          <w:rFonts w:ascii="Arial" w:hAnsi="Arial" w:cs="Arial"/>
          <w:sz w:val="24"/>
          <w:szCs w:val="24"/>
        </w:rPr>
        <w:t>del mismo</w:t>
      </w:r>
      <w:proofErr w:type="gramEnd"/>
      <w:r>
        <w:rPr>
          <w:rFonts w:ascii="Arial" w:hAnsi="Arial" w:cs="Arial"/>
          <w:sz w:val="24"/>
          <w:szCs w:val="24"/>
        </w:rPr>
        <w:t>, no se impida, obstaculice o dificulte su adecuado ejercicio</w:t>
      </w:r>
      <w:r>
        <w:rPr>
          <w:rStyle w:val="Refdenotaalpie"/>
          <w:rFonts w:ascii="Arial" w:hAnsi="Arial" w:cs="Arial"/>
          <w:sz w:val="24"/>
          <w:szCs w:val="24"/>
        </w:rPr>
        <w:footnoteReference w:id="31"/>
      </w:r>
      <w:r>
        <w:rPr>
          <w:rFonts w:ascii="Arial" w:hAnsi="Arial" w:cs="Arial"/>
          <w:sz w:val="24"/>
          <w:szCs w:val="24"/>
        </w:rPr>
        <w:t>.</w:t>
      </w:r>
    </w:p>
    <w:p w14:paraId="0F555C47" w14:textId="77777777" w:rsidR="000D1E58" w:rsidRDefault="00000000">
      <w:pPr>
        <w:pStyle w:val="Prrafodelista"/>
        <w:numPr>
          <w:ilvl w:val="0"/>
          <w:numId w:val="12"/>
        </w:numPr>
        <w:spacing w:before="240" w:after="0" w:line="360" w:lineRule="auto"/>
        <w:jc w:val="both"/>
        <w:rPr>
          <w:rFonts w:ascii="Arial" w:hAnsi="Arial" w:cs="Arial"/>
          <w:b/>
          <w:sz w:val="24"/>
          <w:szCs w:val="24"/>
        </w:rPr>
      </w:pPr>
      <w:r>
        <w:rPr>
          <w:rFonts w:ascii="Arial" w:hAnsi="Arial" w:cs="Arial"/>
          <w:b/>
          <w:sz w:val="24"/>
          <w:szCs w:val="24"/>
        </w:rPr>
        <w:t>Derecho a la información</w:t>
      </w:r>
    </w:p>
    <w:p w14:paraId="58C1B7A7" w14:textId="77777777" w:rsidR="000D1E58" w:rsidRDefault="00000000">
      <w:pPr>
        <w:spacing w:before="240" w:after="0" w:line="360" w:lineRule="auto"/>
        <w:jc w:val="both"/>
        <w:rPr>
          <w:rFonts w:ascii="Arial" w:hAnsi="Arial" w:cs="Arial"/>
          <w:bCs/>
          <w:sz w:val="24"/>
          <w:szCs w:val="24"/>
        </w:rPr>
      </w:pPr>
      <w:r>
        <w:rPr>
          <w:rFonts w:ascii="Arial" w:hAnsi="Arial" w:cs="Arial"/>
          <w:bCs/>
          <w:sz w:val="24"/>
          <w:szCs w:val="24"/>
        </w:rPr>
        <w:t xml:space="preserve">El derecho de acceso a la información se encuentra tutelado en el artículo 6, apartado A de la </w:t>
      </w:r>
      <w:r>
        <w:rPr>
          <w:rFonts w:ascii="Arial" w:hAnsi="Arial" w:cs="Arial"/>
          <w:bCs/>
          <w:i/>
          <w:iCs/>
          <w:sz w:val="24"/>
          <w:szCs w:val="24"/>
        </w:rPr>
        <w:t>Constitución Federal</w:t>
      </w:r>
      <w:r>
        <w:rPr>
          <w:rFonts w:ascii="Arial" w:hAnsi="Arial" w:cs="Arial"/>
          <w:bCs/>
          <w:sz w:val="24"/>
          <w:szCs w:val="24"/>
        </w:rPr>
        <w:t xml:space="preserve"> y 8 de la </w:t>
      </w:r>
      <w:r>
        <w:rPr>
          <w:rFonts w:ascii="Arial" w:hAnsi="Arial" w:cs="Arial"/>
          <w:bCs/>
          <w:i/>
          <w:iCs/>
          <w:sz w:val="24"/>
          <w:szCs w:val="24"/>
        </w:rPr>
        <w:t>Constitución Local</w:t>
      </w:r>
      <w:r>
        <w:rPr>
          <w:rFonts w:ascii="Arial" w:hAnsi="Arial" w:cs="Arial"/>
          <w:bCs/>
          <w:sz w:val="24"/>
          <w:szCs w:val="24"/>
        </w:rPr>
        <w:t xml:space="preserve">, así como en la Ley General de Transparencia y Acceso a la Información Pública y la </w:t>
      </w:r>
      <w:r>
        <w:rPr>
          <w:rFonts w:ascii="Arial" w:hAnsi="Arial" w:cs="Arial"/>
          <w:bCs/>
          <w:i/>
          <w:iCs/>
          <w:sz w:val="24"/>
          <w:szCs w:val="24"/>
        </w:rPr>
        <w:t>Ley de Transparencia</w:t>
      </w:r>
      <w:r>
        <w:rPr>
          <w:rFonts w:ascii="Arial" w:hAnsi="Arial" w:cs="Arial"/>
          <w:bCs/>
          <w:sz w:val="24"/>
          <w:szCs w:val="24"/>
        </w:rPr>
        <w:t>, así como 13 de la Convención Americana sobre Derechos Humanos y 19 del Pacto Internacional de Derechos Civiles y Políticos.</w:t>
      </w:r>
    </w:p>
    <w:p w14:paraId="1AAF73C9" w14:textId="77777777" w:rsidR="000D1E58" w:rsidRDefault="00000000">
      <w:pPr>
        <w:spacing w:before="240" w:after="0" w:line="360" w:lineRule="auto"/>
        <w:jc w:val="both"/>
        <w:rPr>
          <w:rFonts w:ascii="Arial" w:hAnsi="Arial" w:cs="Arial"/>
          <w:bCs/>
          <w:sz w:val="24"/>
          <w:szCs w:val="24"/>
        </w:rPr>
      </w:pPr>
      <w:r>
        <w:rPr>
          <w:rFonts w:ascii="Arial" w:hAnsi="Arial" w:cs="Arial"/>
          <w:bCs/>
          <w:sz w:val="24"/>
          <w:szCs w:val="24"/>
        </w:rPr>
        <w:t>La Suprema Corte de Justicia de la Nación ha determinado que el derecho a la información comprende las siguientes garantías</w:t>
      </w:r>
      <w:r>
        <w:rPr>
          <w:rStyle w:val="Refdenotaalpie"/>
          <w:rFonts w:ascii="Arial" w:hAnsi="Arial" w:cs="Arial"/>
          <w:bCs/>
          <w:sz w:val="24"/>
          <w:szCs w:val="24"/>
        </w:rPr>
        <w:footnoteReference w:id="32"/>
      </w:r>
      <w:r>
        <w:rPr>
          <w:rFonts w:ascii="Arial" w:hAnsi="Arial" w:cs="Arial"/>
          <w:bCs/>
          <w:sz w:val="24"/>
          <w:szCs w:val="24"/>
        </w:rPr>
        <w:t>:</w:t>
      </w:r>
    </w:p>
    <w:p w14:paraId="57F9B1FF" w14:textId="77777777" w:rsidR="000D1E58" w:rsidRDefault="00000000">
      <w:pPr>
        <w:pStyle w:val="Prrafodelista"/>
        <w:numPr>
          <w:ilvl w:val="0"/>
          <w:numId w:val="1"/>
        </w:numPr>
        <w:spacing w:before="240" w:after="0" w:line="360" w:lineRule="auto"/>
        <w:ind w:left="714" w:hanging="357"/>
        <w:contextualSpacing w:val="0"/>
        <w:jc w:val="both"/>
        <w:rPr>
          <w:rFonts w:ascii="Arial" w:hAnsi="Arial" w:cs="Arial"/>
          <w:bCs/>
          <w:sz w:val="24"/>
          <w:szCs w:val="24"/>
        </w:rPr>
      </w:pPr>
      <w:r>
        <w:rPr>
          <w:rFonts w:ascii="Arial" w:hAnsi="Arial" w:cs="Arial"/>
          <w:bCs/>
          <w:sz w:val="24"/>
          <w:szCs w:val="24"/>
        </w:rPr>
        <w:lastRenderedPageBreak/>
        <w:t>El derecho a informar (difundir).</w:t>
      </w:r>
    </w:p>
    <w:p w14:paraId="212E6485" w14:textId="77777777" w:rsidR="000D1E58" w:rsidRDefault="00000000">
      <w:pPr>
        <w:pStyle w:val="Prrafodelista"/>
        <w:numPr>
          <w:ilvl w:val="0"/>
          <w:numId w:val="1"/>
        </w:numPr>
        <w:spacing w:before="240" w:after="0" w:line="360" w:lineRule="auto"/>
        <w:contextualSpacing w:val="0"/>
        <w:jc w:val="both"/>
        <w:rPr>
          <w:rFonts w:ascii="Arial" w:hAnsi="Arial" w:cs="Arial"/>
          <w:bCs/>
          <w:sz w:val="24"/>
          <w:szCs w:val="24"/>
        </w:rPr>
      </w:pPr>
      <w:r>
        <w:rPr>
          <w:rFonts w:ascii="Arial" w:hAnsi="Arial" w:cs="Arial"/>
          <w:bCs/>
          <w:sz w:val="24"/>
          <w:szCs w:val="24"/>
        </w:rPr>
        <w:t>El derecho de acceso a la información (buscar).</w:t>
      </w:r>
    </w:p>
    <w:p w14:paraId="0BD316D7" w14:textId="77777777" w:rsidR="000D1E58" w:rsidRDefault="00000000">
      <w:pPr>
        <w:pStyle w:val="Prrafodelista"/>
        <w:numPr>
          <w:ilvl w:val="0"/>
          <w:numId w:val="1"/>
        </w:numPr>
        <w:spacing w:before="240" w:after="0" w:line="360" w:lineRule="auto"/>
        <w:contextualSpacing w:val="0"/>
        <w:jc w:val="both"/>
        <w:rPr>
          <w:rFonts w:ascii="Arial" w:hAnsi="Arial" w:cs="Arial"/>
          <w:bCs/>
          <w:sz w:val="24"/>
          <w:szCs w:val="24"/>
        </w:rPr>
      </w:pPr>
      <w:r>
        <w:rPr>
          <w:rFonts w:ascii="Arial" w:hAnsi="Arial" w:cs="Arial"/>
          <w:bCs/>
          <w:sz w:val="24"/>
          <w:szCs w:val="24"/>
        </w:rPr>
        <w:t xml:space="preserve"> El derecho a ser informado (recibir).</w:t>
      </w:r>
    </w:p>
    <w:p w14:paraId="3C1FE563" w14:textId="77777777" w:rsidR="000D1E58" w:rsidRDefault="00000000">
      <w:pPr>
        <w:spacing w:before="240" w:after="0" w:line="360" w:lineRule="auto"/>
        <w:jc w:val="both"/>
        <w:rPr>
          <w:rFonts w:ascii="Arial" w:hAnsi="Arial" w:cs="Arial"/>
          <w:sz w:val="24"/>
          <w:szCs w:val="24"/>
        </w:rPr>
      </w:pPr>
      <w:r>
        <w:rPr>
          <w:rFonts w:ascii="Arial" w:hAnsi="Arial" w:cs="Arial"/>
          <w:sz w:val="24"/>
          <w:szCs w:val="24"/>
        </w:rPr>
        <w:t>Asimismo, señala que el derecho de acceso a la información garantiza que todas las personas puedan solicitar información al Estado respecto de los archivos, registros, datos y documentos públicos, siempre que sea solicitada por escrito, de manera pacífica y respetuosa.</w:t>
      </w:r>
    </w:p>
    <w:p w14:paraId="2EAFD20B" w14:textId="77777777" w:rsidR="000D1E58" w:rsidRDefault="00000000">
      <w:pPr>
        <w:spacing w:before="240" w:after="0" w:line="360" w:lineRule="auto"/>
        <w:jc w:val="both"/>
        <w:rPr>
          <w:rFonts w:ascii="Arial" w:hAnsi="Arial" w:cs="Arial"/>
          <w:sz w:val="24"/>
          <w:szCs w:val="24"/>
        </w:rPr>
      </w:pPr>
      <w:r>
        <w:rPr>
          <w:rFonts w:ascii="Arial" w:hAnsi="Arial" w:cs="Arial"/>
          <w:sz w:val="24"/>
          <w:szCs w:val="24"/>
        </w:rPr>
        <w:t>Concluye que el derecho a ser informado garantiza que todos los miembros de la sociedad reciban libremente información plural y oportuna que les permita ejercer plenamente sus derechos.</w:t>
      </w:r>
    </w:p>
    <w:p w14:paraId="2A19C9FD" w14:textId="77777777" w:rsidR="000D1E58" w:rsidRDefault="00000000">
      <w:pPr>
        <w:spacing w:before="240" w:after="0" w:line="360" w:lineRule="auto"/>
        <w:jc w:val="both"/>
        <w:rPr>
          <w:rFonts w:ascii="Arial" w:hAnsi="Arial" w:cs="Arial"/>
          <w:sz w:val="24"/>
          <w:szCs w:val="24"/>
        </w:rPr>
      </w:pPr>
      <w:r>
        <w:rPr>
          <w:rFonts w:ascii="Arial" w:hAnsi="Arial" w:cs="Arial"/>
          <w:sz w:val="24"/>
          <w:szCs w:val="24"/>
        </w:rPr>
        <w:t>De manera general, cualquier persona puede hacer efectivo dicho derecho</w:t>
      </w:r>
      <w:r>
        <w:rPr>
          <w:rStyle w:val="Refdenotaalpie"/>
          <w:rFonts w:ascii="Arial" w:hAnsi="Arial" w:cs="Arial"/>
          <w:sz w:val="24"/>
          <w:szCs w:val="24"/>
        </w:rPr>
        <w:footnoteReference w:id="33"/>
      </w:r>
      <w:r>
        <w:rPr>
          <w:rFonts w:ascii="Arial" w:hAnsi="Arial" w:cs="Arial"/>
          <w:sz w:val="24"/>
          <w:szCs w:val="24"/>
        </w:rPr>
        <w:t xml:space="preserve">; basta el interés para conocer sobre los actos que se generan en las instituciones gubernamentales, con independencia de si son ajenos a estas. </w:t>
      </w:r>
    </w:p>
    <w:p w14:paraId="3A66A828" w14:textId="77777777" w:rsidR="000D1E58" w:rsidRDefault="00000000">
      <w:pPr>
        <w:spacing w:before="240" w:after="0" w:line="360" w:lineRule="auto"/>
        <w:jc w:val="both"/>
        <w:rPr>
          <w:rFonts w:ascii="Arial" w:hAnsi="Arial" w:cs="Arial"/>
          <w:sz w:val="24"/>
          <w:szCs w:val="24"/>
        </w:rPr>
      </w:pPr>
      <w:r>
        <w:rPr>
          <w:rFonts w:ascii="Arial" w:hAnsi="Arial" w:cs="Arial"/>
          <w:sz w:val="24"/>
          <w:szCs w:val="24"/>
        </w:rPr>
        <w:t>Esto se traduce en que cualquier persona puede solicitar acceso a la información que obre en los archivos de las dependencias públicas, sin acreditar interés alguno o justificar su utilización; inclusive, a través de la plataforma de internet destinada para tales efectos, todo ello de manera gratuita, con la salvedad de la obligación de cubrir el pago por concepto de derechos por la reproducción, certificación o envío, en su caso</w:t>
      </w:r>
      <w:r>
        <w:rPr>
          <w:rStyle w:val="Refdenotaalpie"/>
          <w:rFonts w:ascii="Arial" w:hAnsi="Arial" w:cs="Arial"/>
          <w:sz w:val="24"/>
          <w:szCs w:val="24"/>
        </w:rPr>
        <w:footnoteReference w:id="34"/>
      </w:r>
      <w:r>
        <w:rPr>
          <w:rFonts w:ascii="Arial" w:hAnsi="Arial" w:cs="Arial"/>
          <w:sz w:val="24"/>
          <w:szCs w:val="24"/>
        </w:rPr>
        <w:t xml:space="preserve"> . </w:t>
      </w:r>
    </w:p>
    <w:p w14:paraId="0F4DD7AF" w14:textId="77777777" w:rsidR="000D1E5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Así, toda la información en posesión de cualquier autoridad -incluida la municipal- es </w:t>
      </w:r>
      <w:r>
        <w:rPr>
          <w:rFonts w:ascii="Arial" w:eastAsia="Arial" w:hAnsi="Arial" w:cs="Arial"/>
          <w:b/>
          <w:bCs/>
          <w:sz w:val="24"/>
          <w:szCs w:val="24"/>
        </w:rPr>
        <w:t>pública</w:t>
      </w:r>
      <w:r>
        <w:rPr>
          <w:rFonts w:ascii="Arial" w:eastAsia="Arial" w:hAnsi="Arial" w:cs="Arial"/>
          <w:sz w:val="24"/>
          <w:szCs w:val="24"/>
        </w:rPr>
        <w:t xml:space="preserve"> y solo podrá ser reservada de manera temporal por razones de interés público y seguridad nacional, en los términos que fijen las leyes, prevaleciendo siempre el principio de máxima publicidad</w:t>
      </w:r>
      <w:r>
        <w:rPr>
          <w:rStyle w:val="Refdenotaalpie"/>
          <w:rFonts w:ascii="Arial" w:eastAsia="Arial" w:hAnsi="Arial" w:cs="Arial"/>
          <w:sz w:val="24"/>
          <w:szCs w:val="24"/>
        </w:rPr>
        <w:footnoteReference w:id="35"/>
      </w:r>
      <w:r>
        <w:rPr>
          <w:rFonts w:ascii="Arial" w:eastAsia="Arial" w:hAnsi="Arial" w:cs="Arial"/>
          <w:sz w:val="24"/>
          <w:szCs w:val="24"/>
        </w:rPr>
        <w:t xml:space="preserve">. </w:t>
      </w:r>
    </w:p>
    <w:p w14:paraId="3857FD30" w14:textId="77777777" w:rsidR="000D1E58" w:rsidRDefault="00000000">
      <w:pPr>
        <w:spacing w:before="240" w:after="0" w:line="360" w:lineRule="auto"/>
        <w:jc w:val="both"/>
        <w:rPr>
          <w:rFonts w:ascii="Arial" w:hAnsi="Arial" w:cs="Arial"/>
          <w:sz w:val="24"/>
          <w:szCs w:val="24"/>
        </w:rPr>
      </w:pPr>
      <w:r>
        <w:rPr>
          <w:rFonts w:ascii="Arial" w:hAnsi="Arial" w:cs="Arial"/>
          <w:sz w:val="24"/>
          <w:szCs w:val="24"/>
        </w:rPr>
        <w:t xml:space="preserve">Por otro lado, la </w:t>
      </w:r>
      <w:r>
        <w:rPr>
          <w:rFonts w:ascii="Arial" w:hAnsi="Arial" w:cs="Arial"/>
          <w:i/>
          <w:iCs/>
          <w:sz w:val="24"/>
          <w:szCs w:val="24"/>
        </w:rPr>
        <w:t>Sala Superior</w:t>
      </w:r>
      <w:r>
        <w:rPr>
          <w:rFonts w:ascii="Arial" w:hAnsi="Arial" w:cs="Arial"/>
          <w:sz w:val="24"/>
          <w:szCs w:val="24"/>
        </w:rPr>
        <w:t xml:space="preserve"> ha desarrollado una doctrina de interpretación del derecho de acceso a la información, siempre que se vincule con el ejercicio de </w:t>
      </w:r>
      <w:r>
        <w:rPr>
          <w:rFonts w:ascii="Arial" w:hAnsi="Arial" w:cs="Arial"/>
          <w:sz w:val="24"/>
          <w:szCs w:val="24"/>
        </w:rPr>
        <w:lastRenderedPageBreak/>
        <w:t>un derecho político-electoral, por ejemplo, de votar, ser votado, asociación y afiliación</w:t>
      </w:r>
      <w:r>
        <w:rPr>
          <w:rStyle w:val="Refdenotaalpie"/>
          <w:rFonts w:ascii="Arial" w:hAnsi="Arial" w:cs="Arial"/>
          <w:sz w:val="24"/>
          <w:szCs w:val="24"/>
        </w:rPr>
        <w:footnoteReference w:id="36"/>
      </w:r>
      <w:r>
        <w:rPr>
          <w:rFonts w:ascii="Arial" w:hAnsi="Arial" w:cs="Arial"/>
          <w:sz w:val="24"/>
          <w:szCs w:val="24"/>
        </w:rPr>
        <w:t xml:space="preserve"> .</w:t>
      </w:r>
    </w:p>
    <w:p w14:paraId="2298DF26" w14:textId="77777777" w:rsidR="000D1E58" w:rsidRDefault="00000000">
      <w:pPr>
        <w:spacing w:before="240" w:after="0" w:line="360" w:lineRule="auto"/>
        <w:jc w:val="both"/>
        <w:rPr>
          <w:rFonts w:ascii="Arial" w:hAnsi="Arial" w:cs="Arial"/>
          <w:sz w:val="24"/>
          <w:szCs w:val="24"/>
        </w:rPr>
      </w:pPr>
      <w:r>
        <w:rPr>
          <w:rFonts w:ascii="Arial" w:hAnsi="Arial" w:cs="Arial"/>
          <w:sz w:val="24"/>
          <w:szCs w:val="24"/>
        </w:rPr>
        <w:t xml:space="preserve">Conforme a lo anterior, cuando la conducta se relaciona con la obtención de la </w:t>
      </w:r>
      <w:r>
        <w:rPr>
          <w:rFonts w:ascii="Arial" w:hAnsi="Arial" w:cs="Arial"/>
          <w:b/>
          <w:bCs/>
          <w:sz w:val="24"/>
          <w:szCs w:val="24"/>
        </w:rPr>
        <w:t>información necesaria para el ejercicio del cargo</w:t>
      </w:r>
      <w:r>
        <w:rPr>
          <w:rFonts w:ascii="Arial" w:hAnsi="Arial" w:cs="Arial"/>
          <w:sz w:val="24"/>
          <w:szCs w:val="24"/>
        </w:rPr>
        <w:t>, el supuesto que habilita la intervención jurisdiccional electoral será la violación al derecho político-electoral, por lo que el análisis del supuesto fáctico deberá ocuparse de la existencia del vínculo entre la información materia de la disputa y las atribuciones legalmente conferidas a la persona servidora pública electa, para determinar, a partir de esa relación de causalidad, la reparación de la violación al derecho político-electoral de que se trate</w:t>
      </w:r>
      <w:r>
        <w:rPr>
          <w:rStyle w:val="Refdenotaalpie"/>
          <w:rFonts w:ascii="Arial" w:hAnsi="Arial" w:cs="Arial"/>
          <w:sz w:val="24"/>
          <w:szCs w:val="24"/>
        </w:rPr>
        <w:footnoteReference w:id="37"/>
      </w:r>
      <w:r>
        <w:rPr>
          <w:rFonts w:ascii="Arial" w:hAnsi="Arial" w:cs="Arial"/>
          <w:sz w:val="24"/>
          <w:szCs w:val="24"/>
        </w:rPr>
        <w:t xml:space="preserve"> . </w:t>
      </w:r>
    </w:p>
    <w:p w14:paraId="5DB57DEF" w14:textId="77777777" w:rsidR="000D1E58" w:rsidRDefault="00000000">
      <w:pPr>
        <w:spacing w:before="240" w:after="0" w:line="360" w:lineRule="auto"/>
        <w:jc w:val="both"/>
        <w:rPr>
          <w:rFonts w:ascii="Arial" w:hAnsi="Arial" w:cs="Arial"/>
          <w:sz w:val="24"/>
          <w:szCs w:val="24"/>
        </w:rPr>
      </w:pPr>
      <w:r>
        <w:rPr>
          <w:rFonts w:ascii="Arial" w:hAnsi="Arial" w:cs="Arial"/>
          <w:sz w:val="24"/>
          <w:szCs w:val="24"/>
        </w:rPr>
        <w:t>En ese sentido, el derecho a ser votado incluye la posibilidad de que la ciudadanía pueda ejercer el poder público que le fue conferido, adicionalmente se encuentra reforzado cuando cuente con el carácter de representante popular, dado que, en el desempeño de esa función, goza de una serie de facultades, entre ellas, la de requerir la información necesaria para poder opinar o actuar en la gestión pública, dentro del marco de sus atribuciones</w:t>
      </w:r>
      <w:r>
        <w:rPr>
          <w:rStyle w:val="Refdenotaalpie"/>
          <w:rFonts w:ascii="Arial" w:hAnsi="Arial" w:cs="Arial"/>
          <w:sz w:val="24"/>
          <w:szCs w:val="24"/>
        </w:rPr>
        <w:footnoteReference w:id="38"/>
      </w:r>
      <w:r>
        <w:rPr>
          <w:rFonts w:ascii="Arial" w:hAnsi="Arial" w:cs="Arial"/>
          <w:sz w:val="24"/>
          <w:szCs w:val="24"/>
        </w:rPr>
        <w:t>.</w:t>
      </w:r>
    </w:p>
    <w:p w14:paraId="16AD1E75" w14:textId="77777777" w:rsidR="000D1E58" w:rsidRDefault="00000000">
      <w:pPr>
        <w:spacing w:before="240" w:after="0" w:line="360" w:lineRule="auto"/>
        <w:jc w:val="both"/>
        <w:rPr>
          <w:rFonts w:ascii="Arial" w:hAnsi="Arial" w:cs="Arial"/>
          <w:sz w:val="24"/>
          <w:szCs w:val="24"/>
        </w:rPr>
      </w:pPr>
      <w:r>
        <w:rPr>
          <w:rFonts w:ascii="Arial" w:hAnsi="Arial" w:cs="Arial"/>
          <w:sz w:val="24"/>
          <w:szCs w:val="24"/>
        </w:rPr>
        <w:t xml:space="preserve">En tal virtud, si al determinado representante popular, como en el caso, a la </w:t>
      </w:r>
      <w:r>
        <w:rPr>
          <w:rFonts w:ascii="Arial" w:hAnsi="Arial" w:cs="Arial"/>
          <w:i/>
          <w:iCs/>
          <w:sz w:val="24"/>
          <w:szCs w:val="24"/>
        </w:rPr>
        <w:t>Regidora</w:t>
      </w:r>
      <w:r>
        <w:rPr>
          <w:rFonts w:ascii="Arial" w:hAnsi="Arial" w:cs="Arial"/>
          <w:sz w:val="24"/>
          <w:szCs w:val="24"/>
        </w:rPr>
        <w:t xml:space="preserve">, le es negada la información necesaria para cumplir con la encomienda obtenida mediante el sufragio, corresponde a este </w:t>
      </w:r>
      <w:r>
        <w:rPr>
          <w:rFonts w:ascii="Arial" w:hAnsi="Arial" w:cs="Arial"/>
          <w:i/>
          <w:iCs/>
          <w:sz w:val="24"/>
          <w:szCs w:val="24"/>
        </w:rPr>
        <w:t>Tribunal</w:t>
      </w:r>
      <w:r>
        <w:rPr>
          <w:rFonts w:ascii="Arial" w:hAnsi="Arial" w:cs="Arial"/>
          <w:sz w:val="24"/>
          <w:szCs w:val="24"/>
        </w:rPr>
        <w:t xml:space="preserve"> </w:t>
      </w:r>
      <w:r>
        <w:rPr>
          <w:rFonts w:ascii="Arial" w:hAnsi="Arial" w:cs="Arial"/>
          <w:i/>
          <w:iCs/>
          <w:sz w:val="24"/>
          <w:szCs w:val="24"/>
        </w:rPr>
        <w:t>Electoral</w:t>
      </w:r>
      <w:r>
        <w:rPr>
          <w:rFonts w:ascii="Arial" w:hAnsi="Arial" w:cs="Arial"/>
          <w:sz w:val="24"/>
          <w:szCs w:val="24"/>
        </w:rPr>
        <w:t xml:space="preserve"> determinar si con ello se vulneró o no su derecho político a ser votado en la vertiente del desempeño al cargo</w:t>
      </w:r>
      <w:r>
        <w:rPr>
          <w:rStyle w:val="Refdenotaalpie"/>
          <w:rFonts w:ascii="Arial" w:hAnsi="Arial" w:cs="Arial"/>
          <w:sz w:val="24"/>
          <w:szCs w:val="24"/>
        </w:rPr>
        <w:footnoteReference w:id="39"/>
      </w:r>
      <w:r>
        <w:rPr>
          <w:rFonts w:ascii="Arial" w:hAnsi="Arial" w:cs="Arial"/>
          <w:sz w:val="24"/>
          <w:szCs w:val="24"/>
        </w:rPr>
        <w:t xml:space="preserve"> .</w:t>
      </w:r>
    </w:p>
    <w:p w14:paraId="0A761FCF" w14:textId="77777777" w:rsidR="000D1E58" w:rsidRDefault="00000000">
      <w:pPr>
        <w:pStyle w:val="Prrafodelista"/>
        <w:numPr>
          <w:ilvl w:val="0"/>
          <w:numId w:val="12"/>
        </w:numPr>
        <w:spacing w:before="240" w:after="0" w:line="360" w:lineRule="auto"/>
        <w:jc w:val="both"/>
        <w:rPr>
          <w:rFonts w:ascii="Arial" w:hAnsi="Arial" w:cs="Arial"/>
          <w:b/>
          <w:sz w:val="24"/>
          <w:szCs w:val="24"/>
        </w:rPr>
      </w:pPr>
      <w:r>
        <w:rPr>
          <w:rFonts w:ascii="Arial" w:hAnsi="Arial" w:cs="Arial"/>
          <w:b/>
          <w:sz w:val="24"/>
          <w:szCs w:val="24"/>
        </w:rPr>
        <w:t xml:space="preserve">Atribuciones de las y los regidores </w:t>
      </w:r>
    </w:p>
    <w:p w14:paraId="70AF0F9A" w14:textId="77777777" w:rsidR="000D1E58" w:rsidRDefault="00000000">
      <w:pPr>
        <w:spacing w:before="240" w:after="0" w:line="360" w:lineRule="auto"/>
        <w:jc w:val="both"/>
        <w:rPr>
          <w:rFonts w:ascii="Arial" w:hAnsi="Arial" w:cs="Arial"/>
          <w:color w:val="202124"/>
          <w:spacing w:val="3"/>
          <w:sz w:val="24"/>
          <w:szCs w:val="24"/>
          <w:shd w:val="clear" w:color="auto" w:fill="FFFFFF"/>
        </w:rPr>
      </w:pPr>
      <w:r>
        <w:rPr>
          <w:rFonts w:ascii="Arial" w:hAnsi="Arial" w:cs="Arial"/>
          <w:color w:val="202124"/>
          <w:spacing w:val="3"/>
          <w:sz w:val="24"/>
          <w:szCs w:val="24"/>
          <w:shd w:val="clear" w:color="auto" w:fill="FFFFFF"/>
        </w:rPr>
        <w:lastRenderedPageBreak/>
        <w:t xml:space="preserve">Los artículos 115, fracción I de la </w:t>
      </w:r>
      <w:r>
        <w:rPr>
          <w:rFonts w:ascii="Arial" w:hAnsi="Arial" w:cs="Arial"/>
          <w:i/>
          <w:color w:val="202124"/>
          <w:spacing w:val="3"/>
          <w:sz w:val="24"/>
          <w:szCs w:val="24"/>
          <w:shd w:val="clear" w:color="auto" w:fill="FFFFFF"/>
        </w:rPr>
        <w:t>Constitución General</w:t>
      </w:r>
      <w:r>
        <w:rPr>
          <w:rFonts w:ascii="Arial" w:hAnsi="Arial" w:cs="Arial"/>
          <w:color w:val="202124"/>
          <w:spacing w:val="3"/>
          <w:sz w:val="24"/>
          <w:szCs w:val="24"/>
          <w:shd w:val="clear" w:color="auto" w:fill="FFFFFF"/>
        </w:rPr>
        <w:t xml:space="preserve">, así como 14 y 17 de la </w:t>
      </w:r>
      <w:r>
        <w:rPr>
          <w:rFonts w:ascii="Arial" w:hAnsi="Arial" w:cs="Arial"/>
          <w:i/>
          <w:iCs/>
          <w:color w:val="202124"/>
          <w:spacing w:val="3"/>
          <w:sz w:val="24"/>
          <w:szCs w:val="24"/>
          <w:shd w:val="clear" w:color="auto" w:fill="FFFFFF"/>
        </w:rPr>
        <w:t>Ley Orgánica Municipal</w:t>
      </w:r>
      <w:r>
        <w:rPr>
          <w:rFonts w:ascii="Arial" w:hAnsi="Arial" w:cs="Arial"/>
          <w:color w:val="202124"/>
          <w:spacing w:val="3"/>
          <w:sz w:val="24"/>
          <w:szCs w:val="24"/>
          <w:shd w:val="clear" w:color="auto" w:fill="FFFFFF"/>
        </w:rPr>
        <w:t xml:space="preserve"> disponen que cada municipio será gobernado por un Ayuntamiento de elección popular directa, integrado por un Presidente o Presidenta Municipal y el número de regidurías y sindicaturas que la ley determine, de conformidad con el principio de paridad. </w:t>
      </w:r>
    </w:p>
    <w:p w14:paraId="06F68B1F" w14:textId="77777777" w:rsidR="000D1E58" w:rsidRDefault="00000000">
      <w:pPr>
        <w:spacing w:before="240" w:after="0" w:line="360" w:lineRule="auto"/>
        <w:jc w:val="both"/>
        <w:rPr>
          <w:rFonts w:ascii="Arial" w:hAnsi="Arial" w:cs="Arial"/>
          <w:color w:val="202124"/>
          <w:spacing w:val="3"/>
          <w:sz w:val="24"/>
          <w:szCs w:val="24"/>
          <w:shd w:val="clear" w:color="auto" w:fill="FFFFFF"/>
        </w:rPr>
      </w:pPr>
      <w:r>
        <w:rPr>
          <w:rFonts w:ascii="Arial" w:hAnsi="Arial" w:cs="Arial"/>
          <w:color w:val="202124"/>
          <w:spacing w:val="3"/>
          <w:sz w:val="24"/>
          <w:szCs w:val="24"/>
          <w:shd w:val="clear" w:color="auto" w:fill="FFFFFF"/>
        </w:rPr>
        <w:t xml:space="preserve">En cuanto al funcionamiento del Ayuntamiento como órgano colegiado, el artículo 48 de la </w:t>
      </w:r>
      <w:r>
        <w:rPr>
          <w:rFonts w:ascii="Arial" w:hAnsi="Arial" w:cs="Arial"/>
          <w:i/>
          <w:color w:val="202124"/>
          <w:spacing w:val="3"/>
          <w:sz w:val="24"/>
          <w:szCs w:val="24"/>
          <w:shd w:val="clear" w:color="auto" w:fill="FFFFFF"/>
        </w:rPr>
        <w:t xml:space="preserve">Ley Orgánica </w:t>
      </w:r>
      <w:r>
        <w:rPr>
          <w:rFonts w:ascii="Arial" w:hAnsi="Arial" w:cs="Arial"/>
          <w:i/>
          <w:iCs/>
          <w:color w:val="202124"/>
          <w:spacing w:val="3"/>
          <w:sz w:val="24"/>
          <w:szCs w:val="24"/>
          <w:shd w:val="clear" w:color="auto" w:fill="FFFFFF"/>
        </w:rPr>
        <w:t>Municipal</w:t>
      </w:r>
      <w:r>
        <w:rPr>
          <w:rFonts w:ascii="Arial" w:hAnsi="Arial" w:cs="Arial"/>
          <w:color w:val="202124"/>
          <w:spacing w:val="3"/>
          <w:sz w:val="24"/>
          <w:szCs w:val="24"/>
          <w:shd w:val="clear" w:color="auto" w:fill="FFFFFF"/>
        </w:rPr>
        <w:t xml:space="preserve"> establece que para estudiar, examinar y resolver los problemas municipales y vigilar que se ajusten a las disposiciones y acuerdos del Ayuntamiento, se designarán comisiones colegiadas entre sus integrantes; para ello, es necesario que cuenten con la información que les sea necesaria, misma que podrán solicitar tanto a los servidores municipales responsables de las áreas de su vinculación como de manera directa al Presidente.</w:t>
      </w:r>
    </w:p>
    <w:p w14:paraId="3B43E79F" w14:textId="77777777" w:rsidR="000D1E58" w:rsidRDefault="00000000">
      <w:pPr>
        <w:spacing w:before="240" w:after="0" w:line="360" w:lineRule="auto"/>
        <w:jc w:val="both"/>
        <w:rPr>
          <w:rFonts w:ascii="Arial" w:hAnsi="Arial" w:cs="Arial"/>
          <w:color w:val="202124"/>
          <w:spacing w:val="3"/>
          <w:sz w:val="24"/>
          <w:szCs w:val="24"/>
          <w:shd w:val="clear" w:color="auto" w:fill="FFFFFF"/>
        </w:rPr>
      </w:pPr>
      <w:r>
        <w:rPr>
          <w:rFonts w:ascii="Arial" w:hAnsi="Arial" w:cs="Arial"/>
          <w:color w:val="202124"/>
          <w:spacing w:val="3"/>
          <w:sz w:val="24"/>
          <w:szCs w:val="24"/>
          <w:shd w:val="clear" w:color="auto" w:fill="FFFFFF"/>
        </w:rPr>
        <w:t xml:space="preserve">Además, respecto de las </w:t>
      </w:r>
      <w:r>
        <w:rPr>
          <w:rFonts w:ascii="Arial" w:hAnsi="Arial" w:cs="Arial"/>
          <w:b/>
          <w:bCs/>
          <w:color w:val="202124"/>
          <w:spacing w:val="3"/>
          <w:sz w:val="24"/>
          <w:szCs w:val="24"/>
          <w:shd w:val="clear" w:color="auto" w:fill="FFFFFF"/>
        </w:rPr>
        <w:t>facultades de las regidurías</w:t>
      </w:r>
      <w:r>
        <w:rPr>
          <w:rFonts w:ascii="Arial" w:hAnsi="Arial" w:cs="Arial"/>
          <w:color w:val="202124"/>
          <w:spacing w:val="3"/>
          <w:sz w:val="24"/>
          <w:szCs w:val="24"/>
          <w:shd w:val="clear" w:color="auto" w:fill="FFFFFF"/>
        </w:rPr>
        <w:t xml:space="preserve"> previstas en el artículo 68 de la </w:t>
      </w:r>
      <w:r>
        <w:rPr>
          <w:rFonts w:ascii="Arial" w:hAnsi="Arial" w:cs="Arial"/>
          <w:i/>
          <w:iCs/>
          <w:color w:val="202124"/>
          <w:spacing w:val="3"/>
          <w:sz w:val="24"/>
          <w:szCs w:val="24"/>
          <w:shd w:val="clear" w:color="auto" w:fill="FFFFFF"/>
        </w:rPr>
        <w:t>Ley Orgánica Municipal</w:t>
      </w:r>
      <w:r>
        <w:rPr>
          <w:rFonts w:ascii="Arial" w:hAnsi="Arial" w:cs="Arial"/>
          <w:color w:val="202124"/>
          <w:spacing w:val="3"/>
          <w:sz w:val="24"/>
          <w:szCs w:val="24"/>
          <w:shd w:val="clear" w:color="auto" w:fill="FFFFFF"/>
        </w:rPr>
        <w:t xml:space="preserve">, entre otras, se establece la de acudir con derecho a voz y voto a las sesiones del Ayuntamiento, así como vigilar el cumplimiento de sus acuerdos; analizar, discutir y </w:t>
      </w:r>
      <w:r>
        <w:rPr>
          <w:rFonts w:ascii="Arial" w:hAnsi="Arial" w:cs="Arial"/>
          <w:b/>
          <w:bCs/>
          <w:color w:val="202124"/>
          <w:spacing w:val="3"/>
          <w:sz w:val="24"/>
          <w:szCs w:val="24"/>
          <w:shd w:val="clear" w:color="auto" w:fill="FFFFFF"/>
        </w:rPr>
        <w:t>votar</w:t>
      </w:r>
      <w:r>
        <w:rPr>
          <w:rFonts w:ascii="Arial" w:hAnsi="Arial" w:cs="Arial"/>
          <w:color w:val="202124"/>
          <w:spacing w:val="3"/>
          <w:sz w:val="24"/>
          <w:szCs w:val="24"/>
          <w:shd w:val="clear" w:color="auto" w:fill="FFFFFF"/>
        </w:rPr>
        <w:t xml:space="preserve"> los asuntos que se sometan a acuerdo del Ayuntamiento en las sesiones, así como solicitar y recibir toda la información sobre los asuntos que se tratarán en las sesiones; participar en la supervisión de los estados financiero y patrimonial del Municipio y de la situación en general del Ayuntamiento, con los planes y programas municipales y vigilar que se cumplan las disposiciones que se establecen en las disposiciones aplicables.</w:t>
      </w:r>
    </w:p>
    <w:p w14:paraId="3719A3EA" w14:textId="77777777" w:rsidR="000D1E58" w:rsidRDefault="00000000">
      <w:pPr>
        <w:spacing w:before="240" w:after="0" w:line="360" w:lineRule="auto"/>
        <w:jc w:val="both"/>
        <w:rPr>
          <w:rFonts w:ascii="Arial" w:hAnsi="Arial" w:cs="Arial"/>
          <w:color w:val="202124"/>
          <w:spacing w:val="3"/>
          <w:sz w:val="24"/>
          <w:szCs w:val="24"/>
          <w:shd w:val="clear" w:color="auto" w:fill="FFFFFF"/>
        </w:rPr>
      </w:pPr>
      <w:r>
        <w:rPr>
          <w:rFonts w:ascii="Arial" w:hAnsi="Arial" w:cs="Arial"/>
          <w:color w:val="202124"/>
          <w:spacing w:val="3"/>
          <w:sz w:val="24"/>
          <w:szCs w:val="24"/>
          <w:shd w:val="clear" w:color="auto" w:fill="FFFFFF"/>
        </w:rPr>
        <w:t xml:space="preserve">Por lo tanto, la </w:t>
      </w:r>
      <w:r>
        <w:rPr>
          <w:rFonts w:ascii="Arial" w:hAnsi="Arial" w:cs="Arial"/>
          <w:b/>
          <w:bCs/>
          <w:color w:val="202124"/>
          <w:spacing w:val="3"/>
          <w:sz w:val="24"/>
          <w:szCs w:val="24"/>
          <w:shd w:val="clear" w:color="auto" w:fill="FFFFFF"/>
        </w:rPr>
        <w:t>función de las regidurías</w:t>
      </w:r>
      <w:r>
        <w:rPr>
          <w:rFonts w:ascii="Arial" w:hAnsi="Arial" w:cs="Arial"/>
          <w:color w:val="202124"/>
          <w:spacing w:val="3"/>
          <w:sz w:val="24"/>
          <w:szCs w:val="24"/>
          <w:shd w:val="clear" w:color="auto" w:fill="FFFFFF"/>
        </w:rPr>
        <w:t xml:space="preserve"> conlleva la realización de diversos principios vinculados con su derecho político-electoral de ser votados en la vertiente del desempeño del cargo y que son los de una efectiva representación política, vigilancia de los recursos públicos, deliberación política, rendición de cuentas y transparencia. </w:t>
      </w:r>
    </w:p>
    <w:p w14:paraId="6DB22A16" w14:textId="77777777" w:rsidR="000D1E58" w:rsidRDefault="00000000">
      <w:pPr>
        <w:spacing w:before="240" w:after="0" w:line="360" w:lineRule="auto"/>
        <w:jc w:val="both"/>
        <w:rPr>
          <w:rFonts w:ascii="Arial" w:hAnsi="Arial" w:cs="Arial"/>
          <w:color w:val="202124"/>
          <w:spacing w:val="3"/>
          <w:sz w:val="24"/>
          <w:szCs w:val="24"/>
          <w:shd w:val="clear" w:color="auto" w:fill="FFFFFF"/>
        </w:rPr>
      </w:pPr>
      <w:r>
        <w:rPr>
          <w:rFonts w:ascii="Arial" w:hAnsi="Arial" w:cs="Arial"/>
          <w:color w:val="202124"/>
          <w:spacing w:val="3"/>
          <w:sz w:val="24"/>
          <w:szCs w:val="24"/>
          <w:shd w:val="clear" w:color="auto" w:fill="FFFFFF"/>
        </w:rPr>
        <w:t xml:space="preserve">Bajo dichos parámetros, el acceso a la información se maximiza volviéndose fundamental para el desempeño de las funciones -vigilancia y decisión-, pues de lo contrario, implicaría que el funcionario en el ejercicio del servicio público </w:t>
      </w:r>
      <w:r>
        <w:rPr>
          <w:rFonts w:ascii="Arial" w:hAnsi="Arial" w:cs="Arial"/>
          <w:color w:val="202124"/>
          <w:spacing w:val="3"/>
          <w:sz w:val="24"/>
          <w:szCs w:val="24"/>
          <w:shd w:val="clear" w:color="auto" w:fill="FFFFFF"/>
        </w:rPr>
        <w:lastRenderedPageBreak/>
        <w:t>no cuente con la información necesaria para decidir sobre la representación política que ejercen y que les fue mandatada constitucional y legalmente.</w:t>
      </w:r>
    </w:p>
    <w:p w14:paraId="67058547" w14:textId="77777777" w:rsidR="000D1E58" w:rsidRDefault="00000000">
      <w:pPr>
        <w:spacing w:before="240" w:after="0" w:line="360" w:lineRule="auto"/>
        <w:jc w:val="both"/>
        <w:rPr>
          <w:rFonts w:ascii="Arial" w:hAnsi="Arial" w:cs="Arial"/>
          <w:color w:val="202124"/>
          <w:spacing w:val="3"/>
          <w:sz w:val="24"/>
          <w:szCs w:val="24"/>
          <w:shd w:val="clear" w:color="auto" w:fill="FFFFFF"/>
        </w:rPr>
      </w:pPr>
      <w:r>
        <w:rPr>
          <w:rFonts w:ascii="Arial" w:hAnsi="Arial" w:cs="Arial"/>
          <w:color w:val="202124"/>
          <w:spacing w:val="3"/>
          <w:sz w:val="24"/>
          <w:szCs w:val="24"/>
          <w:shd w:val="clear" w:color="auto" w:fill="FFFFFF"/>
        </w:rPr>
        <w:t>Siendo aplicable además lo establecido en el artículo 35, fracción V de la Constitución Federal que establece que es un derecho de la ciudadanía poder ejercer el derecho de petición en toda clase de negocios.</w:t>
      </w:r>
    </w:p>
    <w:p w14:paraId="59D6D539" w14:textId="77777777" w:rsidR="000D1E58" w:rsidRDefault="00000000">
      <w:pPr>
        <w:pStyle w:val="Prrafodelista"/>
        <w:numPr>
          <w:ilvl w:val="0"/>
          <w:numId w:val="15"/>
        </w:numPr>
        <w:spacing w:before="240" w:after="0" w:line="360" w:lineRule="auto"/>
        <w:jc w:val="both"/>
        <w:rPr>
          <w:rFonts w:ascii="Arial" w:hAnsi="Arial" w:cs="Arial"/>
          <w:b/>
          <w:bCs/>
          <w:color w:val="202124"/>
          <w:spacing w:val="3"/>
          <w:sz w:val="24"/>
          <w:szCs w:val="24"/>
          <w:shd w:val="clear" w:color="auto" w:fill="FFFFFF"/>
        </w:rPr>
      </w:pPr>
      <w:r>
        <w:rPr>
          <w:rFonts w:ascii="Arial" w:hAnsi="Arial" w:cs="Arial"/>
          <w:b/>
          <w:bCs/>
          <w:color w:val="202124"/>
          <w:spacing w:val="3"/>
          <w:sz w:val="24"/>
          <w:szCs w:val="24"/>
          <w:shd w:val="clear" w:color="auto" w:fill="FFFFFF"/>
        </w:rPr>
        <w:t>Juzgar con perspectiva de género</w:t>
      </w:r>
    </w:p>
    <w:p w14:paraId="21BEE325" w14:textId="77777777" w:rsidR="000D1E58" w:rsidRDefault="00000000">
      <w:pPr>
        <w:spacing w:before="240" w:after="0" w:line="360" w:lineRule="auto"/>
        <w:jc w:val="both"/>
        <w:rPr>
          <w:rFonts w:ascii="Arial" w:hAnsi="Arial" w:cs="Arial"/>
          <w:sz w:val="24"/>
          <w:szCs w:val="24"/>
        </w:rPr>
      </w:pPr>
      <w:r>
        <w:rPr>
          <w:rFonts w:ascii="Arial" w:hAnsi="Arial" w:cs="Arial"/>
          <w:color w:val="202124"/>
          <w:spacing w:val="3"/>
          <w:sz w:val="24"/>
          <w:szCs w:val="24"/>
          <w:shd w:val="clear" w:color="auto" w:fill="FFFFFF"/>
        </w:rPr>
        <w:t xml:space="preserve">La </w:t>
      </w:r>
      <w:r w:rsidRPr="008E43C8">
        <w:rPr>
          <w:rFonts w:ascii="Arial" w:hAnsi="Arial" w:cs="Arial"/>
          <w:i/>
          <w:iCs/>
          <w:color w:val="202124"/>
          <w:spacing w:val="3"/>
          <w:sz w:val="24"/>
          <w:szCs w:val="24"/>
          <w:shd w:val="clear" w:color="auto" w:fill="FFFFFF"/>
        </w:rPr>
        <w:t>actora</w:t>
      </w:r>
      <w:r>
        <w:rPr>
          <w:rFonts w:ascii="Arial" w:hAnsi="Arial" w:cs="Arial"/>
          <w:color w:val="202124"/>
          <w:spacing w:val="3"/>
          <w:sz w:val="24"/>
          <w:szCs w:val="24"/>
          <w:shd w:val="clear" w:color="auto" w:fill="FFFFFF"/>
        </w:rPr>
        <w:t xml:space="preserve"> aduce diversas omisiones, que estima vulneran sus derechos político electorales, en la vertiente del desempeño del cargo para el cual fue electa en condiciones de igualdad de oportunidades y no discriminación de la mujer en la vida política y pública, por lo que el análisis de esta controversia se efectuará utilizando la perspectiva de género, </w:t>
      </w:r>
      <w:r>
        <w:rPr>
          <w:rFonts w:ascii="Arial" w:hAnsi="Arial" w:cs="Arial"/>
          <w:sz w:val="24"/>
          <w:szCs w:val="24"/>
        </w:rPr>
        <w:t>metodología que reconoce la situación de desventaja en la cual las mujeres se han encontrado históricamente, como consecuencia de la construcción que socioculturalmente se ha desarrollado en relación con la posición y rol que debieran asumir</w:t>
      </w:r>
      <w:r>
        <w:rPr>
          <w:rFonts w:ascii="Arial" w:hAnsi="Arial" w:cs="Arial"/>
          <w:sz w:val="24"/>
          <w:szCs w:val="24"/>
          <w:vertAlign w:val="superscript"/>
        </w:rPr>
        <w:footnoteReference w:id="40"/>
      </w:r>
      <w:r>
        <w:rPr>
          <w:rFonts w:ascii="Arial" w:hAnsi="Arial" w:cs="Arial"/>
          <w:sz w:val="24"/>
          <w:szCs w:val="24"/>
        </w:rPr>
        <w:t>.</w:t>
      </w:r>
    </w:p>
    <w:p w14:paraId="331CCA73" w14:textId="77777777" w:rsidR="000D1E58" w:rsidRDefault="00000000">
      <w:pPr>
        <w:spacing w:before="240" w:after="0" w:line="360" w:lineRule="auto"/>
        <w:jc w:val="both"/>
        <w:rPr>
          <w:rFonts w:ascii="Arial" w:hAnsi="Arial" w:cs="Arial"/>
          <w:color w:val="202124"/>
          <w:spacing w:val="3"/>
          <w:sz w:val="24"/>
          <w:szCs w:val="24"/>
          <w:shd w:val="clear" w:color="auto" w:fill="FFFFFF"/>
          <w:vertAlign w:val="superscript"/>
        </w:rPr>
      </w:pPr>
      <w:r>
        <w:rPr>
          <w:rFonts w:ascii="Arial" w:hAnsi="Arial" w:cs="Arial"/>
          <w:color w:val="202124"/>
          <w:spacing w:val="3"/>
          <w:sz w:val="24"/>
          <w:szCs w:val="24"/>
          <w:shd w:val="clear" w:color="auto" w:fill="FFFFFF"/>
        </w:rPr>
        <w:t>En ese sentido, al juzgar se deben considerar las situaciones de desventaja que, por cuestiones de género, discriminan e impiden la igualdad de las mujeres. Esto impone cuestionar prejuicios o estereotipos, sobre todo cuando es factible que existan factores que potencialicen la discriminación (pobreza, barreras culturales o lingüísticas)</w:t>
      </w:r>
      <w:r>
        <w:rPr>
          <w:rFonts w:ascii="Arial" w:hAnsi="Arial" w:cs="Arial"/>
          <w:color w:val="202124"/>
          <w:spacing w:val="3"/>
          <w:sz w:val="24"/>
          <w:szCs w:val="24"/>
          <w:shd w:val="clear" w:color="auto" w:fill="FFFFFF"/>
          <w:vertAlign w:val="superscript"/>
        </w:rPr>
        <w:footnoteReference w:id="41"/>
      </w:r>
      <w:r>
        <w:rPr>
          <w:rFonts w:ascii="Arial" w:hAnsi="Arial" w:cs="Arial"/>
          <w:color w:val="202124"/>
          <w:spacing w:val="3"/>
          <w:sz w:val="24"/>
          <w:szCs w:val="24"/>
          <w:shd w:val="clear" w:color="auto" w:fill="FFFFFF"/>
        </w:rPr>
        <w:t>. Así, también supone, en términos generales, que quienes juzgan deben remediar oficiosamente, potenciales efectos discriminatorios que el ordenamiento jurídico o las prácticas institucionales pueden tener en detrimento de las mujeres</w:t>
      </w:r>
      <w:r>
        <w:rPr>
          <w:rFonts w:ascii="Arial" w:hAnsi="Arial" w:cs="Arial"/>
          <w:color w:val="202124"/>
          <w:spacing w:val="3"/>
          <w:sz w:val="24"/>
          <w:szCs w:val="24"/>
          <w:shd w:val="clear" w:color="auto" w:fill="FFFFFF"/>
          <w:vertAlign w:val="superscript"/>
        </w:rPr>
        <w:footnoteReference w:id="42"/>
      </w:r>
      <w:r>
        <w:rPr>
          <w:rFonts w:ascii="Arial" w:hAnsi="Arial" w:cs="Arial"/>
          <w:color w:val="202124"/>
          <w:spacing w:val="3"/>
          <w:sz w:val="24"/>
          <w:szCs w:val="24"/>
          <w:shd w:val="clear" w:color="auto" w:fill="FFFFFF"/>
          <w:vertAlign w:val="superscript"/>
        </w:rPr>
        <w:t>.</w:t>
      </w:r>
    </w:p>
    <w:p w14:paraId="728F669B" w14:textId="77777777" w:rsidR="000D1E58" w:rsidRDefault="00000000">
      <w:pPr>
        <w:pStyle w:val="Prrafodelista"/>
        <w:numPr>
          <w:ilvl w:val="0"/>
          <w:numId w:val="12"/>
        </w:numPr>
        <w:spacing w:before="240" w:after="0" w:line="360" w:lineRule="auto"/>
        <w:jc w:val="both"/>
        <w:rPr>
          <w:rFonts w:ascii="Arial" w:hAnsi="Arial" w:cs="Arial"/>
          <w:b/>
          <w:sz w:val="24"/>
          <w:szCs w:val="24"/>
        </w:rPr>
      </w:pPr>
      <w:r>
        <w:rPr>
          <w:rFonts w:ascii="Arial" w:hAnsi="Arial" w:cs="Arial"/>
          <w:b/>
          <w:sz w:val="24"/>
          <w:szCs w:val="24"/>
        </w:rPr>
        <w:t>Notificaciones</w:t>
      </w:r>
    </w:p>
    <w:p w14:paraId="0260376E" w14:textId="77777777" w:rsidR="000D1E58" w:rsidRDefault="00000000">
      <w:pPr>
        <w:spacing w:before="240" w:after="240" w:line="360" w:lineRule="auto"/>
        <w:jc w:val="both"/>
        <w:rPr>
          <w:rFonts w:ascii="Arial" w:eastAsia="Arial" w:hAnsi="Arial" w:cs="Arial"/>
          <w:sz w:val="24"/>
          <w:szCs w:val="24"/>
        </w:rPr>
      </w:pPr>
      <w:r>
        <w:rPr>
          <w:rFonts w:ascii="Arial" w:eastAsia="Arial" w:hAnsi="Arial" w:cs="Arial"/>
          <w:sz w:val="24"/>
          <w:szCs w:val="24"/>
        </w:rPr>
        <w:lastRenderedPageBreak/>
        <w:t xml:space="preserve">La notificación constituye un acto procesal por medio del cual la autoridad entera a las partes de las actuaciones realizadas en un proceso, a fin de que surtan sus efectos. </w:t>
      </w:r>
    </w:p>
    <w:p w14:paraId="403B38D3" w14:textId="77777777" w:rsidR="000D1E5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Así, su importancia radica en que las partes deben </w:t>
      </w:r>
      <w:r>
        <w:rPr>
          <w:rFonts w:ascii="Arial" w:eastAsia="Arial" w:hAnsi="Arial" w:cs="Arial"/>
          <w:b/>
          <w:bCs/>
          <w:sz w:val="24"/>
          <w:szCs w:val="24"/>
        </w:rPr>
        <w:t>tener conocimiento</w:t>
      </w:r>
      <w:r>
        <w:rPr>
          <w:rFonts w:ascii="Arial" w:eastAsia="Arial" w:hAnsi="Arial" w:cs="Arial"/>
          <w:sz w:val="24"/>
          <w:szCs w:val="24"/>
        </w:rPr>
        <w:t xml:space="preserve"> de las actuaciones realizadas en el juicio o procedimiento a efecto de que tengan preciso su contenido y las consecuencias inherentes y, en su caso, estén en aptitud de impugnarlas si las consideran lesivas a sus intereses.</w:t>
      </w:r>
    </w:p>
    <w:p w14:paraId="3AFFC388" w14:textId="77777777" w:rsidR="000D1E58" w:rsidRDefault="00000000">
      <w:pPr>
        <w:spacing w:before="240" w:after="240" w:line="360" w:lineRule="auto"/>
        <w:jc w:val="both"/>
        <w:rPr>
          <w:rFonts w:ascii="Arial" w:eastAsia="Arial" w:hAnsi="Arial" w:cs="Arial"/>
          <w:sz w:val="24"/>
          <w:szCs w:val="24"/>
        </w:rPr>
      </w:pPr>
      <w:r>
        <w:rPr>
          <w:rFonts w:ascii="Arial" w:eastAsia="Arial" w:hAnsi="Arial" w:cs="Arial"/>
          <w:sz w:val="24"/>
          <w:szCs w:val="24"/>
        </w:rPr>
        <w:t xml:space="preserve">De tal forma que es dable afirmar que se trata de actos procesales de máxima relevancia, en tanto que si no se llevan a cabo mediante las formalidades establecidas en la ley aplicable, existe una trasgresión a la garantía de audiencia consagrada en el artículo 14 de la </w:t>
      </w:r>
      <w:r>
        <w:rPr>
          <w:rFonts w:ascii="Arial" w:eastAsia="Arial" w:hAnsi="Arial" w:cs="Arial"/>
          <w:i/>
          <w:sz w:val="24"/>
          <w:szCs w:val="24"/>
        </w:rPr>
        <w:t>Constitución Federal,</w:t>
      </w:r>
      <w:r>
        <w:rPr>
          <w:rFonts w:ascii="Arial" w:eastAsia="Arial" w:hAnsi="Arial" w:cs="Arial"/>
          <w:sz w:val="24"/>
          <w:szCs w:val="24"/>
        </w:rPr>
        <w:t xml:space="preserve"> que puede llegar a la consecuencia de que las partes carezcan de oportunidad para controvertir las determinaciones de quien las dicta, lo que deja en estado de indefensión a las partes que pretendan impugnar dichas determinaciones dentro de los plazos para ello establecidos.</w:t>
      </w:r>
    </w:p>
    <w:p w14:paraId="00FD10D3" w14:textId="77777777" w:rsidR="000D1E58" w:rsidRDefault="00000000">
      <w:pPr>
        <w:spacing w:before="240" w:after="240" w:line="360" w:lineRule="auto"/>
        <w:jc w:val="both"/>
        <w:rPr>
          <w:rFonts w:ascii="Arial" w:eastAsia="Arial" w:hAnsi="Arial" w:cs="Arial"/>
          <w:sz w:val="24"/>
          <w:szCs w:val="24"/>
        </w:rPr>
      </w:pPr>
      <w:r>
        <w:rPr>
          <w:rFonts w:ascii="Arial" w:eastAsia="Arial" w:hAnsi="Arial" w:cs="Arial"/>
          <w:sz w:val="24"/>
          <w:szCs w:val="24"/>
        </w:rPr>
        <w:t xml:space="preserve">Es por lo anterior que, si la </w:t>
      </w:r>
      <w:r>
        <w:rPr>
          <w:rFonts w:ascii="Arial" w:eastAsia="Arial" w:hAnsi="Arial" w:cs="Arial"/>
          <w:b/>
          <w:bCs/>
          <w:sz w:val="24"/>
          <w:szCs w:val="24"/>
        </w:rPr>
        <w:t>finalidad de la notificación</w:t>
      </w:r>
      <w:r>
        <w:rPr>
          <w:rFonts w:ascii="Arial" w:eastAsia="Arial" w:hAnsi="Arial" w:cs="Arial"/>
          <w:sz w:val="24"/>
          <w:szCs w:val="24"/>
        </w:rPr>
        <w:t xml:space="preserve"> se centra en hacer del conocimiento de las partes del asunto, un acto o resolución, su incorrecta práctica se supera cuando el promovente se hace sabedor del acto o resolución impugnado.</w:t>
      </w:r>
    </w:p>
    <w:p w14:paraId="077B2F05" w14:textId="77777777" w:rsidR="000D1E58" w:rsidRDefault="00000000">
      <w:pPr>
        <w:pStyle w:val="Ttulo2"/>
        <w:spacing w:before="240" w:line="360" w:lineRule="auto"/>
        <w:jc w:val="both"/>
        <w:rPr>
          <w:rFonts w:ascii="Arial" w:hAnsi="Arial" w:cs="Arial"/>
          <w:b/>
          <w:bCs/>
          <w:color w:val="auto"/>
          <w:sz w:val="24"/>
          <w:szCs w:val="24"/>
        </w:rPr>
      </w:pPr>
      <w:bookmarkStart w:id="16" w:name="_Toc193363698"/>
      <w:r>
        <w:rPr>
          <w:rFonts w:ascii="Arial" w:hAnsi="Arial" w:cs="Arial"/>
          <w:b/>
          <w:bCs/>
          <w:color w:val="auto"/>
          <w:sz w:val="24"/>
          <w:szCs w:val="24"/>
        </w:rPr>
        <w:t>8.5 Decisión</w:t>
      </w:r>
      <w:bookmarkEnd w:id="16"/>
    </w:p>
    <w:p w14:paraId="1BC7876B" w14:textId="77777777" w:rsidR="000D1E58" w:rsidRDefault="00000000">
      <w:pPr>
        <w:tabs>
          <w:tab w:val="left" w:pos="567"/>
        </w:tabs>
        <w:spacing w:before="240" w:after="0" w:line="360" w:lineRule="auto"/>
        <w:ind w:right="-40"/>
        <w:jc w:val="both"/>
        <w:rPr>
          <w:rFonts w:ascii="Arial" w:hAnsi="Arial" w:cs="Arial"/>
          <w:sz w:val="24"/>
          <w:szCs w:val="24"/>
        </w:rPr>
      </w:pPr>
      <w:r>
        <w:rPr>
          <w:rFonts w:ascii="Arial" w:hAnsi="Arial" w:cs="Arial"/>
          <w:sz w:val="24"/>
          <w:szCs w:val="24"/>
        </w:rPr>
        <w:t xml:space="preserve">Este órgano jurisdiccional considera </w:t>
      </w:r>
      <w:r>
        <w:rPr>
          <w:rFonts w:ascii="Arial" w:hAnsi="Arial" w:cs="Arial"/>
          <w:b/>
          <w:bCs/>
          <w:sz w:val="24"/>
          <w:szCs w:val="24"/>
        </w:rPr>
        <w:t xml:space="preserve">infundados </w:t>
      </w:r>
      <w:r>
        <w:rPr>
          <w:rFonts w:ascii="Arial" w:hAnsi="Arial" w:cs="Arial"/>
          <w:sz w:val="24"/>
          <w:szCs w:val="24"/>
        </w:rPr>
        <w:t xml:space="preserve">los agravios </w:t>
      </w:r>
      <w:r>
        <w:rPr>
          <w:rFonts w:ascii="Arial" w:hAnsi="Arial" w:cs="Arial"/>
          <w:b/>
          <w:bCs/>
          <w:sz w:val="24"/>
          <w:szCs w:val="24"/>
        </w:rPr>
        <w:t xml:space="preserve">a) </w:t>
      </w:r>
      <w:r>
        <w:rPr>
          <w:rFonts w:ascii="Arial" w:hAnsi="Arial" w:cs="Arial"/>
          <w:sz w:val="24"/>
          <w:szCs w:val="24"/>
        </w:rPr>
        <w:t>y</w:t>
      </w:r>
      <w:r>
        <w:rPr>
          <w:rFonts w:ascii="Arial" w:hAnsi="Arial" w:cs="Arial"/>
          <w:b/>
          <w:bCs/>
          <w:sz w:val="24"/>
          <w:szCs w:val="24"/>
        </w:rPr>
        <w:t xml:space="preserve"> b), </w:t>
      </w:r>
      <w:r>
        <w:rPr>
          <w:rFonts w:ascii="Arial" w:hAnsi="Arial" w:cs="Arial"/>
          <w:sz w:val="24"/>
          <w:szCs w:val="24"/>
        </w:rPr>
        <w:t xml:space="preserve">relacionados con la omisión del </w:t>
      </w:r>
      <w:r>
        <w:rPr>
          <w:rFonts w:ascii="Arial" w:hAnsi="Arial" w:cs="Arial"/>
          <w:i/>
          <w:iCs/>
          <w:sz w:val="24"/>
          <w:szCs w:val="24"/>
        </w:rPr>
        <w:t xml:space="preserve">Presidente Municipal </w:t>
      </w:r>
      <w:r>
        <w:rPr>
          <w:rFonts w:ascii="Arial" w:hAnsi="Arial" w:cs="Arial"/>
          <w:sz w:val="24"/>
          <w:szCs w:val="24"/>
        </w:rPr>
        <w:t xml:space="preserve">y </w:t>
      </w:r>
      <w:r>
        <w:rPr>
          <w:rFonts w:ascii="Arial" w:hAnsi="Arial" w:cs="Arial"/>
          <w:i/>
          <w:iCs/>
          <w:sz w:val="24"/>
          <w:szCs w:val="24"/>
        </w:rPr>
        <w:t>Secretario,</w:t>
      </w:r>
      <w:r>
        <w:rPr>
          <w:rFonts w:ascii="Arial" w:hAnsi="Arial" w:cs="Arial"/>
          <w:sz w:val="24"/>
          <w:szCs w:val="24"/>
        </w:rPr>
        <w:t xml:space="preserve"> de convocarla a la </w:t>
      </w:r>
      <w:r>
        <w:rPr>
          <w:rFonts w:ascii="Arial" w:hAnsi="Arial" w:cs="Arial"/>
          <w:i/>
          <w:iCs/>
          <w:sz w:val="24"/>
          <w:szCs w:val="24"/>
        </w:rPr>
        <w:t>Sesión Ordinaria 002</w:t>
      </w:r>
      <w:r>
        <w:rPr>
          <w:rFonts w:ascii="Arial" w:hAnsi="Arial" w:cs="Arial"/>
          <w:sz w:val="24"/>
          <w:szCs w:val="24"/>
        </w:rPr>
        <w:t>, y la omisión de proporcionarle la información documental relativa a los puntos desahogados en la sesión en cita.</w:t>
      </w:r>
    </w:p>
    <w:p w14:paraId="50A2E67B" w14:textId="77777777" w:rsidR="000D1E58" w:rsidRDefault="00000000">
      <w:pPr>
        <w:tabs>
          <w:tab w:val="left" w:pos="567"/>
        </w:tabs>
        <w:spacing w:before="240" w:after="0" w:line="360" w:lineRule="auto"/>
        <w:ind w:right="-40"/>
        <w:jc w:val="both"/>
        <w:rPr>
          <w:rFonts w:ascii="Arial" w:hAnsi="Arial" w:cs="Arial"/>
          <w:sz w:val="24"/>
          <w:szCs w:val="24"/>
        </w:rPr>
      </w:pPr>
      <w:r>
        <w:rPr>
          <w:rFonts w:ascii="Arial" w:hAnsi="Arial" w:cs="Arial"/>
          <w:sz w:val="24"/>
          <w:szCs w:val="24"/>
        </w:rPr>
        <w:t xml:space="preserve">Al respecto, la </w:t>
      </w:r>
      <w:r>
        <w:rPr>
          <w:rFonts w:ascii="Arial" w:hAnsi="Arial" w:cs="Arial"/>
          <w:i/>
          <w:iCs/>
          <w:sz w:val="24"/>
          <w:szCs w:val="24"/>
        </w:rPr>
        <w:t>actora</w:t>
      </w:r>
      <w:r>
        <w:rPr>
          <w:rFonts w:ascii="Arial" w:hAnsi="Arial" w:cs="Arial"/>
          <w:sz w:val="24"/>
          <w:szCs w:val="24"/>
        </w:rPr>
        <w:t xml:space="preserve"> estima que con ello se vulnera su derecho de ser votada en la vertiente del ejercicio efectivo del cargo como </w:t>
      </w:r>
      <w:r>
        <w:rPr>
          <w:rFonts w:ascii="Arial" w:hAnsi="Arial" w:cs="Arial"/>
          <w:i/>
          <w:iCs/>
          <w:sz w:val="24"/>
          <w:szCs w:val="24"/>
        </w:rPr>
        <w:t>Regidora</w:t>
      </w:r>
      <w:r>
        <w:rPr>
          <w:rFonts w:ascii="Arial" w:hAnsi="Arial" w:cs="Arial"/>
          <w:sz w:val="24"/>
          <w:szCs w:val="24"/>
        </w:rPr>
        <w:t xml:space="preserve">, al considerar que, las conductas omisas de las </w:t>
      </w:r>
      <w:r>
        <w:rPr>
          <w:rFonts w:ascii="Arial" w:hAnsi="Arial" w:cs="Arial"/>
          <w:i/>
          <w:iCs/>
          <w:sz w:val="24"/>
          <w:szCs w:val="24"/>
        </w:rPr>
        <w:t>autoridades responsables</w:t>
      </w:r>
      <w:r>
        <w:rPr>
          <w:rFonts w:ascii="Arial" w:hAnsi="Arial" w:cs="Arial"/>
          <w:sz w:val="24"/>
          <w:szCs w:val="24"/>
        </w:rPr>
        <w:t xml:space="preserve"> tienen la intencionalidad de mermar su participación efectiva en las decisiones del </w:t>
      </w:r>
      <w:r>
        <w:rPr>
          <w:rFonts w:ascii="Arial" w:hAnsi="Arial" w:cs="Arial"/>
          <w:i/>
          <w:iCs/>
          <w:sz w:val="24"/>
          <w:szCs w:val="24"/>
        </w:rPr>
        <w:t>Ayuntamiento</w:t>
      </w:r>
      <w:r>
        <w:rPr>
          <w:rFonts w:ascii="Arial" w:hAnsi="Arial" w:cs="Arial"/>
          <w:sz w:val="24"/>
          <w:szCs w:val="24"/>
        </w:rPr>
        <w:t xml:space="preserve"> en condiciones de paridad, igualdad de oportunidades y no discriminación, como expresión de su derecho humano.</w:t>
      </w:r>
    </w:p>
    <w:p w14:paraId="1470CD46" w14:textId="77777777" w:rsidR="000D1E58" w:rsidRDefault="00000000">
      <w:pPr>
        <w:tabs>
          <w:tab w:val="left" w:pos="567"/>
        </w:tabs>
        <w:spacing w:before="240" w:after="0" w:line="360" w:lineRule="auto"/>
        <w:ind w:right="-40"/>
        <w:jc w:val="both"/>
        <w:rPr>
          <w:rFonts w:ascii="Arial" w:hAnsi="Arial" w:cs="Arial"/>
          <w:sz w:val="24"/>
          <w:szCs w:val="24"/>
        </w:rPr>
      </w:pPr>
      <w:r>
        <w:rPr>
          <w:rFonts w:ascii="Arial" w:hAnsi="Arial" w:cs="Arial"/>
          <w:sz w:val="24"/>
          <w:szCs w:val="24"/>
        </w:rPr>
        <w:lastRenderedPageBreak/>
        <w:t xml:space="preserve">En este sentido, señala que el veintisiete de enero, se enteró por tercera persona de la sesión en cita a celebrarse al día siguiente, por lo que en esa misma data presentó escrito dirigido a las </w:t>
      </w:r>
      <w:r>
        <w:rPr>
          <w:rFonts w:ascii="Arial" w:hAnsi="Arial" w:cs="Arial"/>
          <w:i/>
          <w:iCs/>
          <w:sz w:val="24"/>
          <w:szCs w:val="24"/>
        </w:rPr>
        <w:t>autoridades responsables</w:t>
      </w:r>
      <w:r>
        <w:rPr>
          <w:rFonts w:ascii="Arial" w:hAnsi="Arial" w:cs="Arial"/>
          <w:sz w:val="24"/>
          <w:szCs w:val="24"/>
        </w:rPr>
        <w:t xml:space="preserve">, en el que les manifestó que no había sido convocada, ni le habían proporcionado la información correspondiente, por lo que les requirió la convocaran a la sesión y le proporcionaran la información y documentación respecto de los asuntos a tratar en la sesión a celebrarse al día siguiente; pues considera que solo así podría participar de manera oportuna, plena y eficaz en la deliberación, debate y vigilancia </w:t>
      </w:r>
      <w:r w:rsidRPr="00121FBD">
        <w:rPr>
          <w:rFonts w:ascii="Arial" w:hAnsi="Arial" w:cs="Arial"/>
          <w:sz w:val="24"/>
          <w:szCs w:val="24"/>
        </w:rPr>
        <w:t xml:space="preserve">de los actos de la administración pública en los términos que la faculta el artículo 68 de la </w:t>
      </w:r>
      <w:r w:rsidRPr="00121FBD">
        <w:rPr>
          <w:rFonts w:ascii="Arial" w:hAnsi="Arial" w:cs="Arial"/>
          <w:i/>
          <w:iCs/>
          <w:sz w:val="24"/>
          <w:szCs w:val="24"/>
        </w:rPr>
        <w:t>Ley Orgánica Municipal</w:t>
      </w:r>
      <w:r w:rsidRPr="00121FBD">
        <w:rPr>
          <w:rFonts w:ascii="Arial" w:hAnsi="Arial" w:cs="Arial"/>
          <w:sz w:val="24"/>
          <w:szCs w:val="24"/>
        </w:rPr>
        <w:t>.</w:t>
      </w:r>
    </w:p>
    <w:p w14:paraId="467FA449" w14:textId="77777777" w:rsidR="000D1E58" w:rsidRDefault="00000000">
      <w:pPr>
        <w:tabs>
          <w:tab w:val="left" w:pos="567"/>
        </w:tabs>
        <w:spacing w:before="240" w:after="0" w:line="360" w:lineRule="auto"/>
        <w:ind w:right="-40"/>
        <w:jc w:val="both"/>
        <w:rPr>
          <w:rFonts w:ascii="Arial" w:hAnsi="Arial" w:cs="Arial"/>
          <w:i/>
          <w:iCs/>
          <w:sz w:val="24"/>
          <w:szCs w:val="24"/>
        </w:rPr>
      </w:pPr>
      <w:r>
        <w:rPr>
          <w:rFonts w:ascii="Arial" w:hAnsi="Arial" w:cs="Arial"/>
          <w:sz w:val="24"/>
          <w:szCs w:val="24"/>
        </w:rPr>
        <w:t xml:space="preserve">Constancia que a petición de la </w:t>
      </w:r>
      <w:r>
        <w:rPr>
          <w:rFonts w:ascii="Arial" w:hAnsi="Arial" w:cs="Arial"/>
          <w:i/>
          <w:iCs/>
          <w:sz w:val="24"/>
          <w:szCs w:val="24"/>
        </w:rPr>
        <w:t>Regidora</w:t>
      </w:r>
      <w:r>
        <w:rPr>
          <w:rFonts w:ascii="Arial" w:hAnsi="Arial" w:cs="Arial"/>
          <w:sz w:val="24"/>
          <w:szCs w:val="24"/>
        </w:rPr>
        <w:t xml:space="preserve"> fue solicitada a las </w:t>
      </w:r>
      <w:r>
        <w:rPr>
          <w:rFonts w:ascii="Arial" w:hAnsi="Arial" w:cs="Arial"/>
          <w:i/>
          <w:iCs/>
          <w:sz w:val="24"/>
          <w:szCs w:val="24"/>
        </w:rPr>
        <w:t>autoridades responsables</w:t>
      </w:r>
      <w:r>
        <w:rPr>
          <w:rFonts w:ascii="Arial" w:hAnsi="Arial" w:cs="Arial"/>
          <w:sz w:val="24"/>
          <w:szCs w:val="24"/>
        </w:rPr>
        <w:t xml:space="preserve"> por la Magistrada Ponente y que obra en copia certificada; de la que se advierte que en efecto en el documento en cita les requiere </w:t>
      </w:r>
      <w:r>
        <w:rPr>
          <w:rFonts w:ascii="Arial" w:hAnsi="Arial" w:cs="Arial"/>
          <w:i/>
          <w:iCs/>
          <w:sz w:val="24"/>
          <w:szCs w:val="24"/>
        </w:rPr>
        <w:t>“que haga entrega de manera personal de la convocatoria por escrito, orden del día y documentos relativos a los asuntos de la sesión ordinaria…” (Sic).</w:t>
      </w:r>
    </w:p>
    <w:p w14:paraId="29CE64A7" w14:textId="77777777" w:rsidR="000D1E58" w:rsidRDefault="00000000">
      <w:pPr>
        <w:tabs>
          <w:tab w:val="left" w:pos="567"/>
        </w:tabs>
        <w:spacing w:before="240" w:after="0" w:line="360" w:lineRule="auto"/>
        <w:ind w:right="-40"/>
        <w:jc w:val="both"/>
        <w:rPr>
          <w:rFonts w:ascii="Arial" w:hAnsi="Arial" w:cs="Arial"/>
          <w:sz w:val="24"/>
          <w:szCs w:val="24"/>
        </w:rPr>
      </w:pPr>
      <w:r>
        <w:rPr>
          <w:rFonts w:ascii="Arial" w:hAnsi="Arial" w:cs="Arial"/>
          <w:sz w:val="24"/>
          <w:szCs w:val="24"/>
        </w:rPr>
        <w:t xml:space="preserve">No obstante, las </w:t>
      </w:r>
      <w:r>
        <w:rPr>
          <w:rFonts w:ascii="Arial" w:hAnsi="Arial" w:cs="Arial"/>
          <w:i/>
          <w:iCs/>
          <w:sz w:val="24"/>
          <w:szCs w:val="24"/>
        </w:rPr>
        <w:t>autoridades responsables</w:t>
      </w:r>
      <w:r>
        <w:rPr>
          <w:rFonts w:ascii="Arial" w:hAnsi="Arial" w:cs="Arial"/>
          <w:sz w:val="24"/>
          <w:szCs w:val="24"/>
        </w:rPr>
        <w:t xml:space="preserve"> al rendir su informe circunstanciado manifestaron que el veintiuno de enero, la </w:t>
      </w:r>
      <w:r>
        <w:rPr>
          <w:rFonts w:ascii="Arial" w:hAnsi="Arial" w:cs="Arial"/>
          <w:i/>
          <w:iCs/>
          <w:sz w:val="24"/>
          <w:szCs w:val="24"/>
        </w:rPr>
        <w:t>Regidora</w:t>
      </w:r>
      <w:r>
        <w:rPr>
          <w:rFonts w:ascii="Arial" w:hAnsi="Arial" w:cs="Arial"/>
          <w:sz w:val="24"/>
          <w:szCs w:val="24"/>
        </w:rPr>
        <w:t xml:space="preserve"> había presentado un escrito -con fecha de dieciséis del mismo mes-, en el que ésta solicitó y autorizó domicilio para recibir notificaciones y/o documentación entre otras en su Oficina de Atención Ciudadana, proporcionando el dato correspondiente y autorizando a su vez, un número telefónico; documental que allegaron a este </w:t>
      </w:r>
      <w:r>
        <w:rPr>
          <w:rFonts w:ascii="Arial" w:hAnsi="Arial" w:cs="Arial"/>
          <w:i/>
          <w:iCs/>
          <w:sz w:val="24"/>
          <w:szCs w:val="24"/>
        </w:rPr>
        <w:t>órgano jurisdiccional</w:t>
      </w:r>
      <w:r>
        <w:rPr>
          <w:rFonts w:ascii="Arial" w:hAnsi="Arial" w:cs="Arial"/>
          <w:sz w:val="24"/>
          <w:szCs w:val="24"/>
        </w:rPr>
        <w:t xml:space="preserve"> y que obra en copia certificada.</w:t>
      </w:r>
    </w:p>
    <w:p w14:paraId="6DF8363A" w14:textId="77777777" w:rsidR="000D1E58" w:rsidRDefault="00000000">
      <w:pPr>
        <w:tabs>
          <w:tab w:val="left" w:pos="567"/>
        </w:tabs>
        <w:spacing w:before="240" w:after="0" w:line="360" w:lineRule="auto"/>
        <w:ind w:right="-40"/>
        <w:jc w:val="both"/>
        <w:rPr>
          <w:rFonts w:ascii="Arial" w:hAnsi="Arial" w:cs="Arial"/>
          <w:sz w:val="24"/>
          <w:szCs w:val="24"/>
        </w:rPr>
      </w:pPr>
      <w:r>
        <w:rPr>
          <w:rFonts w:ascii="Arial" w:hAnsi="Arial" w:cs="Arial"/>
          <w:sz w:val="24"/>
          <w:szCs w:val="24"/>
        </w:rPr>
        <w:t xml:space="preserve">Escrito al cual recayó la respuesta de las </w:t>
      </w:r>
      <w:r>
        <w:rPr>
          <w:rFonts w:ascii="Arial" w:hAnsi="Arial" w:cs="Arial"/>
          <w:i/>
          <w:iCs/>
          <w:sz w:val="24"/>
          <w:szCs w:val="24"/>
        </w:rPr>
        <w:t>autoridades responsables</w:t>
      </w:r>
      <w:r>
        <w:rPr>
          <w:rFonts w:ascii="Arial" w:hAnsi="Arial" w:cs="Arial"/>
          <w:sz w:val="24"/>
          <w:szCs w:val="24"/>
        </w:rPr>
        <w:t xml:space="preserve"> de veintidós siguiente, en el sentido de que se tenía por </w:t>
      </w:r>
      <w:r>
        <w:rPr>
          <w:rFonts w:ascii="Arial" w:hAnsi="Arial" w:cs="Arial"/>
          <w:b/>
          <w:bCs/>
          <w:sz w:val="24"/>
          <w:szCs w:val="24"/>
        </w:rPr>
        <w:t>aceptada</w:t>
      </w:r>
      <w:r>
        <w:rPr>
          <w:rFonts w:ascii="Arial" w:hAnsi="Arial" w:cs="Arial"/>
          <w:sz w:val="24"/>
          <w:szCs w:val="24"/>
        </w:rPr>
        <w:t xml:space="preserve"> su solicitud, por lo que en lo sucesivo se </w:t>
      </w:r>
      <w:r>
        <w:rPr>
          <w:rFonts w:ascii="Arial" w:hAnsi="Arial" w:cs="Arial"/>
          <w:b/>
          <w:bCs/>
          <w:sz w:val="24"/>
          <w:szCs w:val="24"/>
        </w:rPr>
        <w:t>utilizaría dicho domicilio</w:t>
      </w:r>
      <w:r>
        <w:rPr>
          <w:rFonts w:ascii="Arial" w:hAnsi="Arial" w:cs="Arial"/>
          <w:sz w:val="24"/>
          <w:szCs w:val="24"/>
        </w:rPr>
        <w:t xml:space="preserve"> y contacto para las comunicaciones correspondientes en los términos señalados en su escrito. Igualmente le indicó que, le seguiría siendo notificada en la oficina de regidurías todas las convocatorias respectivas relacionadas con el ejercicio de su cargo, para los efectos de salvaguardar su derecho de ejercicio efectivo del cargo. Documento que obra en original y copia certificada del que se advierte firma y nombre de recepción por </w:t>
      </w:r>
      <w:r>
        <w:rPr>
          <w:rFonts w:ascii="Arial" w:hAnsi="Arial" w:cs="Arial"/>
          <w:i/>
          <w:iCs/>
          <w:sz w:val="24"/>
          <w:szCs w:val="24"/>
        </w:rPr>
        <w:t>“Horacio Peña”</w:t>
      </w:r>
      <w:r>
        <w:rPr>
          <w:rFonts w:ascii="Arial" w:hAnsi="Arial" w:cs="Arial"/>
          <w:sz w:val="24"/>
          <w:szCs w:val="24"/>
        </w:rPr>
        <w:t>; así como sello de las oficinas de regidurías.</w:t>
      </w:r>
    </w:p>
    <w:p w14:paraId="66454DEC" w14:textId="77777777" w:rsidR="000D1E58" w:rsidRDefault="00000000">
      <w:pPr>
        <w:tabs>
          <w:tab w:val="left" w:pos="567"/>
        </w:tabs>
        <w:spacing w:before="240" w:after="0" w:line="360" w:lineRule="auto"/>
        <w:ind w:right="-40"/>
        <w:jc w:val="both"/>
        <w:rPr>
          <w:rFonts w:ascii="Arial" w:hAnsi="Arial" w:cs="Arial"/>
          <w:sz w:val="24"/>
          <w:szCs w:val="24"/>
        </w:rPr>
      </w:pPr>
      <w:r>
        <w:rPr>
          <w:rFonts w:ascii="Arial" w:hAnsi="Arial" w:cs="Arial"/>
          <w:sz w:val="24"/>
          <w:szCs w:val="24"/>
        </w:rPr>
        <w:lastRenderedPageBreak/>
        <w:t xml:space="preserve">En el mismo sentido, las </w:t>
      </w:r>
      <w:r>
        <w:rPr>
          <w:rFonts w:ascii="Arial" w:hAnsi="Arial" w:cs="Arial"/>
          <w:i/>
          <w:iCs/>
          <w:sz w:val="24"/>
          <w:szCs w:val="24"/>
        </w:rPr>
        <w:t>autoridades responsables</w:t>
      </w:r>
      <w:r>
        <w:rPr>
          <w:rFonts w:ascii="Arial" w:hAnsi="Arial" w:cs="Arial"/>
          <w:sz w:val="24"/>
          <w:szCs w:val="24"/>
        </w:rPr>
        <w:t xml:space="preserve"> señalan que el veinticuatro de enero, cuarenta y ocho horas previas a la celebración de la </w:t>
      </w:r>
      <w:r>
        <w:rPr>
          <w:rFonts w:ascii="Arial" w:hAnsi="Arial" w:cs="Arial"/>
          <w:i/>
          <w:iCs/>
          <w:sz w:val="24"/>
          <w:szCs w:val="24"/>
        </w:rPr>
        <w:t>Sesión Ordinaria 002</w:t>
      </w:r>
      <w:r>
        <w:rPr>
          <w:rFonts w:ascii="Arial" w:hAnsi="Arial" w:cs="Arial"/>
          <w:sz w:val="24"/>
          <w:szCs w:val="24"/>
        </w:rPr>
        <w:t xml:space="preserve">, la </w:t>
      </w:r>
      <w:r>
        <w:rPr>
          <w:rFonts w:ascii="Arial" w:hAnsi="Arial" w:cs="Arial"/>
          <w:i/>
          <w:iCs/>
          <w:sz w:val="24"/>
          <w:szCs w:val="24"/>
        </w:rPr>
        <w:t>Regidora</w:t>
      </w:r>
      <w:r>
        <w:rPr>
          <w:rFonts w:ascii="Arial" w:hAnsi="Arial" w:cs="Arial"/>
          <w:sz w:val="24"/>
          <w:szCs w:val="24"/>
        </w:rPr>
        <w:t xml:space="preserve"> sí fue convocada en el domicilio que expresamente señaló para oír y recibir notificaciones, correspondiente a su Oficina de Atención Ciudadana. No obstante, señalan que </w:t>
      </w:r>
      <w:r>
        <w:rPr>
          <w:rFonts w:ascii="Arial" w:hAnsi="Arial" w:cs="Arial"/>
          <w:i/>
          <w:iCs/>
          <w:sz w:val="24"/>
          <w:szCs w:val="24"/>
        </w:rPr>
        <w:t>“nadie acudió al llamado del Secretario del Ayuntamiento, quien se constituyó en legal y debida forma para los efectos de convocarle, a lo que le fue dejado copia íntegra de la documentación por debajo de la puerta en el domicilio respectivo”.</w:t>
      </w:r>
    </w:p>
    <w:p w14:paraId="0BCB4482" w14:textId="727E7818" w:rsidR="000D1E58" w:rsidRPr="00121FBD" w:rsidRDefault="00000000">
      <w:pPr>
        <w:tabs>
          <w:tab w:val="left" w:pos="567"/>
        </w:tabs>
        <w:spacing w:before="240" w:after="0" w:line="360" w:lineRule="auto"/>
        <w:ind w:right="-40"/>
        <w:jc w:val="both"/>
        <w:rPr>
          <w:rFonts w:ascii="Arial" w:hAnsi="Arial" w:cs="Arial"/>
          <w:sz w:val="24"/>
          <w:szCs w:val="24"/>
        </w:rPr>
      </w:pPr>
      <w:r>
        <w:rPr>
          <w:rFonts w:ascii="Arial" w:hAnsi="Arial" w:cs="Arial"/>
          <w:sz w:val="24"/>
          <w:szCs w:val="24"/>
        </w:rPr>
        <w:t xml:space="preserve">Para acreditar su dicho, adjuntó la certificación correspondiente, signada por el Secretario del </w:t>
      </w:r>
      <w:r>
        <w:rPr>
          <w:rFonts w:ascii="Arial" w:hAnsi="Arial" w:cs="Arial"/>
          <w:i/>
          <w:iCs/>
          <w:sz w:val="24"/>
          <w:szCs w:val="24"/>
        </w:rPr>
        <w:t xml:space="preserve">Ayuntamiento </w:t>
      </w:r>
      <w:r>
        <w:rPr>
          <w:rFonts w:ascii="Arial" w:hAnsi="Arial" w:cs="Arial"/>
          <w:sz w:val="24"/>
          <w:szCs w:val="24"/>
        </w:rPr>
        <w:t xml:space="preserve">de la que se advierte que en efecto a las nueve horas, con treinta minutos, del veinticuatro de enero, el </w:t>
      </w:r>
      <w:r>
        <w:rPr>
          <w:rFonts w:ascii="Arial" w:hAnsi="Arial" w:cs="Arial"/>
          <w:i/>
          <w:iCs/>
          <w:sz w:val="24"/>
          <w:szCs w:val="24"/>
        </w:rPr>
        <w:t>Secretario</w:t>
      </w:r>
      <w:r>
        <w:rPr>
          <w:rFonts w:ascii="Arial" w:hAnsi="Arial" w:cs="Arial"/>
          <w:sz w:val="24"/>
          <w:szCs w:val="24"/>
        </w:rPr>
        <w:t xml:space="preserve"> hace constar la notificación de la Convocatoria de la </w:t>
      </w:r>
      <w:r>
        <w:rPr>
          <w:rFonts w:ascii="Arial" w:hAnsi="Arial" w:cs="Arial"/>
          <w:i/>
          <w:iCs/>
          <w:sz w:val="24"/>
          <w:szCs w:val="24"/>
        </w:rPr>
        <w:t>Sesión Ordinaria 002</w:t>
      </w:r>
      <w:r>
        <w:rPr>
          <w:rFonts w:ascii="Arial" w:hAnsi="Arial" w:cs="Arial"/>
          <w:sz w:val="24"/>
          <w:szCs w:val="24"/>
        </w:rPr>
        <w:t xml:space="preserve">, a celebrarse a las 11:00 horas, del día veintiocho de </w:t>
      </w:r>
      <w:r w:rsidRPr="00121FBD">
        <w:rPr>
          <w:rFonts w:ascii="Arial" w:hAnsi="Arial" w:cs="Arial"/>
          <w:sz w:val="24"/>
          <w:szCs w:val="24"/>
        </w:rPr>
        <w:t xml:space="preserve">enero, que se </w:t>
      </w:r>
      <w:r w:rsidR="00CE4C39" w:rsidRPr="00121FBD">
        <w:rPr>
          <w:rFonts w:ascii="Arial" w:hAnsi="Arial" w:cs="Arial"/>
          <w:sz w:val="24"/>
          <w:szCs w:val="24"/>
        </w:rPr>
        <w:t>llevaría a cabo</w:t>
      </w:r>
      <w:r w:rsidRPr="00121FBD">
        <w:rPr>
          <w:rFonts w:ascii="Arial" w:hAnsi="Arial" w:cs="Arial"/>
          <w:sz w:val="24"/>
          <w:szCs w:val="24"/>
        </w:rPr>
        <w:t xml:space="preserve"> en el Recinto Oficial del </w:t>
      </w:r>
      <w:r w:rsidRPr="00121FBD">
        <w:rPr>
          <w:rFonts w:ascii="Arial" w:hAnsi="Arial" w:cs="Arial"/>
          <w:i/>
          <w:iCs/>
          <w:sz w:val="24"/>
          <w:szCs w:val="24"/>
        </w:rPr>
        <w:t>Ayuntamiento</w:t>
      </w:r>
      <w:r w:rsidRPr="00121FBD">
        <w:rPr>
          <w:rFonts w:ascii="Arial" w:hAnsi="Arial" w:cs="Arial"/>
          <w:sz w:val="24"/>
          <w:szCs w:val="24"/>
        </w:rPr>
        <w:t xml:space="preserve">, señalando a su vez que la notificación se hacía en la Oficina </w:t>
      </w:r>
      <w:r w:rsidRPr="00121FBD">
        <w:rPr>
          <w:rFonts w:ascii="Arial" w:hAnsi="Arial" w:cs="Arial"/>
          <w:i/>
          <w:iCs/>
          <w:sz w:val="24"/>
          <w:szCs w:val="24"/>
        </w:rPr>
        <w:t>de</w:t>
      </w:r>
      <w:r w:rsidRPr="00121FBD">
        <w:rPr>
          <w:rFonts w:ascii="Arial" w:hAnsi="Arial" w:cs="Arial"/>
          <w:sz w:val="24"/>
          <w:szCs w:val="24"/>
        </w:rPr>
        <w:t xml:space="preserve"> Atención Ciudadana, atendiendo a su oficio de dieciséis de enero.</w:t>
      </w:r>
    </w:p>
    <w:p w14:paraId="100FE6AD" w14:textId="638FC603" w:rsidR="000D1E58" w:rsidRDefault="00000000">
      <w:pPr>
        <w:tabs>
          <w:tab w:val="left" w:pos="567"/>
        </w:tabs>
        <w:spacing w:before="240" w:after="0" w:line="360" w:lineRule="auto"/>
        <w:ind w:right="-40"/>
        <w:jc w:val="both"/>
        <w:rPr>
          <w:rFonts w:ascii="Arial" w:hAnsi="Arial" w:cs="Arial"/>
          <w:sz w:val="24"/>
          <w:szCs w:val="24"/>
        </w:rPr>
      </w:pPr>
      <w:r w:rsidRPr="00121FBD">
        <w:rPr>
          <w:rFonts w:ascii="Arial" w:hAnsi="Arial" w:cs="Arial"/>
          <w:sz w:val="24"/>
          <w:szCs w:val="24"/>
        </w:rPr>
        <w:t xml:space="preserve">De igual manera, precisó que se realizó intento de contacto vía telefónica en el número por ella proporcionado en el mismo oficio; y que, al llamar a la puerta en múltiples ocasiones, sin que nadie acudiera, se dejó por debajo de la puerta, así como cinco anexos, relativos a los puntos V, VI, VII, VIII, y IX, del orden del día </w:t>
      </w:r>
      <w:r w:rsidR="00CE4C39" w:rsidRPr="00121FBD">
        <w:rPr>
          <w:rFonts w:ascii="Arial" w:hAnsi="Arial" w:cs="Arial"/>
          <w:sz w:val="24"/>
          <w:szCs w:val="24"/>
        </w:rPr>
        <w:t>respectivo</w:t>
      </w:r>
      <w:r w:rsidRPr="00121FBD">
        <w:rPr>
          <w:rFonts w:ascii="Arial" w:hAnsi="Arial" w:cs="Arial"/>
          <w:sz w:val="24"/>
          <w:szCs w:val="24"/>
        </w:rPr>
        <w:t>. Certificación a la que adjuntó</w:t>
      </w:r>
      <w:r>
        <w:rPr>
          <w:rFonts w:ascii="Arial" w:hAnsi="Arial" w:cs="Arial"/>
          <w:sz w:val="24"/>
          <w:szCs w:val="24"/>
        </w:rPr>
        <w:t xml:space="preserve"> impresiones de imagen, sin hacer mayor precisión, de las constancias que se insertan a continuación:</w:t>
      </w:r>
    </w:p>
    <w:p w14:paraId="4D113E35" w14:textId="77777777" w:rsidR="000D1E58" w:rsidRDefault="00000000">
      <w:pPr>
        <w:tabs>
          <w:tab w:val="left" w:pos="567"/>
        </w:tabs>
        <w:spacing w:before="240" w:after="0" w:line="360" w:lineRule="auto"/>
        <w:ind w:right="-40"/>
        <w:jc w:val="center"/>
        <w:rPr>
          <w:rFonts w:ascii="Arial" w:hAnsi="Arial" w:cs="Arial"/>
          <w:sz w:val="24"/>
          <w:szCs w:val="24"/>
        </w:rPr>
      </w:pPr>
      <w:r>
        <w:rPr>
          <w:noProof/>
        </w:rPr>
        <w:lastRenderedPageBreak/>
        <w:drawing>
          <wp:inline distT="0" distB="0" distL="0" distR="0" wp14:anchorId="74C749B0" wp14:editId="1C62DFF9">
            <wp:extent cx="3038475" cy="4014537"/>
            <wp:effectExtent l="0" t="0" r="0" b="508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084779" cy="4075715"/>
                    </a:xfrm>
                    <a:prstGeom prst="rect">
                      <a:avLst/>
                    </a:prstGeom>
                  </pic:spPr>
                </pic:pic>
              </a:graphicData>
            </a:graphic>
          </wp:inline>
        </w:drawing>
      </w:r>
    </w:p>
    <w:p w14:paraId="298C5C69" w14:textId="77777777" w:rsidR="000D1E58" w:rsidRDefault="00000000">
      <w:pPr>
        <w:tabs>
          <w:tab w:val="left" w:pos="567"/>
        </w:tabs>
        <w:spacing w:before="240" w:after="0" w:line="360" w:lineRule="auto"/>
        <w:ind w:right="-40"/>
        <w:jc w:val="center"/>
        <w:rPr>
          <w:rFonts w:ascii="Arial" w:hAnsi="Arial" w:cs="Arial"/>
          <w:sz w:val="24"/>
          <w:szCs w:val="24"/>
        </w:rPr>
      </w:pPr>
      <w:r>
        <w:rPr>
          <w:rFonts w:ascii="Arial" w:hAnsi="Arial" w:cs="Arial"/>
          <w:noProof/>
          <w:sz w:val="24"/>
          <w:szCs w:val="24"/>
        </w:rPr>
        <w:drawing>
          <wp:inline distT="0" distB="0" distL="0" distR="0" wp14:anchorId="183710D3" wp14:editId="138D3F6E">
            <wp:extent cx="2553955" cy="2673973"/>
            <wp:effectExtent l="0" t="0" r="0" b="0"/>
            <wp:docPr id="909492897" name="Imagen 1" descr="Imagen que contiene persona, mujer, foto, niñ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492897" name="Imagen 1" descr="Imagen que contiene persona, mujer, foto, niña&#10;&#10;El contenido generado por IA puede ser incorrecto."/>
                    <pic:cNvPicPr/>
                  </pic:nvPicPr>
                  <pic:blipFill>
                    <a:blip r:embed="rId12"/>
                    <a:stretch>
                      <a:fillRect/>
                    </a:stretch>
                  </pic:blipFill>
                  <pic:spPr>
                    <a:xfrm>
                      <a:off x="0" y="0"/>
                      <a:ext cx="2569829" cy="2690593"/>
                    </a:xfrm>
                    <a:prstGeom prst="rect">
                      <a:avLst/>
                    </a:prstGeom>
                  </pic:spPr>
                </pic:pic>
              </a:graphicData>
            </a:graphic>
          </wp:inline>
        </w:drawing>
      </w:r>
    </w:p>
    <w:p w14:paraId="08C1E3DE" w14:textId="77777777" w:rsidR="000D1E58" w:rsidRDefault="00000000">
      <w:pPr>
        <w:tabs>
          <w:tab w:val="left" w:pos="567"/>
        </w:tabs>
        <w:spacing w:before="240" w:after="0" w:line="360" w:lineRule="auto"/>
        <w:ind w:right="-40"/>
        <w:jc w:val="both"/>
        <w:rPr>
          <w:rFonts w:ascii="Arial" w:hAnsi="Arial" w:cs="Arial"/>
          <w:sz w:val="24"/>
          <w:szCs w:val="24"/>
        </w:rPr>
      </w:pPr>
      <w:r>
        <w:rPr>
          <w:rFonts w:ascii="Arial" w:hAnsi="Arial" w:cs="Arial"/>
          <w:sz w:val="24"/>
          <w:szCs w:val="24"/>
        </w:rPr>
        <w:t xml:space="preserve">De igual manera, en autos obra copia certificada del oficio número S/077/2025, de veinticuatro de enero, con asunto: Convocatoria a Sesión de Cabildo Ordinaria; dirigido a la </w:t>
      </w:r>
      <w:r>
        <w:rPr>
          <w:rFonts w:ascii="Arial" w:hAnsi="Arial" w:cs="Arial"/>
          <w:i/>
          <w:iCs/>
          <w:sz w:val="24"/>
          <w:szCs w:val="24"/>
        </w:rPr>
        <w:t>actora</w:t>
      </w:r>
      <w:r>
        <w:rPr>
          <w:rFonts w:ascii="Arial" w:hAnsi="Arial" w:cs="Arial"/>
          <w:sz w:val="24"/>
          <w:szCs w:val="24"/>
        </w:rPr>
        <w:t xml:space="preserve"> y de la que se advierte sello y firma de acuse de recepción de las oficinas de regidurías, correspondiente a la </w:t>
      </w:r>
      <w:r>
        <w:rPr>
          <w:rFonts w:ascii="Arial" w:hAnsi="Arial" w:cs="Arial"/>
          <w:i/>
          <w:iCs/>
          <w:sz w:val="24"/>
          <w:szCs w:val="24"/>
        </w:rPr>
        <w:t>Sesión Ordinaria 002</w:t>
      </w:r>
      <w:r>
        <w:rPr>
          <w:rFonts w:ascii="Arial" w:hAnsi="Arial" w:cs="Arial"/>
          <w:sz w:val="24"/>
          <w:szCs w:val="24"/>
        </w:rPr>
        <w:t xml:space="preserve">, en la que se especifica el día, hora, lugar y orden del día de </w:t>
      </w:r>
      <w:proofErr w:type="gramStart"/>
      <w:r>
        <w:rPr>
          <w:rFonts w:ascii="Arial" w:hAnsi="Arial" w:cs="Arial"/>
          <w:sz w:val="24"/>
          <w:szCs w:val="24"/>
        </w:rPr>
        <w:t>la misma</w:t>
      </w:r>
      <w:proofErr w:type="gramEnd"/>
      <w:r>
        <w:rPr>
          <w:rFonts w:ascii="Arial" w:hAnsi="Arial" w:cs="Arial"/>
          <w:sz w:val="24"/>
          <w:szCs w:val="24"/>
        </w:rPr>
        <w:t xml:space="preserve">; signada por el Secretario del </w:t>
      </w:r>
      <w:r>
        <w:rPr>
          <w:rFonts w:ascii="Arial" w:hAnsi="Arial" w:cs="Arial"/>
          <w:i/>
          <w:iCs/>
          <w:sz w:val="24"/>
          <w:szCs w:val="24"/>
        </w:rPr>
        <w:t>Ayuntamiento</w:t>
      </w:r>
      <w:r>
        <w:rPr>
          <w:rFonts w:ascii="Arial" w:hAnsi="Arial" w:cs="Arial"/>
          <w:sz w:val="24"/>
          <w:szCs w:val="24"/>
        </w:rPr>
        <w:t xml:space="preserve">. </w:t>
      </w:r>
    </w:p>
    <w:p w14:paraId="114F6636" w14:textId="77777777" w:rsidR="000D1E58" w:rsidRPr="00573A0D" w:rsidRDefault="00000000">
      <w:pPr>
        <w:tabs>
          <w:tab w:val="left" w:pos="567"/>
        </w:tabs>
        <w:spacing w:before="240" w:after="0" w:line="360" w:lineRule="auto"/>
        <w:ind w:right="-40"/>
        <w:jc w:val="both"/>
        <w:rPr>
          <w:rFonts w:ascii="Arial" w:eastAsia="Times New Roman" w:hAnsi="Arial" w:cs="Arial"/>
          <w:sz w:val="24"/>
          <w:szCs w:val="24"/>
        </w:rPr>
      </w:pPr>
      <w:proofErr w:type="gramStart"/>
      <w:r>
        <w:rPr>
          <w:rFonts w:ascii="Arial" w:hAnsi="Arial" w:cs="Arial"/>
          <w:sz w:val="24"/>
          <w:szCs w:val="24"/>
        </w:rPr>
        <w:lastRenderedPageBreak/>
        <w:t xml:space="preserve">Documentales </w:t>
      </w:r>
      <w:r>
        <w:rPr>
          <w:rFonts w:ascii="Arial" w:eastAsia="Times New Roman" w:hAnsi="Arial" w:cs="Arial"/>
          <w:sz w:val="24"/>
          <w:szCs w:val="24"/>
        </w:rPr>
        <w:t>públicas</w:t>
      </w:r>
      <w:proofErr w:type="gramEnd"/>
      <w:r>
        <w:rPr>
          <w:rFonts w:ascii="Arial" w:eastAsia="Times New Roman" w:hAnsi="Arial" w:cs="Arial"/>
          <w:sz w:val="24"/>
          <w:szCs w:val="24"/>
        </w:rPr>
        <w:t xml:space="preserve"> todas las enunciadas, que de conformidad con lo dispuesto por los artículos 17, fracción III y 22, fracción II, de la </w:t>
      </w:r>
      <w:r>
        <w:rPr>
          <w:rFonts w:ascii="Arial" w:eastAsia="Times New Roman" w:hAnsi="Arial" w:cs="Arial"/>
          <w:i/>
          <w:iCs/>
          <w:sz w:val="24"/>
          <w:szCs w:val="24"/>
        </w:rPr>
        <w:t>Ley de Justicia Electoral</w:t>
      </w:r>
      <w:r>
        <w:rPr>
          <w:rFonts w:ascii="Arial" w:eastAsia="Times New Roman" w:hAnsi="Arial" w:cs="Arial"/>
          <w:sz w:val="24"/>
          <w:szCs w:val="24"/>
        </w:rPr>
        <w:t xml:space="preserve">, cuentan con valor probatorio pleno, al ser expedidas por un funcionario facultado para certificar los actos de competencia municipal, en términos del artículo 69, fracción </w:t>
      </w:r>
      <w:r w:rsidRPr="00573A0D">
        <w:rPr>
          <w:rFonts w:ascii="Arial" w:eastAsia="Times New Roman" w:hAnsi="Arial" w:cs="Arial"/>
          <w:sz w:val="24"/>
          <w:szCs w:val="24"/>
        </w:rPr>
        <w:t>VIII, de la Ley Orgánica Municipal.</w:t>
      </w:r>
    </w:p>
    <w:p w14:paraId="2E10DFB0" w14:textId="0E290F52" w:rsidR="000D1E58" w:rsidRPr="00573A0D" w:rsidRDefault="00000000">
      <w:pPr>
        <w:tabs>
          <w:tab w:val="left" w:pos="567"/>
        </w:tabs>
        <w:spacing w:before="240" w:after="0" w:line="360" w:lineRule="auto"/>
        <w:ind w:right="-40"/>
        <w:jc w:val="both"/>
        <w:rPr>
          <w:rFonts w:ascii="Arial" w:hAnsi="Arial" w:cs="Arial"/>
          <w:sz w:val="24"/>
          <w:szCs w:val="24"/>
        </w:rPr>
      </w:pPr>
      <w:r w:rsidRPr="00573A0D">
        <w:rPr>
          <w:rFonts w:ascii="Arial" w:hAnsi="Arial" w:cs="Arial"/>
          <w:sz w:val="24"/>
          <w:szCs w:val="24"/>
        </w:rPr>
        <w:t>Constancias que mediante acuerdo de veinticinco de febrero fueron recibidas por la Magistrada Instructora y con las cuales</w:t>
      </w:r>
      <w:r w:rsidR="00461354" w:rsidRPr="00573A0D">
        <w:rPr>
          <w:rFonts w:ascii="Arial" w:hAnsi="Arial" w:cs="Arial"/>
          <w:sz w:val="24"/>
          <w:szCs w:val="24"/>
        </w:rPr>
        <w:t xml:space="preserve"> se</w:t>
      </w:r>
      <w:r w:rsidRPr="00573A0D">
        <w:rPr>
          <w:rFonts w:ascii="Arial" w:hAnsi="Arial" w:cs="Arial"/>
          <w:sz w:val="24"/>
          <w:szCs w:val="24"/>
        </w:rPr>
        <w:t xml:space="preserve"> ordenó </w:t>
      </w:r>
      <w:r w:rsidRPr="00573A0D">
        <w:rPr>
          <w:rFonts w:ascii="Arial" w:hAnsi="Arial" w:cs="Arial"/>
          <w:b/>
          <w:bCs/>
          <w:sz w:val="24"/>
          <w:szCs w:val="24"/>
        </w:rPr>
        <w:t>dar vista</w:t>
      </w:r>
      <w:r w:rsidRPr="00573A0D">
        <w:rPr>
          <w:rFonts w:ascii="Arial" w:hAnsi="Arial" w:cs="Arial"/>
          <w:sz w:val="24"/>
          <w:szCs w:val="24"/>
        </w:rPr>
        <w:t xml:space="preserve"> a la </w:t>
      </w:r>
      <w:r w:rsidRPr="00573A0D">
        <w:rPr>
          <w:rFonts w:ascii="Arial" w:hAnsi="Arial" w:cs="Arial"/>
          <w:i/>
          <w:iCs/>
          <w:sz w:val="24"/>
          <w:szCs w:val="24"/>
        </w:rPr>
        <w:t>actora</w:t>
      </w:r>
      <w:r w:rsidRPr="00573A0D">
        <w:rPr>
          <w:rFonts w:ascii="Arial" w:hAnsi="Arial" w:cs="Arial"/>
          <w:sz w:val="24"/>
          <w:szCs w:val="24"/>
        </w:rPr>
        <w:t xml:space="preserve"> por el plazo de tres días, para que, de convenir a su interés manifestara lo que a su derecho conviniera; sin que lo hubiera hecho, por lo que se le tuvo por </w:t>
      </w:r>
      <w:r w:rsidRPr="00573A0D">
        <w:rPr>
          <w:rFonts w:ascii="Arial" w:hAnsi="Arial" w:cs="Arial"/>
          <w:b/>
          <w:bCs/>
          <w:sz w:val="24"/>
          <w:szCs w:val="24"/>
        </w:rPr>
        <w:t>precluyendo su derecho</w:t>
      </w:r>
      <w:r w:rsidRPr="00573A0D">
        <w:rPr>
          <w:rFonts w:ascii="Arial" w:hAnsi="Arial" w:cs="Arial"/>
          <w:sz w:val="24"/>
          <w:szCs w:val="24"/>
        </w:rPr>
        <w:t xml:space="preserve"> para tal efecto.</w:t>
      </w:r>
    </w:p>
    <w:p w14:paraId="58623402" w14:textId="1306F564" w:rsidR="000D1E58" w:rsidRDefault="00000000">
      <w:pPr>
        <w:tabs>
          <w:tab w:val="left" w:pos="567"/>
        </w:tabs>
        <w:spacing w:before="240" w:after="0" w:line="360" w:lineRule="auto"/>
        <w:ind w:right="-40"/>
        <w:jc w:val="both"/>
        <w:rPr>
          <w:rFonts w:ascii="Arial" w:eastAsia="Arial" w:hAnsi="Arial" w:cs="Arial"/>
          <w:sz w:val="24"/>
          <w:szCs w:val="24"/>
        </w:rPr>
      </w:pPr>
      <w:r w:rsidRPr="00573A0D">
        <w:rPr>
          <w:rFonts w:ascii="Arial" w:hAnsi="Arial" w:cs="Arial"/>
          <w:sz w:val="24"/>
          <w:szCs w:val="24"/>
        </w:rPr>
        <w:t xml:space="preserve">En este orden de ideas, es dable afirmar que, con fundamento en las disposiciones </w:t>
      </w:r>
      <w:r w:rsidRPr="00573A0D">
        <w:rPr>
          <w:rFonts w:ascii="Arial" w:eastAsia="Arial" w:hAnsi="Arial" w:cs="Arial"/>
          <w:sz w:val="24"/>
          <w:szCs w:val="24"/>
        </w:rPr>
        <w:t xml:space="preserve">37 y 64, fracción IV, de la </w:t>
      </w:r>
      <w:r w:rsidRPr="00573A0D">
        <w:rPr>
          <w:rFonts w:ascii="Arial" w:eastAsia="Arial" w:hAnsi="Arial" w:cs="Arial"/>
          <w:i/>
          <w:iCs/>
          <w:sz w:val="24"/>
          <w:szCs w:val="24"/>
        </w:rPr>
        <w:t>Ley Orgánica Municipal</w:t>
      </w:r>
      <w:r w:rsidRPr="00573A0D">
        <w:rPr>
          <w:rFonts w:ascii="Arial" w:eastAsia="Arial" w:hAnsi="Arial" w:cs="Arial"/>
          <w:sz w:val="24"/>
          <w:szCs w:val="24"/>
        </w:rPr>
        <w:t xml:space="preserve">, se hizo la citación por escrito; </w:t>
      </w:r>
      <w:r w:rsidR="00461354" w:rsidRPr="00573A0D">
        <w:rPr>
          <w:rFonts w:ascii="Arial" w:eastAsia="Arial" w:hAnsi="Arial" w:cs="Arial"/>
          <w:sz w:val="24"/>
          <w:szCs w:val="24"/>
        </w:rPr>
        <w:t>realiz</w:t>
      </w:r>
      <w:r w:rsidR="009B745D" w:rsidRPr="00573A0D">
        <w:rPr>
          <w:rFonts w:ascii="Arial" w:eastAsia="Arial" w:hAnsi="Arial" w:cs="Arial"/>
          <w:sz w:val="24"/>
          <w:szCs w:val="24"/>
        </w:rPr>
        <w:t>á</w:t>
      </w:r>
      <w:r w:rsidR="00461354" w:rsidRPr="00573A0D">
        <w:rPr>
          <w:rFonts w:ascii="Arial" w:eastAsia="Arial" w:hAnsi="Arial" w:cs="Arial"/>
          <w:sz w:val="24"/>
          <w:szCs w:val="24"/>
        </w:rPr>
        <w:t>ndose</w:t>
      </w:r>
      <w:r w:rsidRPr="00573A0D">
        <w:rPr>
          <w:rFonts w:ascii="Arial" w:eastAsia="Arial" w:hAnsi="Arial" w:cs="Arial"/>
          <w:sz w:val="24"/>
          <w:szCs w:val="24"/>
        </w:rPr>
        <w:t xml:space="preserve"> a través del Secretario del </w:t>
      </w:r>
      <w:r w:rsidRPr="00573A0D">
        <w:rPr>
          <w:rFonts w:ascii="Arial" w:eastAsia="Arial" w:hAnsi="Arial" w:cs="Arial"/>
          <w:i/>
          <w:iCs/>
          <w:sz w:val="24"/>
          <w:szCs w:val="24"/>
        </w:rPr>
        <w:t>Ayuntamiento</w:t>
      </w:r>
      <w:r w:rsidRPr="00573A0D">
        <w:rPr>
          <w:rFonts w:ascii="Arial" w:eastAsia="Arial" w:hAnsi="Arial" w:cs="Arial"/>
          <w:sz w:val="24"/>
          <w:szCs w:val="24"/>
        </w:rPr>
        <w:t>; de manera personal; en el domicilio</w:t>
      </w:r>
      <w:r>
        <w:rPr>
          <w:rFonts w:ascii="Arial" w:eastAsia="Arial" w:hAnsi="Arial" w:cs="Arial"/>
          <w:sz w:val="24"/>
          <w:szCs w:val="24"/>
        </w:rPr>
        <w:t xml:space="preserve"> señalado por la </w:t>
      </w:r>
      <w:r>
        <w:rPr>
          <w:rFonts w:ascii="Arial" w:eastAsia="Arial" w:hAnsi="Arial" w:cs="Arial"/>
          <w:i/>
          <w:iCs/>
          <w:sz w:val="24"/>
          <w:szCs w:val="24"/>
        </w:rPr>
        <w:t>actora</w:t>
      </w:r>
      <w:r>
        <w:rPr>
          <w:rFonts w:ascii="Arial" w:eastAsia="Arial" w:hAnsi="Arial" w:cs="Arial"/>
          <w:sz w:val="24"/>
          <w:szCs w:val="24"/>
        </w:rPr>
        <w:t>; oportunamente -con el tiempo de anticipación previsto en la ley- que para el caso de la sesión ordinaria es de cuando menos cuarenta y ocho horas de anticipación; contiene el orden del día y la información necesaria para el desarrollo de la sesión; también se especificó el lugar, día, y hora de realización de la sesión.</w:t>
      </w:r>
    </w:p>
    <w:p w14:paraId="4A721F18" w14:textId="66207FD1" w:rsidR="000D1E58" w:rsidRDefault="00000000">
      <w:pPr>
        <w:tabs>
          <w:tab w:val="left" w:pos="567"/>
        </w:tabs>
        <w:spacing w:before="240" w:after="0" w:line="360" w:lineRule="auto"/>
        <w:ind w:right="-40"/>
        <w:jc w:val="both"/>
        <w:rPr>
          <w:rFonts w:ascii="Arial" w:hAnsi="Arial" w:cs="Arial"/>
          <w:sz w:val="24"/>
          <w:szCs w:val="24"/>
        </w:rPr>
      </w:pPr>
      <w:r>
        <w:rPr>
          <w:rFonts w:ascii="Arial" w:hAnsi="Arial" w:cs="Arial"/>
          <w:sz w:val="24"/>
          <w:szCs w:val="24"/>
        </w:rPr>
        <w:t xml:space="preserve">En este orden de ideas, se concluye que la </w:t>
      </w:r>
      <w:r>
        <w:rPr>
          <w:rFonts w:ascii="Arial" w:hAnsi="Arial" w:cs="Arial"/>
          <w:i/>
          <w:iCs/>
          <w:sz w:val="24"/>
          <w:szCs w:val="24"/>
        </w:rPr>
        <w:t>Regidora</w:t>
      </w:r>
      <w:r>
        <w:rPr>
          <w:rFonts w:ascii="Arial" w:hAnsi="Arial" w:cs="Arial"/>
          <w:sz w:val="24"/>
          <w:szCs w:val="24"/>
        </w:rPr>
        <w:t xml:space="preserve"> fue convocada a la </w:t>
      </w:r>
      <w:r>
        <w:rPr>
          <w:rFonts w:ascii="Arial" w:hAnsi="Arial" w:cs="Arial"/>
          <w:i/>
          <w:iCs/>
          <w:sz w:val="24"/>
          <w:szCs w:val="24"/>
        </w:rPr>
        <w:t>Sesión Ordinaria 002,</w:t>
      </w:r>
      <w:r>
        <w:rPr>
          <w:rFonts w:ascii="Arial" w:hAnsi="Arial" w:cs="Arial"/>
          <w:sz w:val="24"/>
          <w:szCs w:val="24"/>
        </w:rPr>
        <w:t xml:space="preserve"> el veinticuatro de enero </w:t>
      </w:r>
      <w:r>
        <w:rPr>
          <w:rFonts w:ascii="Arial" w:eastAsia="Arial" w:hAnsi="Arial" w:cs="Arial"/>
          <w:sz w:val="24"/>
          <w:szCs w:val="24"/>
        </w:rPr>
        <w:t xml:space="preserve">-cuarenta y ocho horas de anticipación a la realización de dicha sesión- en el domicilio correspondiente a su Oficina de Atención </w:t>
      </w:r>
      <w:r w:rsidRPr="00573A0D">
        <w:rPr>
          <w:rFonts w:ascii="Arial" w:eastAsia="Arial" w:hAnsi="Arial" w:cs="Arial"/>
          <w:sz w:val="24"/>
          <w:szCs w:val="24"/>
        </w:rPr>
        <w:t xml:space="preserve">Ciudadana, tal como ella lo solicitó en el escrito presentado ante las </w:t>
      </w:r>
      <w:r w:rsidRPr="00573A0D">
        <w:rPr>
          <w:rFonts w:ascii="Arial" w:eastAsia="Arial" w:hAnsi="Arial" w:cs="Arial"/>
          <w:i/>
          <w:iCs/>
          <w:sz w:val="24"/>
          <w:szCs w:val="24"/>
        </w:rPr>
        <w:t>autoridades responsables</w:t>
      </w:r>
      <w:r w:rsidRPr="00573A0D">
        <w:rPr>
          <w:rFonts w:ascii="Arial" w:eastAsia="Arial" w:hAnsi="Arial" w:cs="Arial"/>
          <w:sz w:val="24"/>
          <w:szCs w:val="24"/>
        </w:rPr>
        <w:t xml:space="preserve"> el veintiuno</w:t>
      </w:r>
      <w:r>
        <w:rPr>
          <w:rFonts w:ascii="Arial" w:eastAsia="Arial" w:hAnsi="Arial" w:cs="Arial"/>
          <w:sz w:val="24"/>
          <w:szCs w:val="24"/>
        </w:rPr>
        <w:t xml:space="preserve"> de enero</w:t>
      </w:r>
      <w:r w:rsidR="00C3368D">
        <w:rPr>
          <w:rFonts w:ascii="Arial" w:eastAsia="Arial" w:hAnsi="Arial" w:cs="Arial"/>
          <w:sz w:val="24"/>
          <w:szCs w:val="24"/>
        </w:rPr>
        <w:t>;</w:t>
      </w:r>
      <w:r>
        <w:rPr>
          <w:rFonts w:ascii="Arial" w:eastAsia="Arial" w:hAnsi="Arial" w:cs="Arial"/>
          <w:sz w:val="24"/>
          <w:szCs w:val="24"/>
        </w:rPr>
        <w:t xml:space="preserve"> de igual manera fue </w:t>
      </w:r>
      <w:r w:rsidR="00566B86">
        <w:rPr>
          <w:rFonts w:ascii="Arial" w:eastAsia="Arial" w:hAnsi="Arial" w:cs="Arial"/>
          <w:sz w:val="24"/>
          <w:szCs w:val="24"/>
        </w:rPr>
        <w:t>convocada</w:t>
      </w:r>
      <w:r>
        <w:rPr>
          <w:rFonts w:ascii="Arial" w:eastAsia="Arial" w:hAnsi="Arial" w:cs="Arial"/>
          <w:sz w:val="24"/>
          <w:szCs w:val="24"/>
        </w:rPr>
        <w:t xml:space="preserve"> en las oficinas de regidurías del </w:t>
      </w:r>
      <w:r>
        <w:rPr>
          <w:rFonts w:ascii="Arial" w:eastAsia="Arial" w:hAnsi="Arial" w:cs="Arial"/>
          <w:i/>
          <w:iCs/>
          <w:sz w:val="24"/>
          <w:szCs w:val="24"/>
        </w:rPr>
        <w:t>Ayuntamiento</w:t>
      </w:r>
      <w:r>
        <w:rPr>
          <w:rFonts w:ascii="Arial" w:eastAsia="Arial" w:hAnsi="Arial" w:cs="Arial"/>
          <w:sz w:val="24"/>
          <w:szCs w:val="24"/>
        </w:rPr>
        <w:t>.</w:t>
      </w:r>
    </w:p>
    <w:p w14:paraId="171FCAEA" w14:textId="77777777" w:rsidR="000D1E58" w:rsidRDefault="00000000">
      <w:pPr>
        <w:tabs>
          <w:tab w:val="left" w:pos="567"/>
        </w:tabs>
        <w:spacing w:before="240" w:after="0" w:line="360" w:lineRule="auto"/>
        <w:ind w:right="-40"/>
        <w:jc w:val="both"/>
        <w:rPr>
          <w:rFonts w:ascii="Arial" w:eastAsia="Arial" w:hAnsi="Arial" w:cs="Arial"/>
          <w:sz w:val="24"/>
          <w:szCs w:val="24"/>
        </w:rPr>
      </w:pPr>
      <w:r>
        <w:rPr>
          <w:rFonts w:ascii="Arial" w:hAnsi="Arial" w:cs="Arial"/>
          <w:sz w:val="24"/>
          <w:szCs w:val="24"/>
        </w:rPr>
        <w:t xml:space="preserve">De ahí que, </w:t>
      </w:r>
      <w:r>
        <w:rPr>
          <w:rFonts w:ascii="Arial" w:eastAsia="Arial" w:hAnsi="Arial" w:cs="Arial"/>
          <w:sz w:val="24"/>
          <w:szCs w:val="24"/>
        </w:rPr>
        <w:t xml:space="preserve">la </w:t>
      </w:r>
      <w:r>
        <w:rPr>
          <w:rFonts w:ascii="Arial" w:eastAsia="Arial" w:hAnsi="Arial" w:cs="Arial"/>
          <w:b/>
          <w:bCs/>
          <w:sz w:val="24"/>
          <w:szCs w:val="24"/>
        </w:rPr>
        <w:t>notificación</w:t>
      </w:r>
      <w:r>
        <w:rPr>
          <w:rFonts w:ascii="Arial" w:eastAsia="Arial" w:hAnsi="Arial" w:cs="Arial"/>
          <w:sz w:val="24"/>
          <w:szCs w:val="24"/>
        </w:rPr>
        <w:t xml:space="preserve"> efectuada a la </w:t>
      </w:r>
      <w:r>
        <w:rPr>
          <w:rFonts w:ascii="Arial" w:eastAsia="Arial" w:hAnsi="Arial" w:cs="Arial"/>
          <w:i/>
          <w:iCs/>
          <w:sz w:val="24"/>
          <w:szCs w:val="24"/>
        </w:rPr>
        <w:t>actora</w:t>
      </w:r>
      <w:r>
        <w:rPr>
          <w:rFonts w:ascii="Arial" w:eastAsia="Arial" w:hAnsi="Arial" w:cs="Arial"/>
          <w:sz w:val="24"/>
          <w:szCs w:val="24"/>
        </w:rPr>
        <w:t xml:space="preserve"> surtió efectos; aunado a que queda demostrado que la misma asistió a la sesión en cuestión, a la cual la convocó el Secretario del </w:t>
      </w:r>
      <w:r>
        <w:rPr>
          <w:rFonts w:ascii="Arial" w:eastAsia="Arial" w:hAnsi="Arial" w:cs="Arial"/>
          <w:i/>
          <w:iCs/>
          <w:sz w:val="24"/>
          <w:szCs w:val="24"/>
        </w:rPr>
        <w:t xml:space="preserve">Ayuntamiento, </w:t>
      </w:r>
      <w:r>
        <w:rPr>
          <w:rFonts w:ascii="Arial" w:eastAsia="Arial" w:hAnsi="Arial" w:cs="Arial"/>
          <w:b/>
          <w:bCs/>
          <w:sz w:val="24"/>
          <w:szCs w:val="24"/>
        </w:rPr>
        <w:t>convalidando</w:t>
      </w:r>
      <w:r>
        <w:rPr>
          <w:rFonts w:ascii="Arial" w:eastAsia="Arial" w:hAnsi="Arial" w:cs="Arial"/>
          <w:sz w:val="24"/>
          <w:szCs w:val="24"/>
        </w:rPr>
        <w:t xml:space="preserve"> con ello cualquier vicio formal que ésta pudiera tener.</w:t>
      </w:r>
    </w:p>
    <w:p w14:paraId="39B83BC4" w14:textId="77777777" w:rsidR="000D1E58" w:rsidRDefault="00000000">
      <w:pPr>
        <w:tabs>
          <w:tab w:val="left" w:pos="567"/>
        </w:tabs>
        <w:spacing w:before="240" w:after="0" w:line="360" w:lineRule="auto"/>
        <w:ind w:right="-40"/>
        <w:jc w:val="both"/>
        <w:rPr>
          <w:rFonts w:ascii="Arial" w:eastAsia="Arial" w:hAnsi="Arial" w:cs="Arial"/>
          <w:sz w:val="24"/>
          <w:szCs w:val="24"/>
        </w:rPr>
      </w:pPr>
      <w:r>
        <w:rPr>
          <w:rFonts w:ascii="Arial" w:eastAsia="Arial" w:hAnsi="Arial" w:cs="Arial"/>
          <w:sz w:val="24"/>
          <w:szCs w:val="24"/>
        </w:rPr>
        <w:lastRenderedPageBreak/>
        <w:t xml:space="preserve">Ello es así, porque en el acta de la </w:t>
      </w:r>
      <w:r>
        <w:rPr>
          <w:rFonts w:ascii="Arial" w:eastAsia="Arial" w:hAnsi="Arial" w:cs="Arial"/>
          <w:i/>
          <w:iCs/>
          <w:sz w:val="24"/>
          <w:szCs w:val="24"/>
        </w:rPr>
        <w:t xml:space="preserve">Sesión Ordinaria 002, </w:t>
      </w:r>
      <w:r>
        <w:rPr>
          <w:rFonts w:ascii="Arial" w:eastAsia="Arial" w:hAnsi="Arial" w:cs="Arial"/>
          <w:sz w:val="24"/>
          <w:szCs w:val="24"/>
        </w:rPr>
        <w:t>como se precisó,</w:t>
      </w:r>
      <w:r>
        <w:rPr>
          <w:rFonts w:ascii="Arial" w:eastAsia="Arial" w:hAnsi="Arial" w:cs="Arial"/>
          <w:i/>
          <w:iCs/>
          <w:sz w:val="24"/>
          <w:szCs w:val="24"/>
        </w:rPr>
        <w:t xml:space="preserve"> </w:t>
      </w:r>
      <w:r>
        <w:rPr>
          <w:rFonts w:ascii="Arial" w:eastAsia="Arial" w:hAnsi="Arial" w:cs="Arial"/>
          <w:sz w:val="24"/>
          <w:szCs w:val="24"/>
        </w:rPr>
        <w:t xml:space="preserve">se encuentra acreditada su asistencia mediante la verificación del </w:t>
      </w:r>
      <w:r>
        <w:rPr>
          <w:rFonts w:ascii="Arial" w:eastAsia="Arial" w:hAnsi="Arial" w:cs="Arial"/>
          <w:i/>
          <w:iCs/>
          <w:sz w:val="24"/>
          <w:szCs w:val="24"/>
        </w:rPr>
        <w:t>quórum</w:t>
      </w:r>
      <w:r>
        <w:rPr>
          <w:rFonts w:ascii="Arial" w:eastAsia="Arial" w:hAnsi="Arial" w:cs="Arial"/>
          <w:sz w:val="24"/>
          <w:szCs w:val="24"/>
        </w:rPr>
        <w:t xml:space="preserve"> legal, así como su suscripción mediante las firmas plasmadas en ella</w:t>
      </w:r>
      <w:r>
        <w:rPr>
          <w:rStyle w:val="Refdenotaalpie"/>
          <w:rFonts w:ascii="Arial" w:eastAsia="Arial" w:hAnsi="Arial" w:cs="Arial"/>
          <w:sz w:val="24"/>
          <w:szCs w:val="24"/>
        </w:rPr>
        <w:footnoteReference w:id="43"/>
      </w:r>
      <w:r>
        <w:rPr>
          <w:rFonts w:ascii="Arial" w:eastAsia="Arial" w:hAnsi="Arial" w:cs="Arial"/>
          <w:sz w:val="24"/>
          <w:szCs w:val="24"/>
        </w:rPr>
        <w:t>.</w:t>
      </w:r>
    </w:p>
    <w:p w14:paraId="6BD98FFD" w14:textId="77777777" w:rsidR="000D1E58" w:rsidRDefault="00000000">
      <w:pPr>
        <w:tabs>
          <w:tab w:val="left" w:pos="567"/>
        </w:tabs>
        <w:spacing w:before="240" w:after="0" w:line="360" w:lineRule="auto"/>
        <w:ind w:right="-40"/>
        <w:jc w:val="both"/>
        <w:rPr>
          <w:rFonts w:ascii="Arial" w:eastAsia="Arial" w:hAnsi="Arial" w:cs="Arial"/>
          <w:sz w:val="24"/>
          <w:szCs w:val="24"/>
        </w:rPr>
      </w:pPr>
      <w:r>
        <w:rPr>
          <w:rFonts w:ascii="Arial" w:eastAsia="Arial" w:hAnsi="Arial" w:cs="Arial"/>
          <w:sz w:val="24"/>
          <w:szCs w:val="24"/>
        </w:rPr>
        <w:t>En consecuencia, no se cuenta con elementos suficientes para tener por demostrada la vulneración al ejercicio del cargo reclamada debido a la omisión de convocarla a la sesión en cita.</w:t>
      </w:r>
    </w:p>
    <w:p w14:paraId="1475C92F" w14:textId="49C05D66" w:rsidR="000D1E58" w:rsidRDefault="00000000">
      <w:pPr>
        <w:tabs>
          <w:tab w:val="left" w:pos="567"/>
        </w:tabs>
        <w:spacing w:before="240" w:after="0" w:line="360" w:lineRule="auto"/>
        <w:ind w:right="-40"/>
        <w:jc w:val="both"/>
        <w:rPr>
          <w:rFonts w:ascii="Arial" w:eastAsia="Arial" w:hAnsi="Arial" w:cs="Arial"/>
          <w:sz w:val="24"/>
          <w:szCs w:val="24"/>
        </w:rPr>
      </w:pPr>
      <w:r>
        <w:rPr>
          <w:rFonts w:ascii="Arial" w:eastAsia="Arial" w:hAnsi="Arial" w:cs="Arial"/>
          <w:sz w:val="24"/>
          <w:szCs w:val="24"/>
        </w:rPr>
        <w:t xml:space="preserve">Ahora bien, por lo que respecta al agravio </w:t>
      </w:r>
      <w:r>
        <w:rPr>
          <w:rFonts w:ascii="Arial" w:eastAsia="Arial" w:hAnsi="Arial" w:cs="Arial"/>
          <w:b/>
          <w:bCs/>
          <w:sz w:val="24"/>
          <w:szCs w:val="24"/>
        </w:rPr>
        <w:t>b)</w:t>
      </w:r>
      <w:r>
        <w:rPr>
          <w:rFonts w:ascii="Arial" w:eastAsia="Arial" w:hAnsi="Arial" w:cs="Arial"/>
          <w:sz w:val="24"/>
          <w:szCs w:val="24"/>
        </w:rPr>
        <w:t xml:space="preserve">, relacionado con la omisión de las </w:t>
      </w:r>
      <w:r>
        <w:rPr>
          <w:rFonts w:ascii="Arial" w:eastAsia="Arial" w:hAnsi="Arial" w:cs="Arial"/>
          <w:i/>
          <w:iCs/>
          <w:sz w:val="24"/>
          <w:szCs w:val="24"/>
        </w:rPr>
        <w:t>autoridades responsables</w:t>
      </w:r>
      <w:r>
        <w:rPr>
          <w:rFonts w:ascii="Arial" w:eastAsia="Arial" w:hAnsi="Arial" w:cs="Arial"/>
          <w:sz w:val="24"/>
          <w:szCs w:val="24"/>
        </w:rPr>
        <w:t xml:space="preserve"> de </w:t>
      </w:r>
      <w:r w:rsidRPr="00573A0D">
        <w:rPr>
          <w:rFonts w:ascii="Arial" w:eastAsia="Arial" w:hAnsi="Arial" w:cs="Arial"/>
          <w:sz w:val="24"/>
          <w:szCs w:val="24"/>
        </w:rPr>
        <w:t xml:space="preserve">proporcionarle la </w:t>
      </w:r>
      <w:r w:rsidRPr="00573A0D">
        <w:rPr>
          <w:rFonts w:ascii="Arial" w:eastAsia="Arial" w:hAnsi="Arial" w:cs="Arial"/>
          <w:b/>
          <w:bCs/>
          <w:sz w:val="24"/>
          <w:szCs w:val="24"/>
        </w:rPr>
        <w:t xml:space="preserve">información </w:t>
      </w:r>
      <w:r w:rsidRPr="00573A0D">
        <w:rPr>
          <w:rFonts w:ascii="Arial" w:eastAsia="Arial" w:hAnsi="Arial" w:cs="Arial"/>
          <w:sz w:val="24"/>
          <w:szCs w:val="24"/>
        </w:rPr>
        <w:t xml:space="preserve">necesaria, respecto de los puntos a desahogar en la sesión en análisis, </w:t>
      </w:r>
      <w:r w:rsidR="009B745D" w:rsidRPr="00573A0D">
        <w:rPr>
          <w:rFonts w:ascii="Arial" w:eastAsia="Arial" w:hAnsi="Arial" w:cs="Arial"/>
          <w:sz w:val="24"/>
          <w:szCs w:val="24"/>
        </w:rPr>
        <w:t xml:space="preserve">como se mencionó </w:t>
      </w:r>
      <w:r w:rsidRPr="00573A0D">
        <w:rPr>
          <w:rFonts w:ascii="Arial" w:eastAsia="Arial" w:hAnsi="Arial" w:cs="Arial"/>
          <w:sz w:val="24"/>
          <w:szCs w:val="24"/>
        </w:rPr>
        <w:t xml:space="preserve">también se estima </w:t>
      </w:r>
      <w:r w:rsidRPr="00573A0D">
        <w:rPr>
          <w:rFonts w:ascii="Arial" w:eastAsia="Arial" w:hAnsi="Arial" w:cs="Arial"/>
          <w:b/>
          <w:bCs/>
          <w:sz w:val="24"/>
          <w:szCs w:val="24"/>
        </w:rPr>
        <w:t>infundado</w:t>
      </w:r>
      <w:r w:rsidR="009B745D" w:rsidRPr="00573A0D">
        <w:rPr>
          <w:rFonts w:ascii="Arial" w:eastAsia="Arial" w:hAnsi="Arial" w:cs="Arial"/>
          <w:b/>
          <w:bCs/>
          <w:sz w:val="24"/>
          <w:szCs w:val="24"/>
        </w:rPr>
        <w:t xml:space="preserve"> </w:t>
      </w:r>
      <w:r w:rsidR="009B745D" w:rsidRPr="00573A0D">
        <w:rPr>
          <w:rFonts w:ascii="Arial" w:eastAsia="Arial" w:hAnsi="Arial" w:cs="Arial"/>
          <w:sz w:val="24"/>
          <w:szCs w:val="24"/>
        </w:rPr>
        <w:t xml:space="preserve">toda vez que, </w:t>
      </w:r>
      <w:r w:rsidRPr="00573A0D">
        <w:rPr>
          <w:rFonts w:ascii="Arial" w:eastAsia="Arial" w:hAnsi="Arial" w:cs="Arial"/>
          <w:sz w:val="24"/>
          <w:szCs w:val="24"/>
        </w:rPr>
        <w:t xml:space="preserve">la </w:t>
      </w:r>
      <w:r w:rsidRPr="00573A0D">
        <w:rPr>
          <w:rFonts w:ascii="Arial" w:eastAsia="Arial" w:hAnsi="Arial" w:cs="Arial"/>
          <w:i/>
          <w:iCs/>
          <w:sz w:val="24"/>
          <w:szCs w:val="24"/>
        </w:rPr>
        <w:t>Regidora</w:t>
      </w:r>
      <w:r w:rsidRPr="00573A0D">
        <w:rPr>
          <w:rFonts w:ascii="Arial" w:eastAsia="Arial" w:hAnsi="Arial" w:cs="Arial"/>
          <w:sz w:val="24"/>
          <w:szCs w:val="24"/>
        </w:rPr>
        <w:t xml:space="preserve"> se adolece de que </w:t>
      </w:r>
      <w:r w:rsidR="00820ABF" w:rsidRPr="00573A0D">
        <w:rPr>
          <w:rFonts w:ascii="Arial" w:eastAsia="Arial" w:hAnsi="Arial" w:cs="Arial"/>
          <w:sz w:val="24"/>
          <w:szCs w:val="24"/>
        </w:rPr>
        <w:t xml:space="preserve">la omisión de convocarla </w:t>
      </w:r>
      <w:r w:rsidRPr="00573A0D">
        <w:rPr>
          <w:rFonts w:ascii="Arial" w:eastAsia="Arial" w:hAnsi="Arial" w:cs="Arial"/>
          <w:sz w:val="24"/>
          <w:szCs w:val="24"/>
        </w:rPr>
        <w:t xml:space="preserve">a la </w:t>
      </w:r>
      <w:r w:rsidRPr="00573A0D">
        <w:rPr>
          <w:rFonts w:ascii="Arial" w:eastAsia="Arial" w:hAnsi="Arial" w:cs="Arial"/>
          <w:i/>
          <w:iCs/>
          <w:sz w:val="24"/>
          <w:szCs w:val="24"/>
        </w:rPr>
        <w:t>Sesión Ordinaria 002</w:t>
      </w:r>
      <w:r w:rsidRPr="00573A0D">
        <w:rPr>
          <w:rFonts w:ascii="Arial" w:eastAsia="Arial" w:hAnsi="Arial" w:cs="Arial"/>
          <w:sz w:val="24"/>
          <w:szCs w:val="24"/>
        </w:rPr>
        <w:t xml:space="preserve">, se hace </w:t>
      </w:r>
      <w:r w:rsidRPr="00573A0D">
        <w:rPr>
          <w:rFonts w:ascii="Arial" w:eastAsia="Arial" w:hAnsi="Arial" w:cs="Arial"/>
          <w:b/>
          <w:bCs/>
          <w:sz w:val="24"/>
          <w:szCs w:val="24"/>
        </w:rPr>
        <w:t xml:space="preserve">extensiva </w:t>
      </w:r>
      <w:r w:rsidRPr="00573A0D">
        <w:rPr>
          <w:rFonts w:ascii="Arial" w:eastAsia="Arial" w:hAnsi="Arial" w:cs="Arial"/>
          <w:sz w:val="24"/>
          <w:szCs w:val="24"/>
        </w:rPr>
        <w:t>a la negativa de proporcionarle información necesaria para ahí desahogarse. Para mayor claridad</w:t>
      </w:r>
      <w:r>
        <w:rPr>
          <w:rFonts w:ascii="Arial" w:eastAsia="Arial" w:hAnsi="Arial" w:cs="Arial"/>
          <w:sz w:val="24"/>
          <w:szCs w:val="24"/>
        </w:rPr>
        <w:t xml:space="preserve"> se inserta el orden del día correspondiente:</w:t>
      </w:r>
    </w:p>
    <w:p w14:paraId="05B3D5B0" w14:textId="77777777" w:rsidR="000D1E58" w:rsidRDefault="000D1E58">
      <w:pPr>
        <w:tabs>
          <w:tab w:val="left" w:pos="567"/>
        </w:tabs>
        <w:spacing w:before="240" w:after="0" w:line="360" w:lineRule="auto"/>
        <w:ind w:right="-40"/>
        <w:jc w:val="both"/>
        <w:rPr>
          <w:rFonts w:ascii="Arial" w:eastAsia="Arial" w:hAnsi="Arial" w:cs="Arial"/>
          <w:sz w:val="26"/>
          <w:szCs w:val="26"/>
        </w:rPr>
      </w:pPr>
    </w:p>
    <w:p w14:paraId="5F196A99" w14:textId="77777777" w:rsidR="000D1E58" w:rsidRDefault="00000000">
      <w:pPr>
        <w:tabs>
          <w:tab w:val="left" w:pos="567"/>
        </w:tabs>
        <w:spacing w:before="240" w:after="0" w:line="360" w:lineRule="auto"/>
        <w:ind w:right="-40"/>
        <w:jc w:val="center"/>
        <w:rPr>
          <w:rFonts w:ascii="Arial" w:eastAsia="Arial" w:hAnsi="Arial" w:cs="Arial"/>
          <w:sz w:val="26"/>
          <w:szCs w:val="26"/>
        </w:rPr>
      </w:pPr>
      <w:r>
        <w:rPr>
          <w:rFonts w:ascii="Arial" w:eastAsia="Arial" w:hAnsi="Arial" w:cs="Arial"/>
          <w:noProof/>
          <w:sz w:val="26"/>
          <w:szCs w:val="26"/>
        </w:rPr>
        <w:drawing>
          <wp:inline distT="0" distB="0" distL="0" distR="0" wp14:anchorId="2CC70B18" wp14:editId="6B017108">
            <wp:extent cx="4482721" cy="2019300"/>
            <wp:effectExtent l="0" t="0" r="0" b="0"/>
            <wp:docPr id="18408888" name="Imagen 2" descr="Un periódico con texto e image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8888" name="Imagen 2" descr="Un periódico con texto e imagen&#10;&#10;El contenido generado por IA puede ser incorrect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94755" cy="2024721"/>
                    </a:xfrm>
                    <a:prstGeom prst="rect">
                      <a:avLst/>
                    </a:prstGeom>
                    <a:noFill/>
                    <a:ln>
                      <a:noFill/>
                    </a:ln>
                  </pic:spPr>
                </pic:pic>
              </a:graphicData>
            </a:graphic>
          </wp:inline>
        </w:drawing>
      </w:r>
    </w:p>
    <w:p w14:paraId="6D1B491E" w14:textId="77777777" w:rsidR="000D1E58" w:rsidRDefault="00000000">
      <w:pPr>
        <w:tabs>
          <w:tab w:val="left" w:pos="567"/>
        </w:tabs>
        <w:spacing w:before="240" w:after="0" w:line="360" w:lineRule="auto"/>
        <w:ind w:right="-40"/>
        <w:jc w:val="both"/>
        <w:rPr>
          <w:rFonts w:ascii="Arial" w:eastAsia="Arial" w:hAnsi="Arial" w:cs="Arial"/>
          <w:sz w:val="24"/>
          <w:szCs w:val="24"/>
        </w:rPr>
      </w:pPr>
      <w:r>
        <w:rPr>
          <w:rFonts w:ascii="Arial" w:eastAsia="Arial" w:hAnsi="Arial" w:cs="Arial"/>
          <w:sz w:val="24"/>
          <w:szCs w:val="24"/>
        </w:rPr>
        <w:t xml:space="preserve">Cabe señalar que, del Acta de la sesión en comento previamente referida, se advierte que la </w:t>
      </w:r>
      <w:r>
        <w:rPr>
          <w:rFonts w:ascii="Arial" w:eastAsia="Arial" w:hAnsi="Arial" w:cs="Arial"/>
          <w:i/>
          <w:iCs/>
          <w:sz w:val="24"/>
          <w:szCs w:val="24"/>
        </w:rPr>
        <w:t>actora</w:t>
      </w:r>
      <w:r>
        <w:rPr>
          <w:rFonts w:ascii="Arial" w:eastAsia="Arial" w:hAnsi="Arial" w:cs="Arial"/>
          <w:sz w:val="24"/>
          <w:szCs w:val="24"/>
        </w:rPr>
        <w:t xml:space="preserve"> realizó manifestaciones para justificar el sentido de su voto en contra de los puntos </w:t>
      </w:r>
      <w:r>
        <w:rPr>
          <w:rFonts w:ascii="Arial" w:eastAsia="Arial" w:hAnsi="Arial" w:cs="Arial"/>
          <w:b/>
          <w:bCs/>
          <w:sz w:val="24"/>
          <w:szCs w:val="24"/>
        </w:rPr>
        <w:t xml:space="preserve">V, VI, VII </w:t>
      </w:r>
      <w:r>
        <w:rPr>
          <w:rFonts w:ascii="Arial" w:eastAsia="Arial" w:hAnsi="Arial" w:cs="Arial"/>
          <w:sz w:val="24"/>
          <w:szCs w:val="24"/>
        </w:rPr>
        <w:t>y</w:t>
      </w:r>
      <w:r>
        <w:rPr>
          <w:rFonts w:ascii="Arial" w:eastAsia="Arial" w:hAnsi="Arial" w:cs="Arial"/>
          <w:b/>
          <w:bCs/>
          <w:sz w:val="24"/>
          <w:szCs w:val="24"/>
        </w:rPr>
        <w:t xml:space="preserve"> VIII </w:t>
      </w:r>
      <w:r>
        <w:rPr>
          <w:rFonts w:ascii="Arial" w:eastAsia="Arial" w:hAnsi="Arial" w:cs="Arial"/>
          <w:sz w:val="24"/>
          <w:szCs w:val="24"/>
        </w:rPr>
        <w:t xml:space="preserve">del orden por </w:t>
      </w:r>
      <w:r>
        <w:rPr>
          <w:rFonts w:ascii="Arial" w:eastAsia="Arial" w:hAnsi="Arial" w:cs="Arial"/>
          <w:b/>
          <w:bCs/>
          <w:sz w:val="24"/>
          <w:szCs w:val="24"/>
        </w:rPr>
        <w:t>no contar con la información</w:t>
      </w:r>
      <w:r>
        <w:rPr>
          <w:rFonts w:ascii="Arial" w:eastAsia="Arial" w:hAnsi="Arial" w:cs="Arial"/>
          <w:sz w:val="24"/>
          <w:szCs w:val="24"/>
        </w:rPr>
        <w:t xml:space="preserve"> correspondiente; así como su voto a favor, respecto de los restantes puntos.</w:t>
      </w:r>
    </w:p>
    <w:p w14:paraId="4AD1066C" w14:textId="3C72EB39" w:rsidR="000D1E58" w:rsidRDefault="00000000">
      <w:pPr>
        <w:tabs>
          <w:tab w:val="left" w:pos="567"/>
        </w:tabs>
        <w:spacing w:before="240" w:after="0" w:line="360" w:lineRule="auto"/>
        <w:ind w:right="-40"/>
        <w:jc w:val="both"/>
        <w:rPr>
          <w:rFonts w:ascii="Arial" w:hAnsi="Arial" w:cs="Arial"/>
          <w:sz w:val="24"/>
          <w:szCs w:val="24"/>
        </w:rPr>
      </w:pPr>
      <w:r>
        <w:rPr>
          <w:rFonts w:ascii="Arial" w:eastAsia="Arial" w:hAnsi="Arial" w:cs="Arial"/>
          <w:sz w:val="24"/>
          <w:szCs w:val="24"/>
        </w:rPr>
        <w:t xml:space="preserve">De lo anterior se desprende que por una parte, la </w:t>
      </w:r>
      <w:r>
        <w:rPr>
          <w:rFonts w:ascii="Arial" w:eastAsia="Arial" w:hAnsi="Arial" w:cs="Arial"/>
          <w:i/>
          <w:iCs/>
          <w:sz w:val="24"/>
          <w:szCs w:val="24"/>
        </w:rPr>
        <w:t>actora</w:t>
      </w:r>
      <w:r>
        <w:rPr>
          <w:rFonts w:ascii="Arial" w:eastAsia="Arial" w:hAnsi="Arial" w:cs="Arial"/>
          <w:sz w:val="24"/>
          <w:szCs w:val="24"/>
        </w:rPr>
        <w:t xml:space="preserve"> aduce una omisión de haberle proporcionado la información referida debido a una </w:t>
      </w:r>
      <w:r>
        <w:rPr>
          <w:rFonts w:ascii="Arial" w:eastAsia="Arial" w:hAnsi="Arial" w:cs="Arial"/>
          <w:b/>
          <w:bCs/>
          <w:sz w:val="24"/>
          <w:szCs w:val="24"/>
        </w:rPr>
        <w:t xml:space="preserve">extensión </w:t>
      </w:r>
      <w:r>
        <w:rPr>
          <w:rFonts w:ascii="Arial" w:eastAsia="Arial" w:hAnsi="Arial" w:cs="Arial"/>
          <w:sz w:val="24"/>
          <w:szCs w:val="24"/>
        </w:rPr>
        <w:t xml:space="preserve">de la </w:t>
      </w:r>
      <w:r w:rsidRPr="00573A0D">
        <w:rPr>
          <w:rFonts w:ascii="Arial" w:eastAsia="Arial" w:hAnsi="Arial" w:cs="Arial"/>
          <w:sz w:val="24"/>
          <w:szCs w:val="24"/>
        </w:rPr>
        <w:lastRenderedPageBreak/>
        <w:t xml:space="preserve">omisión </w:t>
      </w:r>
      <w:r w:rsidR="00557824" w:rsidRPr="00573A0D">
        <w:rPr>
          <w:rFonts w:ascii="Arial" w:eastAsia="Arial" w:hAnsi="Arial" w:cs="Arial"/>
          <w:sz w:val="24"/>
          <w:szCs w:val="24"/>
        </w:rPr>
        <w:t>de la notificación de</w:t>
      </w:r>
      <w:r w:rsidRPr="00573A0D">
        <w:rPr>
          <w:rFonts w:ascii="Arial" w:eastAsia="Arial" w:hAnsi="Arial" w:cs="Arial"/>
          <w:sz w:val="24"/>
          <w:szCs w:val="24"/>
        </w:rPr>
        <w:t xml:space="preserve"> la convocatoria ya analizada; y, por la otra, las </w:t>
      </w:r>
      <w:r w:rsidRPr="00573A0D">
        <w:rPr>
          <w:rFonts w:ascii="Arial" w:eastAsia="Arial" w:hAnsi="Arial" w:cs="Arial"/>
          <w:i/>
          <w:iCs/>
          <w:sz w:val="24"/>
          <w:szCs w:val="24"/>
        </w:rPr>
        <w:t>autoridades responsables</w:t>
      </w:r>
      <w:r w:rsidRPr="00573A0D">
        <w:rPr>
          <w:rFonts w:ascii="Arial" w:eastAsia="Arial" w:hAnsi="Arial" w:cs="Arial"/>
          <w:sz w:val="24"/>
          <w:szCs w:val="24"/>
        </w:rPr>
        <w:t xml:space="preserve"> allegaron a este </w:t>
      </w:r>
      <w:r w:rsidRPr="00573A0D">
        <w:rPr>
          <w:rFonts w:ascii="Arial" w:eastAsia="Arial" w:hAnsi="Arial" w:cs="Arial"/>
          <w:i/>
          <w:iCs/>
          <w:sz w:val="24"/>
          <w:szCs w:val="24"/>
        </w:rPr>
        <w:t>órgano jurisdiccional</w:t>
      </w:r>
      <w:r w:rsidRPr="00573A0D">
        <w:rPr>
          <w:rFonts w:ascii="Arial" w:eastAsia="Arial" w:hAnsi="Arial" w:cs="Arial"/>
          <w:sz w:val="24"/>
          <w:szCs w:val="24"/>
        </w:rPr>
        <w:t xml:space="preserve"> la certificación </w:t>
      </w:r>
      <w:r w:rsidRPr="00573A0D">
        <w:rPr>
          <w:rFonts w:ascii="Arial" w:hAnsi="Arial" w:cs="Arial"/>
          <w:sz w:val="24"/>
          <w:szCs w:val="24"/>
        </w:rPr>
        <w:t>signada por el Secretario del</w:t>
      </w:r>
      <w:r w:rsidRPr="00573A0D">
        <w:rPr>
          <w:rFonts w:ascii="Arial" w:hAnsi="Arial" w:cs="Arial"/>
          <w:i/>
          <w:iCs/>
          <w:sz w:val="24"/>
          <w:szCs w:val="24"/>
        </w:rPr>
        <w:t xml:space="preserve"> Ayuntamiento,</w:t>
      </w:r>
      <w:r w:rsidRPr="00573A0D">
        <w:rPr>
          <w:rFonts w:ascii="Arial" w:hAnsi="Arial" w:cs="Arial"/>
          <w:sz w:val="24"/>
          <w:szCs w:val="24"/>
        </w:rPr>
        <w:t xml:space="preserve"> de la que se advierte que en efecto, a las nueve horas, con treinta minutos, del veinticuatro de enero, en el domicilio por ella autorizado, correspondiente a su Oficina de Atención Ciudadana, el </w:t>
      </w:r>
      <w:r w:rsidRPr="00573A0D">
        <w:rPr>
          <w:rFonts w:ascii="Arial" w:hAnsi="Arial" w:cs="Arial"/>
          <w:i/>
          <w:iCs/>
          <w:sz w:val="24"/>
          <w:szCs w:val="24"/>
        </w:rPr>
        <w:t>Secretario</w:t>
      </w:r>
      <w:r w:rsidRPr="00573A0D">
        <w:rPr>
          <w:rFonts w:ascii="Arial" w:hAnsi="Arial" w:cs="Arial"/>
          <w:sz w:val="24"/>
          <w:szCs w:val="24"/>
        </w:rPr>
        <w:t xml:space="preserve"> hace constar la notificación </w:t>
      </w:r>
      <w:r w:rsidR="00FE7DF5" w:rsidRPr="00573A0D">
        <w:rPr>
          <w:rFonts w:ascii="Arial" w:hAnsi="Arial" w:cs="Arial"/>
          <w:sz w:val="24"/>
          <w:szCs w:val="24"/>
        </w:rPr>
        <w:t>de l</w:t>
      </w:r>
      <w:r w:rsidRPr="00573A0D">
        <w:rPr>
          <w:rFonts w:ascii="Arial" w:hAnsi="Arial" w:cs="Arial"/>
          <w:sz w:val="24"/>
          <w:szCs w:val="24"/>
        </w:rPr>
        <w:t xml:space="preserve">a Convocatoria de la </w:t>
      </w:r>
      <w:r w:rsidRPr="00573A0D">
        <w:rPr>
          <w:rFonts w:ascii="Arial" w:hAnsi="Arial" w:cs="Arial"/>
          <w:i/>
          <w:iCs/>
          <w:sz w:val="24"/>
          <w:szCs w:val="24"/>
        </w:rPr>
        <w:t>Sesión Ordinaria 002</w:t>
      </w:r>
      <w:r w:rsidRPr="00573A0D">
        <w:rPr>
          <w:rFonts w:ascii="Arial" w:hAnsi="Arial" w:cs="Arial"/>
          <w:sz w:val="24"/>
          <w:szCs w:val="24"/>
        </w:rPr>
        <w:t xml:space="preserve">, </w:t>
      </w:r>
      <w:r w:rsidR="00FE7DF5" w:rsidRPr="00573A0D">
        <w:rPr>
          <w:rFonts w:ascii="Arial" w:hAnsi="Arial" w:cs="Arial"/>
          <w:sz w:val="24"/>
          <w:szCs w:val="24"/>
        </w:rPr>
        <w:t xml:space="preserve">así </w:t>
      </w:r>
      <w:r w:rsidRPr="00573A0D">
        <w:rPr>
          <w:rFonts w:ascii="Arial" w:hAnsi="Arial" w:cs="Arial"/>
          <w:sz w:val="24"/>
          <w:szCs w:val="24"/>
        </w:rPr>
        <w:t xml:space="preserve">como cinco anexos, relativos a los puntos </w:t>
      </w:r>
      <w:r w:rsidRPr="00573A0D">
        <w:rPr>
          <w:rFonts w:ascii="Arial" w:hAnsi="Arial" w:cs="Arial"/>
          <w:b/>
          <w:bCs/>
          <w:sz w:val="24"/>
          <w:szCs w:val="24"/>
        </w:rPr>
        <w:t xml:space="preserve">V, VI, VII, VIII, </w:t>
      </w:r>
      <w:r w:rsidRPr="00573A0D">
        <w:rPr>
          <w:rFonts w:ascii="Arial" w:hAnsi="Arial" w:cs="Arial"/>
          <w:sz w:val="24"/>
          <w:szCs w:val="24"/>
        </w:rPr>
        <w:t>y</w:t>
      </w:r>
      <w:r w:rsidRPr="00573A0D">
        <w:rPr>
          <w:rFonts w:ascii="Arial" w:hAnsi="Arial" w:cs="Arial"/>
          <w:b/>
          <w:bCs/>
          <w:sz w:val="24"/>
          <w:szCs w:val="24"/>
        </w:rPr>
        <w:t xml:space="preserve"> IX,</w:t>
      </w:r>
      <w:r w:rsidRPr="00573A0D">
        <w:rPr>
          <w:rFonts w:ascii="Arial" w:hAnsi="Arial" w:cs="Arial"/>
          <w:sz w:val="24"/>
          <w:szCs w:val="24"/>
        </w:rPr>
        <w:t xml:space="preserve"> del orden del día </w:t>
      </w:r>
      <w:r w:rsidR="00FE7DF5" w:rsidRPr="00573A0D">
        <w:rPr>
          <w:rFonts w:ascii="Arial" w:hAnsi="Arial" w:cs="Arial"/>
          <w:sz w:val="24"/>
          <w:szCs w:val="24"/>
        </w:rPr>
        <w:t>respectivo</w:t>
      </w:r>
      <w:r w:rsidRPr="00573A0D">
        <w:rPr>
          <w:rFonts w:ascii="Arial" w:hAnsi="Arial" w:cs="Arial"/>
          <w:sz w:val="24"/>
          <w:szCs w:val="24"/>
        </w:rPr>
        <w:t>.</w:t>
      </w:r>
      <w:r>
        <w:rPr>
          <w:rFonts w:ascii="Arial" w:hAnsi="Arial" w:cs="Arial"/>
          <w:sz w:val="24"/>
          <w:szCs w:val="24"/>
        </w:rPr>
        <w:t xml:space="preserve"> </w:t>
      </w:r>
    </w:p>
    <w:p w14:paraId="4FF04742" w14:textId="41396660" w:rsidR="000D1E58" w:rsidRDefault="00000000">
      <w:pPr>
        <w:tabs>
          <w:tab w:val="left" w:pos="567"/>
        </w:tabs>
        <w:spacing w:before="240" w:after="0" w:line="360" w:lineRule="auto"/>
        <w:ind w:right="-40"/>
        <w:jc w:val="both"/>
        <w:rPr>
          <w:rFonts w:ascii="Arial" w:hAnsi="Arial" w:cs="Arial"/>
          <w:sz w:val="24"/>
          <w:szCs w:val="24"/>
        </w:rPr>
      </w:pPr>
      <w:r>
        <w:rPr>
          <w:rFonts w:ascii="Arial" w:eastAsia="Arial" w:hAnsi="Arial" w:cs="Arial"/>
          <w:sz w:val="24"/>
          <w:szCs w:val="24"/>
        </w:rPr>
        <w:t xml:space="preserve">Constancias que obran en el expediente y que cuentan con valor probatorio pleno, como previamente se calificó y de las que se reitera, se le dio </w:t>
      </w:r>
      <w:r>
        <w:rPr>
          <w:rFonts w:ascii="Arial" w:eastAsia="Arial" w:hAnsi="Arial" w:cs="Arial"/>
          <w:b/>
          <w:bCs/>
          <w:sz w:val="24"/>
          <w:szCs w:val="24"/>
        </w:rPr>
        <w:t xml:space="preserve">vista </w:t>
      </w:r>
      <w:r>
        <w:rPr>
          <w:rFonts w:ascii="Arial" w:eastAsia="Arial" w:hAnsi="Arial" w:cs="Arial"/>
          <w:sz w:val="24"/>
          <w:szCs w:val="24"/>
        </w:rPr>
        <w:t xml:space="preserve">a </w:t>
      </w:r>
      <w:r>
        <w:rPr>
          <w:rFonts w:ascii="Arial" w:hAnsi="Arial" w:cs="Arial"/>
          <w:sz w:val="24"/>
          <w:szCs w:val="24"/>
        </w:rPr>
        <w:t xml:space="preserve">la </w:t>
      </w:r>
      <w:r>
        <w:rPr>
          <w:rFonts w:ascii="Arial" w:hAnsi="Arial" w:cs="Arial"/>
          <w:i/>
          <w:iCs/>
          <w:sz w:val="24"/>
          <w:szCs w:val="24"/>
        </w:rPr>
        <w:t>actora</w:t>
      </w:r>
      <w:r>
        <w:rPr>
          <w:rFonts w:ascii="Arial" w:hAnsi="Arial" w:cs="Arial"/>
          <w:sz w:val="24"/>
          <w:szCs w:val="24"/>
        </w:rPr>
        <w:t xml:space="preserve"> por el plazo de tres días, para que manifestara lo que a su derecho conviniera; sin que lo hubiera hecho, por lo que se </w:t>
      </w:r>
      <w:r w:rsidRPr="00573A0D">
        <w:rPr>
          <w:rFonts w:ascii="Arial" w:hAnsi="Arial" w:cs="Arial"/>
          <w:sz w:val="24"/>
          <w:szCs w:val="24"/>
        </w:rPr>
        <w:t xml:space="preserve">le tuvo por </w:t>
      </w:r>
      <w:r w:rsidR="00FE7DF5" w:rsidRPr="00573A0D">
        <w:rPr>
          <w:rFonts w:ascii="Arial" w:hAnsi="Arial" w:cs="Arial"/>
          <w:b/>
          <w:bCs/>
          <w:sz w:val="24"/>
          <w:szCs w:val="24"/>
        </w:rPr>
        <w:t>precluido</w:t>
      </w:r>
      <w:r w:rsidRPr="00573A0D">
        <w:rPr>
          <w:rFonts w:ascii="Arial" w:hAnsi="Arial" w:cs="Arial"/>
          <w:b/>
          <w:bCs/>
          <w:sz w:val="24"/>
          <w:szCs w:val="24"/>
        </w:rPr>
        <w:t>.</w:t>
      </w:r>
    </w:p>
    <w:p w14:paraId="4FEA89A4" w14:textId="24FBD161" w:rsidR="000D1E58" w:rsidRDefault="00000000">
      <w:pPr>
        <w:spacing w:before="240" w:after="240" w:line="360" w:lineRule="auto"/>
        <w:jc w:val="both"/>
        <w:rPr>
          <w:rFonts w:ascii="Arial" w:eastAsia="Arial" w:hAnsi="Arial" w:cs="Arial"/>
          <w:sz w:val="24"/>
          <w:szCs w:val="24"/>
        </w:rPr>
      </w:pPr>
      <w:r>
        <w:rPr>
          <w:rFonts w:ascii="Arial" w:eastAsia="Arial" w:hAnsi="Arial" w:cs="Arial"/>
          <w:sz w:val="24"/>
          <w:szCs w:val="24"/>
        </w:rPr>
        <w:t xml:space="preserve">De ahí que, no le asista la razón a la </w:t>
      </w:r>
      <w:r>
        <w:rPr>
          <w:rFonts w:ascii="Arial" w:eastAsia="Arial" w:hAnsi="Arial" w:cs="Arial"/>
          <w:i/>
          <w:iCs/>
          <w:sz w:val="24"/>
          <w:szCs w:val="24"/>
        </w:rPr>
        <w:t>Regidora</w:t>
      </w:r>
      <w:r>
        <w:rPr>
          <w:rFonts w:ascii="Arial" w:eastAsia="Arial" w:hAnsi="Arial" w:cs="Arial"/>
          <w:sz w:val="24"/>
          <w:szCs w:val="24"/>
        </w:rPr>
        <w:t xml:space="preserve"> al referir que se hace </w:t>
      </w:r>
      <w:r>
        <w:rPr>
          <w:rFonts w:ascii="Arial" w:eastAsia="Arial" w:hAnsi="Arial" w:cs="Arial"/>
          <w:b/>
          <w:bCs/>
          <w:sz w:val="24"/>
          <w:szCs w:val="24"/>
        </w:rPr>
        <w:t xml:space="preserve">extensiva </w:t>
      </w:r>
      <w:r>
        <w:rPr>
          <w:rFonts w:ascii="Arial" w:eastAsia="Arial" w:hAnsi="Arial" w:cs="Arial"/>
          <w:sz w:val="24"/>
          <w:szCs w:val="24"/>
        </w:rPr>
        <w:t xml:space="preserve">la falta de proporcionarle información, debido a la omisión de convocarla a la </w:t>
      </w:r>
      <w:r>
        <w:rPr>
          <w:rFonts w:ascii="Arial" w:eastAsia="Arial" w:hAnsi="Arial" w:cs="Arial"/>
          <w:i/>
          <w:iCs/>
          <w:sz w:val="24"/>
          <w:szCs w:val="24"/>
        </w:rPr>
        <w:t>Sesión Ordinaria 002</w:t>
      </w:r>
      <w:r>
        <w:rPr>
          <w:rFonts w:ascii="Arial" w:eastAsia="Arial" w:hAnsi="Arial" w:cs="Arial"/>
          <w:sz w:val="24"/>
          <w:szCs w:val="24"/>
        </w:rPr>
        <w:t xml:space="preserve">. En consecuencia, se estima </w:t>
      </w:r>
      <w:r>
        <w:rPr>
          <w:rFonts w:ascii="Arial" w:eastAsia="Arial" w:hAnsi="Arial" w:cs="Arial"/>
          <w:b/>
          <w:bCs/>
          <w:sz w:val="24"/>
          <w:szCs w:val="24"/>
        </w:rPr>
        <w:t>infundada</w:t>
      </w:r>
      <w:r>
        <w:rPr>
          <w:rFonts w:ascii="Arial" w:eastAsia="Arial" w:hAnsi="Arial" w:cs="Arial"/>
          <w:sz w:val="24"/>
          <w:szCs w:val="24"/>
        </w:rPr>
        <w:t xml:space="preserve"> la vulneración atribuida a las </w:t>
      </w:r>
      <w:r>
        <w:rPr>
          <w:rFonts w:ascii="Arial" w:eastAsia="Arial" w:hAnsi="Arial" w:cs="Arial"/>
          <w:i/>
          <w:iCs/>
          <w:sz w:val="24"/>
          <w:szCs w:val="24"/>
        </w:rPr>
        <w:t>autoridades responsables</w:t>
      </w:r>
      <w:r>
        <w:rPr>
          <w:rFonts w:ascii="Arial" w:eastAsia="Arial" w:hAnsi="Arial" w:cs="Arial"/>
          <w:sz w:val="24"/>
          <w:szCs w:val="24"/>
        </w:rPr>
        <w:t xml:space="preserve">. </w:t>
      </w:r>
    </w:p>
    <w:p w14:paraId="73AF2A2C" w14:textId="77777777" w:rsidR="000D1E58" w:rsidRDefault="00000000">
      <w:pPr>
        <w:spacing w:before="240" w:after="240" w:line="360" w:lineRule="auto"/>
        <w:jc w:val="both"/>
        <w:rPr>
          <w:rFonts w:ascii="Arial" w:eastAsia="Arial" w:hAnsi="Arial" w:cs="Arial"/>
          <w:sz w:val="24"/>
          <w:szCs w:val="24"/>
        </w:rPr>
      </w:pPr>
      <w:r>
        <w:rPr>
          <w:rFonts w:ascii="Arial" w:eastAsia="Arial" w:hAnsi="Arial" w:cs="Arial"/>
          <w:sz w:val="24"/>
          <w:szCs w:val="24"/>
        </w:rPr>
        <w:t xml:space="preserve">No pasa inadvertido para este </w:t>
      </w:r>
      <w:r>
        <w:rPr>
          <w:rFonts w:ascii="Arial" w:eastAsia="Arial" w:hAnsi="Arial" w:cs="Arial"/>
          <w:i/>
          <w:iCs/>
          <w:sz w:val="24"/>
          <w:szCs w:val="24"/>
        </w:rPr>
        <w:t>Tribunal</w:t>
      </w:r>
      <w:r>
        <w:rPr>
          <w:rFonts w:ascii="Arial" w:eastAsia="Arial" w:hAnsi="Arial" w:cs="Arial"/>
          <w:sz w:val="24"/>
          <w:szCs w:val="24"/>
        </w:rPr>
        <w:t xml:space="preserve"> </w:t>
      </w:r>
      <w:r>
        <w:rPr>
          <w:rFonts w:ascii="Arial" w:eastAsia="Arial" w:hAnsi="Arial" w:cs="Arial"/>
          <w:i/>
          <w:iCs/>
          <w:sz w:val="24"/>
          <w:szCs w:val="24"/>
        </w:rPr>
        <w:t xml:space="preserve">Electoral </w:t>
      </w:r>
      <w:r>
        <w:rPr>
          <w:rFonts w:ascii="Arial" w:eastAsia="Arial" w:hAnsi="Arial" w:cs="Arial"/>
          <w:sz w:val="24"/>
          <w:szCs w:val="24"/>
        </w:rPr>
        <w:t xml:space="preserve">que la </w:t>
      </w:r>
      <w:r>
        <w:rPr>
          <w:rFonts w:ascii="Arial" w:eastAsia="Arial" w:hAnsi="Arial" w:cs="Arial"/>
          <w:i/>
          <w:iCs/>
          <w:sz w:val="24"/>
          <w:szCs w:val="24"/>
        </w:rPr>
        <w:t>actora</w:t>
      </w:r>
      <w:r>
        <w:rPr>
          <w:rFonts w:ascii="Arial" w:eastAsia="Arial" w:hAnsi="Arial" w:cs="Arial"/>
          <w:sz w:val="24"/>
          <w:szCs w:val="24"/>
        </w:rPr>
        <w:t xml:space="preserve"> ofreció como medio de convicción, escrito de treinta de enero, en el que solicitó a las </w:t>
      </w:r>
      <w:r>
        <w:rPr>
          <w:rFonts w:ascii="Arial" w:eastAsia="Arial" w:hAnsi="Arial" w:cs="Arial"/>
          <w:i/>
          <w:iCs/>
          <w:sz w:val="24"/>
          <w:szCs w:val="24"/>
        </w:rPr>
        <w:t>autoridades responsables</w:t>
      </w:r>
      <w:r>
        <w:rPr>
          <w:rFonts w:ascii="Arial" w:eastAsia="Arial" w:hAnsi="Arial" w:cs="Arial"/>
          <w:sz w:val="24"/>
          <w:szCs w:val="24"/>
        </w:rPr>
        <w:t xml:space="preserve"> que le proporcionaran en copia certificada el Acta de la sesión en estudio, así como de las convocatorias entregadas a cada una de las personas integrantes del </w:t>
      </w:r>
      <w:r>
        <w:rPr>
          <w:rFonts w:ascii="Arial" w:eastAsia="Arial" w:hAnsi="Arial" w:cs="Arial"/>
          <w:i/>
          <w:iCs/>
          <w:sz w:val="24"/>
          <w:szCs w:val="24"/>
        </w:rPr>
        <w:t>Ayuntamiento</w:t>
      </w:r>
      <w:r>
        <w:rPr>
          <w:rFonts w:ascii="Arial" w:eastAsia="Arial" w:hAnsi="Arial" w:cs="Arial"/>
          <w:sz w:val="24"/>
          <w:szCs w:val="24"/>
        </w:rPr>
        <w:t>, con la constancia de acuse de recibido de cada uno de los respectivos integrantes; así como del Acta de la misma sesión.</w:t>
      </w:r>
    </w:p>
    <w:p w14:paraId="21F1D2C5" w14:textId="6B9C4B6E" w:rsidR="000D1E58" w:rsidRDefault="00000000">
      <w:pPr>
        <w:spacing w:before="240" w:after="240" w:line="360" w:lineRule="auto"/>
        <w:jc w:val="both"/>
        <w:rPr>
          <w:rFonts w:ascii="Arial" w:eastAsia="Arial" w:hAnsi="Arial" w:cs="Arial"/>
          <w:sz w:val="24"/>
          <w:szCs w:val="24"/>
        </w:rPr>
      </w:pPr>
      <w:r>
        <w:rPr>
          <w:rFonts w:ascii="Arial" w:eastAsia="Arial" w:hAnsi="Arial" w:cs="Arial"/>
          <w:sz w:val="24"/>
          <w:szCs w:val="24"/>
        </w:rPr>
        <w:t xml:space="preserve">Al respecto, el Acta de sesión obra en autos y como ya se señaló, con ella se le dio vista en copia certificada a la </w:t>
      </w:r>
      <w:r>
        <w:rPr>
          <w:rFonts w:ascii="Arial" w:eastAsia="Arial" w:hAnsi="Arial" w:cs="Arial"/>
          <w:i/>
          <w:iCs/>
          <w:sz w:val="24"/>
          <w:szCs w:val="24"/>
        </w:rPr>
        <w:t>Regidora</w:t>
      </w:r>
      <w:r>
        <w:rPr>
          <w:rFonts w:ascii="Arial" w:eastAsia="Arial" w:hAnsi="Arial" w:cs="Arial"/>
          <w:sz w:val="24"/>
          <w:szCs w:val="24"/>
        </w:rPr>
        <w:t xml:space="preserve">; ahora por lo que respecta a los acuses referidos, se estiman innecesarios debido a que no contribuyen para acreditar las omisiones motivo de estudio, como lo pretende la </w:t>
      </w:r>
      <w:r>
        <w:rPr>
          <w:rFonts w:ascii="Arial" w:eastAsia="Arial" w:hAnsi="Arial" w:cs="Arial"/>
          <w:i/>
          <w:iCs/>
          <w:sz w:val="24"/>
          <w:szCs w:val="24"/>
        </w:rPr>
        <w:t>actora</w:t>
      </w:r>
      <w:r>
        <w:rPr>
          <w:rFonts w:ascii="Arial" w:eastAsia="Arial" w:hAnsi="Arial" w:cs="Arial"/>
          <w:sz w:val="24"/>
          <w:szCs w:val="24"/>
        </w:rPr>
        <w:t>.</w:t>
      </w:r>
    </w:p>
    <w:p w14:paraId="552FA1E9" w14:textId="35CC42F2" w:rsidR="000D1E58" w:rsidRDefault="00000000">
      <w:pPr>
        <w:pStyle w:val="Prrafodelista"/>
        <w:numPr>
          <w:ilvl w:val="0"/>
          <w:numId w:val="14"/>
        </w:numPr>
        <w:tabs>
          <w:tab w:val="left" w:pos="567"/>
        </w:tabs>
        <w:spacing w:before="240" w:after="0" w:line="360" w:lineRule="auto"/>
        <w:ind w:right="-40"/>
        <w:jc w:val="both"/>
        <w:rPr>
          <w:rFonts w:ascii="Arial" w:hAnsi="Arial" w:cs="Arial"/>
          <w:b/>
          <w:bCs/>
          <w:sz w:val="24"/>
          <w:szCs w:val="24"/>
        </w:rPr>
      </w:pPr>
      <w:r>
        <w:rPr>
          <w:rFonts w:ascii="Arial" w:hAnsi="Arial" w:cs="Arial"/>
          <w:b/>
          <w:bCs/>
          <w:sz w:val="24"/>
          <w:szCs w:val="24"/>
        </w:rPr>
        <w:t xml:space="preserve">Omisión de las </w:t>
      </w:r>
      <w:r>
        <w:rPr>
          <w:rFonts w:ascii="Arial" w:hAnsi="Arial" w:cs="Arial"/>
          <w:b/>
          <w:bCs/>
          <w:i/>
          <w:iCs/>
          <w:sz w:val="24"/>
          <w:szCs w:val="24"/>
        </w:rPr>
        <w:t>autoridades responsables</w:t>
      </w:r>
      <w:r>
        <w:rPr>
          <w:rFonts w:ascii="Arial" w:hAnsi="Arial" w:cs="Arial"/>
          <w:b/>
          <w:bCs/>
          <w:sz w:val="24"/>
          <w:szCs w:val="24"/>
        </w:rPr>
        <w:t xml:space="preserve"> de convocarla a diversas sesiones ordinarias y extraordinarias del </w:t>
      </w:r>
      <w:r>
        <w:rPr>
          <w:rFonts w:ascii="Arial" w:hAnsi="Arial" w:cs="Arial"/>
          <w:b/>
          <w:bCs/>
          <w:i/>
          <w:iCs/>
          <w:sz w:val="24"/>
          <w:szCs w:val="24"/>
        </w:rPr>
        <w:t>Ayuntamiento y proporcionarle la información r</w:t>
      </w:r>
      <w:r w:rsidR="00ED6CA9">
        <w:rPr>
          <w:rFonts w:ascii="Arial" w:hAnsi="Arial" w:cs="Arial"/>
          <w:b/>
          <w:bCs/>
          <w:i/>
          <w:iCs/>
          <w:sz w:val="24"/>
          <w:szCs w:val="24"/>
        </w:rPr>
        <w:t>espectiva</w:t>
      </w:r>
    </w:p>
    <w:p w14:paraId="1F635963" w14:textId="2AD095EE" w:rsidR="000D1E58" w:rsidRDefault="00000000">
      <w:pPr>
        <w:tabs>
          <w:tab w:val="left" w:pos="567"/>
        </w:tabs>
        <w:spacing w:before="240" w:after="0" w:line="360" w:lineRule="auto"/>
        <w:ind w:right="-40"/>
        <w:jc w:val="both"/>
        <w:rPr>
          <w:rFonts w:ascii="Arial" w:hAnsi="Arial" w:cs="Arial"/>
          <w:sz w:val="24"/>
          <w:szCs w:val="24"/>
        </w:rPr>
      </w:pPr>
      <w:r>
        <w:rPr>
          <w:rFonts w:ascii="Arial" w:hAnsi="Arial" w:cs="Arial"/>
          <w:sz w:val="24"/>
          <w:szCs w:val="24"/>
        </w:rPr>
        <w:t xml:space="preserve">Al juicio de este </w:t>
      </w:r>
      <w:r>
        <w:rPr>
          <w:rFonts w:ascii="Arial" w:hAnsi="Arial" w:cs="Arial"/>
          <w:i/>
          <w:iCs/>
          <w:sz w:val="24"/>
          <w:szCs w:val="24"/>
        </w:rPr>
        <w:t>Tribunal</w:t>
      </w:r>
      <w:r>
        <w:rPr>
          <w:rFonts w:ascii="Arial" w:hAnsi="Arial" w:cs="Arial"/>
          <w:sz w:val="24"/>
          <w:szCs w:val="24"/>
        </w:rPr>
        <w:t xml:space="preserve"> </w:t>
      </w:r>
      <w:r w:rsidRPr="00573A0D">
        <w:rPr>
          <w:rFonts w:ascii="Arial" w:hAnsi="Arial" w:cs="Arial"/>
          <w:i/>
          <w:iCs/>
          <w:sz w:val="24"/>
          <w:szCs w:val="24"/>
        </w:rPr>
        <w:t>Electoral</w:t>
      </w:r>
      <w:r w:rsidRPr="00573A0D">
        <w:rPr>
          <w:rFonts w:ascii="Arial" w:hAnsi="Arial" w:cs="Arial"/>
          <w:sz w:val="24"/>
          <w:szCs w:val="24"/>
        </w:rPr>
        <w:t xml:space="preserve">, el agravio </w:t>
      </w:r>
      <w:r w:rsidR="00ED6CA9" w:rsidRPr="00573A0D">
        <w:rPr>
          <w:rFonts w:ascii="Arial" w:hAnsi="Arial" w:cs="Arial"/>
          <w:sz w:val="24"/>
          <w:szCs w:val="24"/>
        </w:rPr>
        <w:t xml:space="preserve">identificado con la letra </w:t>
      </w:r>
      <w:r w:rsidR="00C13644" w:rsidRPr="00573A0D">
        <w:rPr>
          <w:rFonts w:ascii="Arial" w:hAnsi="Arial" w:cs="Arial"/>
          <w:b/>
          <w:bCs/>
          <w:sz w:val="24"/>
          <w:szCs w:val="24"/>
        </w:rPr>
        <w:t>c)</w:t>
      </w:r>
      <w:r w:rsidRPr="00573A0D">
        <w:rPr>
          <w:rFonts w:ascii="Arial" w:hAnsi="Arial" w:cs="Arial"/>
          <w:b/>
          <w:bCs/>
          <w:sz w:val="24"/>
          <w:szCs w:val="24"/>
        </w:rPr>
        <w:t>,</w:t>
      </w:r>
      <w:r w:rsidRPr="00573A0D">
        <w:rPr>
          <w:rFonts w:ascii="Arial" w:hAnsi="Arial" w:cs="Arial"/>
          <w:sz w:val="24"/>
          <w:szCs w:val="24"/>
        </w:rPr>
        <w:t xml:space="preserve"> deviene</w:t>
      </w:r>
      <w:r>
        <w:rPr>
          <w:rFonts w:ascii="Arial" w:hAnsi="Arial" w:cs="Arial"/>
          <w:sz w:val="24"/>
          <w:szCs w:val="24"/>
        </w:rPr>
        <w:t xml:space="preserve"> </w:t>
      </w:r>
      <w:r>
        <w:rPr>
          <w:rFonts w:ascii="Arial" w:hAnsi="Arial" w:cs="Arial"/>
          <w:b/>
          <w:bCs/>
          <w:sz w:val="24"/>
          <w:szCs w:val="24"/>
        </w:rPr>
        <w:t>inoperante</w:t>
      </w:r>
      <w:r>
        <w:rPr>
          <w:rFonts w:ascii="Arial" w:hAnsi="Arial" w:cs="Arial"/>
          <w:sz w:val="24"/>
          <w:szCs w:val="24"/>
        </w:rPr>
        <w:t>, por las razones que se expresan a continuación.</w:t>
      </w:r>
    </w:p>
    <w:p w14:paraId="4168FA77" w14:textId="00B57F49" w:rsidR="000D1E58" w:rsidRDefault="00000000">
      <w:pPr>
        <w:tabs>
          <w:tab w:val="left" w:pos="567"/>
        </w:tabs>
        <w:spacing w:before="240" w:after="0" w:line="360" w:lineRule="auto"/>
        <w:ind w:right="-40"/>
        <w:jc w:val="both"/>
        <w:rPr>
          <w:rFonts w:ascii="Arial" w:hAnsi="Arial" w:cs="Arial"/>
          <w:sz w:val="24"/>
          <w:szCs w:val="24"/>
        </w:rPr>
      </w:pPr>
      <w:r>
        <w:rPr>
          <w:rFonts w:ascii="Arial" w:hAnsi="Arial" w:cs="Arial"/>
          <w:sz w:val="24"/>
          <w:szCs w:val="24"/>
        </w:rPr>
        <w:lastRenderedPageBreak/>
        <w:t xml:space="preserve">Primeramente, la </w:t>
      </w:r>
      <w:r>
        <w:rPr>
          <w:rFonts w:ascii="Arial" w:hAnsi="Arial" w:cs="Arial"/>
          <w:i/>
          <w:iCs/>
          <w:sz w:val="24"/>
          <w:szCs w:val="24"/>
        </w:rPr>
        <w:t>actora</w:t>
      </w:r>
      <w:r>
        <w:rPr>
          <w:rFonts w:ascii="Arial" w:hAnsi="Arial" w:cs="Arial"/>
          <w:sz w:val="24"/>
          <w:szCs w:val="24"/>
        </w:rPr>
        <w:t xml:space="preserve"> argumenta que las </w:t>
      </w:r>
      <w:r>
        <w:rPr>
          <w:rFonts w:ascii="Arial" w:hAnsi="Arial" w:cs="Arial"/>
          <w:i/>
          <w:iCs/>
          <w:sz w:val="24"/>
          <w:szCs w:val="24"/>
        </w:rPr>
        <w:t xml:space="preserve">autoridades </w:t>
      </w:r>
      <w:r w:rsidRPr="0076561B">
        <w:rPr>
          <w:rFonts w:ascii="Arial" w:hAnsi="Arial" w:cs="Arial"/>
          <w:i/>
          <w:iCs/>
          <w:sz w:val="24"/>
          <w:szCs w:val="24"/>
        </w:rPr>
        <w:t>responsables</w:t>
      </w:r>
      <w:r w:rsidRPr="0076561B">
        <w:rPr>
          <w:rFonts w:ascii="Arial" w:hAnsi="Arial" w:cs="Arial"/>
          <w:sz w:val="24"/>
          <w:szCs w:val="24"/>
        </w:rPr>
        <w:t xml:space="preserve"> no la han convocado a sesiones de Cabildo ordinarias y extraordinarias, </w:t>
      </w:r>
      <w:r w:rsidR="00ED6CA9" w:rsidRPr="0076561B">
        <w:rPr>
          <w:rFonts w:ascii="Arial" w:hAnsi="Arial" w:cs="Arial"/>
          <w:sz w:val="24"/>
          <w:szCs w:val="24"/>
        </w:rPr>
        <w:t xml:space="preserve">anteriores y </w:t>
      </w:r>
      <w:r w:rsidRPr="0076561B">
        <w:rPr>
          <w:rFonts w:ascii="Arial" w:hAnsi="Arial" w:cs="Arial"/>
          <w:sz w:val="24"/>
          <w:szCs w:val="24"/>
        </w:rPr>
        <w:t>subsecuentes -a la previamente analizada-</w:t>
      </w:r>
      <w:r w:rsidR="00473CE9" w:rsidRPr="0076561B">
        <w:rPr>
          <w:rFonts w:ascii="Arial" w:hAnsi="Arial" w:cs="Arial"/>
          <w:sz w:val="24"/>
          <w:szCs w:val="24"/>
        </w:rPr>
        <w:t>,</w:t>
      </w:r>
      <w:r w:rsidRPr="0076561B">
        <w:rPr>
          <w:rFonts w:ascii="Arial" w:hAnsi="Arial" w:cs="Arial"/>
          <w:sz w:val="24"/>
          <w:szCs w:val="24"/>
        </w:rPr>
        <w:t xml:space="preserve"> de igual manera, que no le proporcionaron la información</w:t>
      </w:r>
      <w:r w:rsidR="00473CE9" w:rsidRPr="0076561B">
        <w:rPr>
          <w:rFonts w:ascii="Arial" w:hAnsi="Arial" w:cs="Arial"/>
          <w:sz w:val="24"/>
          <w:szCs w:val="24"/>
        </w:rPr>
        <w:t xml:space="preserve"> respectiva a dichas sesiones</w:t>
      </w:r>
      <w:r w:rsidRPr="0076561B">
        <w:rPr>
          <w:rFonts w:ascii="Arial" w:hAnsi="Arial" w:cs="Arial"/>
          <w:sz w:val="24"/>
          <w:szCs w:val="24"/>
        </w:rPr>
        <w:t>; por lo</w:t>
      </w:r>
      <w:r>
        <w:rPr>
          <w:rFonts w:ascii="Arial" w:hAnsi="Arial" w:cs="Arial"/>
          <w:sz w:val="24"/>
          <w:szCs w:val="24"/>
        </w:rPr>
        <w:t xml:space="preserve"> que estima que “</w:t>
      </w:r>
      <w:r>
        <w:rPr>
          <w:rFonts w:ascii="Arial" w:hAnsi="Arial" w:cs="Arial"/>
          <w:i/>
          <w:iCs/>
          <w:sz w:val="24"/>
          <w:szCs w:val="24"/>
        </w:rPr>
        <w:t>se hace evidente una forma de práctica nociva y de manera efectiva en los asuntos atendidos en el Pleno del Cabildo”</w:t>
      </w:r>
      <w:r>
        <w:rPr>
          <w:rFonts w:ascii="Arial" w:hAnsi="Arial" w:cs="Arial"/>
          <w:sz w:val="24"/>
          <w:szCs w:val="24"/>
        </w:rPr>
        <w:t xml:space="preserve">; lo que a su decir, se traduce en una violación sustancial a su derecho humano político-electoral de ser votada para el cago de </w:t>
      </w:r>
      <w:r>
        <w:rPr>
          <w:rFonts w:ascii="Arial" w:hAnsi="Arial" w:cs="Arial"/>
          <w:i/>
          <w:iCs/>
          <w:sz w:val="24"/>
          <w:szCs w:val="24"/>
        </w:rPr>
        <w:t>Regidora</w:t>
      </w:r>
      <w:r>
        <w:rPr>
          <w:rFonts w:ascii="Arial" w:hAnsi="Arial" w:cs="Arial"/>
          <w:sz w:val="24"/>
          <w:szCs w:val="24"/>
        </w:rPr>
        <w:t>, en la vertiente del desempeño del cargo en condiciones de paridad.</w:t>
      </w:r>
    </w:p>
    <w:p w14:paraId="735D765A" w14:textId="0924C75C" w:rsidR="000D1E58" w:rsidRDefault="00000000">
      <w:pPr>
        <w:tabs>
          <w:tab w:val="left" w:pos="567"/>
        </w:tabs>
        <w:spacing w:before="240" w:after="0" w:line="360" w:lineRule="auto"/>
        <w:ind w:right="-40"/>
        <w:jc w:val="both"/>
        <w:rPr>
          <w:rFonts w:ascii="Arial" w:hAnsi="Arial" w:cs="Arial"/>
          <w:sz w:val="24"/>
          <w:szCs w:val="24"/>
        </w:rPr>
      </w:pPr>
      <w:r>
        <w:rPr>
          <w:rFonts w:ascii="Arial" w:hAnsi="Arial" w:cs="Arial"/>
          <w:sz w:val="24"/>
          <w:szCs w:val="24"/>
        </w:rPr>
        <w:t>En el caso, la inoperancia del agravio se actualiza por lo genérico</w:t>
      </w:r>
      <w:r>
        <w:rPr>
          <w:rFonts w:ascii="Arial" w:hAnsi="Arial" w:cs="Arial"/>
          <w:b/>
          <w:bCs/>
          <w:sz w:val="24"/>
          <w:szCs w:val="24"/>
        </w:rPr>
        <w:t xml:space="preserve"> </w:t>
      </w:r>
      <w:r>
        <w:rPr>
          <w:rFonts w:ascii="Arial" w:hAnsi="Arial" w:cs="Arial"/>
          <w:sz w:val="24"/>
          <w:szCs w:val="24"/>
        </w:rPr>
        <w:t xml:space="preserve">y subjetivo de los argumentos de la </w:t>
      </w:r>
      <w:r>
        <w:rPr>
          <w:rFonts w:ascii="Arial" w:hAnsi="Arial" w:cs="Arial"/>
          <w:i/>
          <w:iCs/>
          <w:sz w:val="24"/>
          <w:szCs w:val="24"/>
        </w:rPr>
        <w:t>actora</w:t>
      </w:r>
      <w:r>
        <w:rPr>
          <w:rFonts w:ascii="Arial" w:hAnsi="Arial" w:cs="Arial"/>
          <w:sz w:val="24"/>
          <w:szCs w:val="24"/>
        </w:rPr>
        <w:t xml:space="preserve">, ya que, de forma general indica que no ha sido convocada por las </w:t>
      </w:r>
      <w:r>
        <w:rPr>
          <w:rFonts w:ascii="Arial" w:hAnsi="Arial" w:cs="Arial"/>
          <w:i/>
          <w:iCs/>
          <w:sz w:val="24"/>
          <w:szCs w:val="24"/>
        </w:rPr>
        <w:t>autoridades responsables</w:t>
      </w:r>
      <w:r>
        <w:rPr>
          <w:rFonts w:ascii="Arial" w:hAnsi="Arial" w:cs="Arial"/>
          <w:sz w:val="24"/>
          <w:szCs w:val="24"/>
        </w:rPr>
        <w:t xml:space="preserve"> a las sesiones ordinarias y </w:t>
      </w:r>
      <w:r w:rsidRPr="0076561B">
        <w:rPr>
          <w:rFonts w:ascii="Arial" w:hAnsi="Arial" w:cs="Arial"/>
          <w:sz w:val="24"/>
          <w:szCs w:val="24"/>
        </w:rPr>
        <w:t xml:space="preserve">extraordinarias </w:t>
      </w:r>
      <w:r w:rsidR="00473CE9" w:rsidRPr="0076561B">
        <w:rPr>
          <w:rFonts w:ascii="Arial" w:hAnsi="Arial" w:cs="Arial"/>
          <w:sz w:val="24"/>
          <w:szCs w:val="24"/>
        </w:rPr>
        <w:t xml:space="preserve">anteriores y </w:t>
      </w:r>
      <w:r w:rsidRPr="0076561B">
        <w:rPr>
          <w:rFonts w:ascii="Arial" w:hAnsi="Arial" w:cs="Arial"/>
          <w:sz w:val="24"/>
          <w:szCs w:val="24"/>
        </w:rPr>
        <w:t xml:space="preserve">subsecuentes a la previamente analizada; no obstante, dichas manifestaciones son genéricas, pues no precisan de modo alguno, cuáles son esas sesiones a las que no ha sido convocada por las </w:t>
      </w:r>
      <w:r w:rsidRPr="0076561B">
        <w:rPr>
          <w:rFonts w:ascii="Arial" w:hAnsi="Arial" w:cs="Arial"/>
          <w:i/>
          <w:iCs/>
          <w:sz w:val="24"/>
          <w:szCs w:val="24"/>
        </w:rPr>
        <w:t xml:space="preserve">autoridades responsables, </w:t>
      </w:r>
      <w:r w:rsidR="00F03CE8" w:rsidRPr="0076561B">
        <w:rPr>
          <w:rFonts w:ascii="Arial" w:hAnsi="Arial" w:cs="Arial"/>
          <w:sz w:val="24"/>
          <w:szCs w:val="24"/>
        </w:rPr>
        <w:t>y de las cuales no ha recibido</w:t>
      </w:r>
      <w:r w:rsidRPr="0076561B">
        <w:rPr>
          <w:rFonts w:ascii="Arial" w:hAnsi="Arial" w:cs="Arial"/>
          <w:sz w:val="24"/>
          <w:szCs w:val="24"/>
        </w:rPr>
        <w:t xml:space="preserve"> la información correspondiente.</w:t>
      </w:r>
    </w:p>
    <w:p w14:paraId="639253B4" w14:textId="248A7990" w:rsidR="000D1E58" w:rsidRDefault="00000000">
      <w:pPr>
        <w:tabs>
          <w:tab w:val="left" w:pos="567"/>
        </w:tabs>
        <w:spacing w:before="240" w:after="0" w:line="360" w:lineRule="auto"/>
        <w:ind w:right="-40"/>
        <w:jc w:val="both"/>
        <w:rPr>
          <w:rFonts w:ascii="Arial" w:hAnsi="Arial" w:cs="Arial"/>
          <w:sz w:val="24"/>
          <w:szCs w:val="24"/>
        </w:rPr>
      </w:pPr>
      <w:r>
        <w:rPr>
          <w:rFonts w:ascii="Arial" w:hAnsi="Arial" w:cs="Arial"/>
          <w:sz w:val="24"/>
          <w:szCs w:val="24"/>
        </w:rPr>
        <w:t xml:space="preserve">Lo anterior ya que, sólo pueden ser objeto de estudio, aquellos motivos de inconformidad y/o </w:t>
      </w:r>
      <w:r w:rsidRPr="0076561B">
        <w:rPr>
          <w:rFonts w:ascii="Arial" w:hAnsi="Arial" w:cs="Arial"/>
          <w:sz w:val="24"/>
          <w:szCs w:val="24"/>
        </w:rPr>
        <w:t>actos puntualmente precisados, así como los argumentos</w:t>
      </w:r>
      <w:r>
        <w:rPr>
          <w:rFonts w:ascii="Arial" w:hAnsi="Arial" w:cs="Arial"/>
          <w:sz w:val="24"/>
          <w:szCs w:val="24"/>
        </w:rPr>
        <w:t xml:space="preserve"> que desvirtúen las consideraciones o fundamentos, con base en los cuales se erigió el acto reclamado; por lo que no basta hacer meras afirmaciones, que dada su generalidad imposibilitan a este </w:t>
      </w:r>
      <w:r>
        <w:rPr>
          <w:rFonts w:ascii="Arial" w:hAnsi="Arial" w:cs="Arial"/>
          <w:i/>
          <w:iCs/>
          <w:sz w:val="24"/>
          <w:szCs w:val="24"/>
        </w:rPr>
        <w:t>órgano</w:t>
      </w:r>
      <w:r>
        <w:rPr>
          <w:rFonts w:ascii="Arial" w:hAnsi="Arial" w:cs="Arial"/>
          <w:sz w:val="24"/>
          <w:szCs w:val="24"/>
        </w:rPr>
        <w:t xml:space="preserve"> </w:t>
      </w:r>
      <w:r>
        <w:rPr>
          <w:rFonts w:ascii="Arial" w:hAnsi="Arial" w:cs="Arial"/>
          <w:i/>
          <w:iCs/>
          <w:sz w:val="24"/>
          <w:szCs w:val="24"/>
        </w:rPr>
        <w:t>jurisdiccional</w:t>
      </w:r>
      <w:r>
        <w:rPr>
          <w:rFonts w:ascii="Arial" w:hAnsi="Arial" w:cs="Arial"/>
          <w:sz w:val="24"/>
          <w:szCs w:val="24"/>
        </w:rPr>
        <w:t xml:space="preserve"> a analizarlos.</w:t>
      </w:r>
    </w:p>
    <w:p w14:paraId="7FA207B7" w14:textId="110B7EDF" w:rsidR="000D1E58" w:rsidRDefault="00000000">
      <w:pPr>
        <w:tabs>
          <w:tab w:val="left" w:pos="567"/>
        </w:tabs>
        <w:spacing w:before="240" w:after="0" w:line="360" w:lineRule="auto"/>
        <w:ind w:right="-40"/>
        <w:jc w:val="both"/>
        <w:rPr>
          <w:rFonts w:ascii="Arial" w:hAnsi="Arial" w:cs="Arial"/>
          <w:sz w:val="24"/>
          <w:szCs w:val="24"/>
        </w:rPr>
      </w:pPr>
      <w:r>
        <w:rPr>
          <w:rFonts w:ascii="Arial" w:hAnsi="Arial" w:cs="Arial"/>
          <w:sz w:val="24"/>
          <w:szCs w:val="24"/>
        </w:rPr>
        <w:t xml:space="preserve">En este sentido, es evidente que la </w:t>
      </w:r>
      <w:r>
        <w:rPr>
          <w:rFonts w:ascii="Arial" w:hAnsi="Arial" w:cs="Arial"/>
          <w:i/>
          <w:iCs/>
          <w:sz w:val="24"/>
          <w:szCs w:val="24"/>
        </w:rPr>
        <w:t>Regidora</w:t>
      </w:r>
      <w:r>
        <w:rPr>
          <w:rFonts w:ascii="Arial" w:hAnsi="Arial" w:cs="Arial"/>
          <w:sz w:val="24"/>
          <w:szCs w:val="24"/>
        </w:rPr>
        <w:t xml:space="preserve"> no expresa las sesiones concretas que debieran ser motivo de estudio por este </w:t>
      </w:r>
      <w:r>
        <w:rPr>
          <w:rFonts w:ascii="Arial" w:hAnsi="Arial" w:cs="Arial"/>
          <w:i/>
          <w:iCs/>
          <w:sz w:val="24"/>
          <w:szCs w:val="24"/>
        </w:rPr>
        <w:t>Tribunal</w:t>
      </w:r>
      <w:r>
        <w:rPr>
          <w:rFonts w:ascii="Arial" w:hAnsi="Arial" w:cs="Arial"/>
          <w:sz w:val="24"/>
          <w:szCs w:val="24"/>
        </w:rPr>
        <w:t xml:space="preserve"> </w:t>
      </w:r>
      <w:r>
        <w:rPr>
          <w:rFonts w:ascii="Arial" w:hAnsi="Arial" w:cs="Arial"/>
          <w:i/>
          <w:iCs/>
          <w:sz w:val="24"/>
          <w:szCs w:val="24"/>
        </w:rPr>
        <w:t>Electoral</w:t>
      </w:r>
      <w:r>
        <w:rPr>
          <w:rFonts w:ascii="Arial" w:hAnsi="Arial" w:cs="Arial"/>
          <w:sz w:val="24"/>
          <w:szCs w:val="24"/>
        </w:rPr>
        <w:t xml:space="preserve">, ni aporta elementos a partir de los cuales este </w:t>
      </w:r>
      <w:r>
        <w:rPr>
          <w:rFonts w:ascii="Arial" w:hAnsi="Arial" w:cs="Arial"/>
          <w:i/>
          <w:iCs/>
          <w:sz w:val="24"/>
          <w:szCs w:val="24"/>
        </w:rPr>
        <w:t>órgano</w:t>
      </w:r>
      <w:r>
        <w:rPr>
          <w:rFonts w:ascii="Arial" w:hAnsi="Arial" w:cs="Arial"/>
          <w:sz w:val="24"/>
          <w:szCs w:val="24"/>
        </w:rPr>
        <w:t xml:space="preserve"> </w:t>
      </w:r>
      <w:r>
        <w:rPr>
          <w:rFonts w:ascii="Arial" w:hAnsi="Arial" w:cs="Arial"/>
          <w:i/>
          <w:iCs/>
          <w:sz w:val="24"/>
          <w:szCs w:val="24"/>
        </w:rPr>
        <w:t>jurisdiccional</w:t>
      </w:r>
      <w:r>
        <w:rPr>
          <w:rFonts w:ascii="Arial" w:hAnsi="Arial" w:cs="Arial"/>
          <w:sz w:val="24"/>
          <w:szCs w:val="24"/>
        </w:rPr>
        <w:t xml:space="preserve"> emprenda el análisis sobre las omisiones </w:t>
      </w:r>
      <w:r w:rsidRPr="0076561B">
        <w:rPr>
          <w:rFonts w:ascii="Arial" w:hAnsi="Arial" w:cs="Arial"/>
          <w:sz w:val="24"/>
          <w:szCs w:val="24"/>
        </w:rPr>
        <w:t xml:space="preserve">alegadas; </w:t>
      </w:r>
      <w:r w:rsidR="00B73A1E" w:rsidRPr="0076561B">
        <w:rPr>
          <w:rFonts w:ascii="Arial" w:hAnsi="Arial" w:cs="Arial"/>
          <w:sz w:val="24"/>
          <w:szCs w:val="24"/>
        </w:rPr>
        <w:t>es decir, no señala</w:t>
      </w:r>
      <w:r w:rsidRPr="0076561B">
        <w:rPr>
          <w:rFonts w:ascii="Arial" w:hAnsi="Arial" w:cs="Arial"/>
          <w:sz w:val="24"/>
          <w:szCs w:val="24"/>
        </w:rPr>
        <w:t xml:space="preserve"> circunstancias de modo, tiempo y lugar y menos aún, lo acredita con prueba alguna</w:t>
      </w:r>
      <w:r>
        <w:rPr>
          <w:rFonts w:ascii="Arial" w:hAnsi="Arial" w:cs="Arial"/>
          <w:sz w:val="24"/>
          <w:szCs w:val="24"/>
        </w:rPr>
        <w:t>, ya que tal afirmación se constriñe a su simple dicho.</w:t>
      </w:r>
    </w:p>
    <w:p w14:paraId="060EE3D5" w14:textId="77777777" w:rsidR="000D1E58" w:rsidRDefault="00000000">
      <w:pPr>
        <w:tabs>
          <w:tab w:val="left" w:pos="567"/>
        </w:tabs>
        <w:spacing w:before="240" w:after="0" w:line="360" w:lineRule="auto"/>
        <w:ind w:right="-40"/>
        <w:jc w:val="both"/>
        <w:rPr>
          <w:rFonts w:ascii="Arial" w:hAnsi="Arial" w:cs="Arial"/>
          <w:sz w:val="24"/>
          <w:szCs w:val="24"/>
        </w:rPr>
      </w:pPr>
      <w:r>
        <w:rPr>
          <w:rFonts w:ascii="Arial" w:hAnsi="Arial" w:cs="Arial"/>
          <w:sz w:val="24"/>
          <w:szCs w:val="24"/>
        </w:rPr>
        <w:t xml:space="preserve">Bajo este orden de ideas, se considera que la </w:t>
      </w:r>
      <w:r>
        <w:rPr>
          <w:rFonts w:ascii="Arial" w:hAnsi="Arial" w:cs="Arial"/>
          <w:i/>
          <w:iCs/>
          <w:sz w:val="24"/>
          <w:szCs w:val="24"/>
        </w:rPr>
        <w:t>actora</w:t>
      </w:r>
      <w:r>
        <w:rPr>
          <w:rFonts w:ascii="Arial" w:hAnsi="Arial" w:cs="Arial"/>
          <w:sz w:val="24"/>
          <w:szCs w:val="24"/>
        </w:rPr>
        <w:t xml:space="preserve"> incumple con lo señalado en el artículo 21 de la </w:t>
      </w:r>
      <w:r>
        <w:rPr>
          <w:rFonts w:ascii="Arial" w:hAnsi="Arial" w:cs="Arial"/>
          <w:i/>
          <w:iCs/>
          <w:sz w:val="24"/>
          <w:szCs w:val="24"/>
        </w:rPr>
        <w:t>Ley de Justicia Electoral</w:t>
      </w:r>
      <w:r>
        <w:rPr>
          <w:rFonts w:ascii="Arial" w:hAnsi="Arial" w:cs="Arial"/>
          <w:sz w:val="24"/>
          <w:szCs w:val="24"/>
        </w:rPr>
        <w:t>, en la que se establece que el que afirma se encuentra obligado a probar.</w:t>
      </w:r>
    </w:p>
    <w:p w14:paraId="044708AC" w14:textId="288C8B5C" w:rsidR="000D1E5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lastRenderedPageBreak/>
        <w:t xml:space="preserve">En consecuencia, se estima que no existe una vulneración en su derecho político-electoral de ser votada en la vertiente del ejercicio del cargo de la </w:t>
      </w:r>
      <w:r>
        <w:rPr>
          <w:rFonts w:ascii="Arial" w:eastAsia="Arial" w:hAnsi="Arial" w:cs="Arial"/>
          <w:i/>
          <w:iCs/>
          <w:sz w:val="24"/>
          <w:szCs w:val="24"/>
        </w:rPr>
        <w:t>Regidora</w:t>
      </w:r>
      <w:r>
        <w:rPr>
          <w:rFonts w:ascii="Arial" w:eastAsia="Arial" w:hAnsi="Arial" w:cs="Arial"/>
          <w:sz w:val="24"/>
          <w:szCs w:val="24"/>
        </w:rPr>
        <w:t xml:space="preserve">. </w:t>
      </w:r>
    </w:p>
    <w:p w14:paraId="34245AFE" w14:textId="77777777" w:rsidR="000D1E58" w:rsidRDefault="00000000">
      <w:pPr>
        <w:pStyle w:val="Ttulo2"/>
        <w:spacing w:before="240" w:line="360" w:lineRule="auto"/>
        <w:jc w:val="both"/>
        <w:rPr>
          <w:rFonts w:ascii="Arial" w:eastAsia="Arial" w:hAnsi="Arial" w:cs="Arial"/>
          <w:b/>
          <w:bCs/>
          <w:sz w:val="24"/>
          <w:szCs w:val="24"/>
        </w:rPr>
      </w:pPr>
      <w:bookmarkStart w:id="17" w:name="_Toc193363699"/>
      <w:r>
        <w:rPr>
          <w:rFonts w:ascii="Arial" w:eastAsia="Arial" w:hAnsi="Arial" w:cs="Arial"/>
          <w:b/>
          <w:bCs/>
          <w:color w:val="000000" w:themeColor="text1"/>
          <w:sz w:val="24"/>
          <w:szCs w:val="24"/>
        </w:rPr>
        <w:t>8.6 Medidas de no repetición</w:t>
      </w:r>
      <w:bookmarkEnd w:id="17"/>
    </w:p>
    <w:p w14:paraId="71C39810" w14:textId="77777777" w:rsidR="000D1E5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En atención a la solicitud expresa de la </w:t>
      </w:r>
      <w:r>
        <w:rPr>
          <w:rFonts w:ascii="Arial" w:eastAsia="Arial" w:hAnsi="Arial" w:cs="Arial"/>
          <w:i/>
          <w:iCs/>
          <w:sz w:val="24"/>
          <w:szCs w:val="24"/>
        </w:rPr>
        <w:t xml:space="preserve">actora, </w:t>
      </w:r>
      <w:r>
        <w:rPr>
          <w:rFonts w:ascii="Arial" w:eastAsia="Arial" w:hAnsi="Arial" w:cs="Arial"/>
          <w:sz w:val="24"/>
          <w:szCs w:val="24"/>
        </w:rPr>
        <w:t xml:space="preserve">se estima importante señalar que este </w:t>
      </w:r>
      <w:r>
        <w:rPr>
          <w:rFonts w:ascii="Arial" w:eastAsia="Arial" w:hAnsi="Arial" w:cs="Arial"/>
          <w:i/>
          <w:iCs/>
          <w:sz w:val="24"/>
          <w:szCs w:val="24"/>
        </w:rPr>
        <w:t xml:space="preserve">Tribunal Electoral </w:t>
      </w:r>
      <w:r>
        <w:rPr>
          <w:rFonts w:ascii="Arial" w:eastAsia="Arial" w:hAnsi="Arial" w:cs="Arial"/>
          <w:sz w:val="24"/>
          <w:szCs w:val="24"/>
        </w:rPr>
        <w:t xml:space="preserve">tiene la obligación de prevenir, investigar, sancionar y reparar las violaciones a los derechos humanos, en los términos que establezca la ley, de conformidad con lo determinado en el artículo 1 de la </w:t>
      </w:r>
      <w:r>
        <w:rPr>
          <w:rFonts w:ascii="Arial" w:eastAsia="Arial" w:hAnsi="Arial" w:cs="Arial"/>
          <w:i/>
          <w:iCs/>
          <w:sz w:val="24"/>
          <w:szCs w:val="24"/>
        </w:rPr>
        <w:t xml:space="preserve">Constitución Federal </w:t>
      </w:r>
      <w:r>
        <w:rPr>
          <w:rFonts w:ascii="Arial" w:eastAsia="Arial" w:hAnsi="Arial" w:cs="Arial"/>
          <w:sz w:val="24"/>
          <w:szCs w:val="24"/>
        </w:rPr>
        <w:t xml:space="preserve">y su similar en la </w:t>
      </w:r>
      <w:r>
        <w:rPr>
          <w:rFonts w:ascii="Arial" w:eastAsia="Arial" w:hAnsi="Arial" w:cs="Arial"/>
          <w:i/>
          <w:iCs/>
          <w:sz w:val="24"/>
          <w:szCs w:val="24"/>
        </w:rPr>
        <w:t>Constitución Local</w:t>
      </w:r>
      <w:r>
        <w:rPr>
          <w:rFonts w:ascii="Arial" w:eastAsia="Arial" w:hAnsi="Arial" w:cs="Arial"/>
          <w:sz w:val="24"/>
          <w:szCs w:val="24"/>
        </w:rPr>
        <w:t xml:space="preserve"> en nuestro respectivo ámbito de competencia.</w:t>
      </w:r>
    </w:p>
    <w:p w14:paraId="77AD9D30" w14:textId="77777777" w:rsidR="000D1E5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Por lo que, tomando en consideración que la Corte Interamericana sobre Derechos Humanos ha señalado que el derecho a la reparación integral permite, en la medida de lo posible, anular todas las consecuencias del acto ilícito y restablecer la situación que existiría si el acto no se hubiera cometido. A su vez, las garantías de no repetición tienen como objetivo evitar que se vuelvan a cometer actos que causen alguna afectación a los derechos humanos</w:t>
      </w:r>
      <w:r>
        <w:rPr>
          <w:rFonts w:ascii="Arial" w:eastAsia="Arial" w:hAnsi="Arial" w:cs="Arial"/>
          <w:sz w:val="24"/>
          <w:szCs w:val="24"/>
          <w:vertAlign w:val="superscript"/>
        </w:rPr>
        <w:footnoteReference w:id="44"/>
      </w:r>
      <w:r>
        <w:rPr>
          <w:rFonts w:ascii="Arial" w:eastAsia="Arial" w:hAnsi="Arial" w:cs="Arial"/>
          <w:sz w:val="24"/>
          <w:szCs w:val="24"/>
        </w:rPr>
        <w:t>.</w:t>
      </w:r>
    </w:p>
    <w:p w14:paraId="5A74328C" w14:textId="77777777" w:rsidR="000D1E5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Así, atendiendo a lo dispuesto por la </w:t>
      </w:r>
      <w:r>
        <w:rPr>
          <w:rFonts w:ascii="Arial" w:eastAsia="Arial" w:hAnsi="Arial" w:cs="Arial"/>
          <w:i/>
          <w:iCs/>
          <w:sz w:val="24"/>
          <w:szCs w:val="24"/>
        </w:rPr>
        <w:t>Sala Superior</w:t>
      </w:r>
      <w:r>
        <w:rPr>
          <w:rFonts w:ascii="Arial" w:eastAsia="Arial" w:hAnsi="Arial" w:cs="Arial"/>
          <w:sz w:val="24"/>
          <w:szCs w:val="24"/>
        </w:rPr>
        <w:t>, si bien el efecto directo de las ejecutorias en materia electoral debe ser la restitución de los derechos de las y los afectados; y si ello no fuese materialmente viable, debe optarse por una medida de reparación diversa, como lo pudieran ser la rehabilitación, la satisfacción y/o la garantía de no repetición, teniendo en cuenta el deber constitucional y convencional de asegurar la reparación integral a las personas que han sido objeto de un menoscabo en su esfera jurídica</w:t>
      </w:r>
      <w:r>
        <w:rPr>
          <w:rFonts w:ascii="Arial" w:eastAsia="Arial" w:hAnsi="Arial" w:cs="Arial"/>
          <w:sz w:val="24"/>
          <w:szCs w:val="24"/>
          <w:vertAlign w:val="superscript"/>
        </w:rPr>
        <w:footnoteReference w:id="45"/>
      </w:r>
      <w:r>
        <w:rPr>
          <w:rFonts w:ascii="Arial" w:eastAsia="Arial" w:hAnsi="Arial" w:cs="Arial"/>
          <w:sz w:val="24"/>
          <w:szCs w:val="24"/>
        </w:rPr>
        <w:t xml:space="preserve">. </w:t>
      </w:r>
    </w:p>
    <w:p w14:paraId="36C4054B" w14:textId="1132E77C" w:rsidR="000D1E58" w:rsidRDefault="00000000">
      <w:pPr>
        <w:spacing w:before="280" w:after="280" w:line="360" w:lineRule="auto"/>
        <w:jc w:val="both"/>
        <w:rPr>
          <w:rFonts w:ascii="Arial" w:eastAsia="Arial" w:hAnsi="Arial" w:cs="Arial"/>
          <w:sz w:val="24"/>
          <w:szCs w:val="24"/>
        </w:rPr>
      </w:pPr>
      <w:proofErr w:type="gramStart"/>
      <w:r>
        <w:rPr>
          <w:rFonts w:ascii="Arial" w:eastAsia="Arial" w:hAnsi="Arial" w:cs="Arial"/>
          <w:sz w:val="24"/>
          <w:szCs w:val="24"/>
        </w:rPr>
        <w:t>En razón de</w:t>
      </w:r>
      <w:proofErr w:type="gramEnd"/>
      <w:r>
        <w:rPr>
          <w:rFonts w:ascii="Arial" w:eastAsia="Arial" w:hAnsi="Arial" w:cs="Arial"/>
          <w:sz w:val="24"/>
          <w:szCs w:val="24"/>
        </w:rPr>
        <w:t xml:space="preserve"> lo anterior, este </w:t>
      </w:r>
      <w:r>
        <w:rPr>
          <w:rFonts w:ascii="Arial" w:eastAsia="Arial" w:hAnsi="Arial" w:cs="Arial"/>
          <w:i/>
          <w:iCs/>
          <w:sz w:val="24"/>
          <w:szCs w:val="24"/>
        </w:rPr>
        <w:t>órgano jurisdiccional</w:t>
      </w:r>
      <w:r>
        <w:rPr>
          <w:rFonts w:ascii="Arial" w:eastAsia="Arial" w:hAnsi="Arial" w:cs="Arial"/>
          <w:sz w:val="24"/>
          <w:szCs w:val="24"/>
        </w:rPr>
        <w:t xml:space="preserve"> al no haber tenido por acreditada una vulneración al derecho político-electoral de la </w:t>
      </w:r>
      <w:r w:rsidRPr="008E43C8">
        <w:rPr>
          <w:rFonts w:ascii="Arial" w:eastAsia="Arial" w:hAnsi="Arial" w:cs="Arial"/>
          <w:i/>
          <w:iCs/>
          <w:sz w:val="24"/>
          <w:szCs w:val="24"/>
        </w:rPr>
        <w:t>actora</w:t>
      </w:r>
      <w:r>
        <w:rPr>
          <w:rFonts w:ascii="Arial" w:eastAsia="Arial" w:hAnsi="Arial" w:cs="Arial"/>
          <w:sz w:val="24"/>
          <w:szCs w:val="24"/>
        </w:rPr>
        <w:t>, en la vertiente del ejercicio del cargo, es que no impone el deber de las autoridades responsables de reparar el daño.</w:t>
      </w:r>
    </w:p>
    <w:p w14:paraId="190BDF52" w14:textId="77777777" w:rsidR="000D1E58"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Por su parte, y dado que la finalidad de las medidas de no repetición es la de asegurar que no se reproduzca una práctica violatoria de la normatividad </w:t>
      </w:r>
      <w:r>
        <w:rPr>
          <w:rFonts w:ascii="Arial" w:eastAsia="Arial" w:hAnsi="Arial" w:cs="Arial"/>
          <w:sz w:val="24"/>
          <w:szCs w:val="24"/>
        </w:rPr>
        <w:lastRenderedPageBreak/>
        <w:t xml:space="preserve">electoral, y en el presente </w:t>
      </w:r>
      <w:r>
        <w:rPr>
          <w:rFonts w:ascii="Arial" w:eastAsia="Arial" w:hAnsi="Arial" w:cs="Arial"/>
          <w:i/>
          <w:iCs/>
          <w:sz w:val="24"/>
          <w:szCs w:val="24"/>
        </w:rPr>
        <w:t>juicio de la ciudadanía</w:t>
      </w:r>
      <w:r>
        <w:rPr>
          <w:rFonts w:ascii="Arial" w:eastAsia="Arial" w:hAnsi="Arial" w:cs="Arial"/>
          <w:sz w:val="24"/>
          <w:szCs w:val="24"/>
        </w:rPr>
        <w:t xml:space="preserve"> no se acredita la violación a los derechos político-electorales de la </w:t>
      </w:r>
      <w:r>
        <w:rPr>
          <w:rFonts w:ascii="Arial" w:eastAsia="Arial" w:hAnsi="Arial" w:cs="Arial"/>
          <w:i/>
          <w:iCs/>
          <w:sz w:val="24"/>
          <w:szCs w:val="24"/>
        </w:rPr>
        <w:t xml:space="preserve">actora, </w:t>
      </w:r>
      <w:r>
        <w:rPr>
          <w:rFonts w:ascii="Arial" w:eastAsia="Arial" w:hAnsi="Arial" w:cs="Arial"/>
          <w:sz w:val="24"/>
          <w:szCs w:val="24"/>
        </w:rPr>
        <w:t>se estima innecesaria la implementación de una garantía de no repetición.</w:t>
      </w:r>
    </w:p>
    <w:p w14:paraId="778314CB" w14:textId="77777777" w:rsidR="000D1E58" w:rsidRDefault="00000000">
      <w:pPr>
        <w:spacing w:line="360" w:lineRule="auto"/>
        <w:jc w:val="both"/>
        <w:rPr>
          <w:rFonts w:ascii="Arial" w:eastAsia="Arial" w:hAnsi="Arial" w:cs="Arial"/>
          <w:sz w:val="24"/>
          <w:szCs w:val="24"/>
          <w:shd w:val="clear" w:color="auto" w:fill="FFE599"/>
        </w:rPr>
      </w:pPr>
      <w:r>
        <w:rPr>
          <w:rFonts w:ascii="Arial" w:eastAsia="Arial" w:hAnsi="Arial" w:cs="Arial"/>
          <w:sz w:val="24"/>
          <w:szCs w:val="24"/>
        </w:rPr>
        <w:t xml:space="preserve">En consecuencia, al resultar </w:t>
      </w:r>
      <w:r>
        <w:rPr>
          <w:rFonts w:ascii="Arial" w:eastAsia="Arial" w:hAnsi="Arial" w:cs="Arial"/>
          <w:b/>
          <w:sz w:val="24"/>
          <w:szCs w:val="24"/>
        </w:rPr>
        <w:t>infundados e inoperantes</w:t>
      </w:r>
      <w:r>
        <w:rPr>
          <w:rFonts w:ascii="Arial" w:eastAsia="Arial" w:hAnsi="Arial" w:cs="Arial"/>
          <w:sz w:val="24"/>
          <w:szCs w:val="24"/>
        </w:rPr>
        <w:t xml:space="preserve"> los agravios que se hacen valer, se emiten los siguientes</w:t>
      </w:r>
    </w:p>
    <w:p w14:paraId="7AC19EF0" w14:textId="77777777" w:rsidR="000D1E58" w:rsidRDefault="00000000">
      <w:pPr>
        <w:shd w:val="clear" w:color="auto" w:fill="FFFFFF" w:themeFill="background1"/>
        <w:spacing w:before="240" w:after="0" w:line="360" w:lineRule="auto"/>
        <w:jc w:val="center"/>
        <w:outlineLvl w:val="2"/>
        <w:rPr>
          <w:rFonts w:ascii="Arial" w:hAnsi="Arial" w:cs="Arial"/>
          <w:b/>
          <w:bCs/>
          <w:color w:val="000000" w:themeColor="text1"/>
          <w:sz w:val="24"/>
          <w:szCs w:val="24"/>
        </w:rPr>
      </w:pPr>
      <w:bookmarkStart w:id="18" w:name="_Toc193363700"/>
      <w:r>
        <w:rPr>
          <w:rFonts w:ascii="Arial" w:hAnsi="Arial" w:cs="Arial"/>
          <w:b/>
          <w:bCs/>
          <w:color w:val="000000" w:themeColor="text1"/>
          <w:sz w:val="24"/>
          <w:szCs w:val="24"/>
        </w:rPr>
        <w:t>IX. RESOLUTIVOS</w:t>
      </w:r>
      <w:bookmarkEnd w:id="18"/>
    </w:p>
    <w:p w14:paraId="70FB4C4E" w14:textId="77777777" w:rsidR="000D1E58" w:rsidRDefault="00000000">
      <w:pPr>
        <w:tabs>
          <w:tab w:val="right" w:pos="7655"/>
        </w:tabs>
        <w:spacing w:before="280" w:after="280" w:line="360" w:lineRule="auto"/>
        <w:jc w:val="both"/>
        <w:rPr>
          <w:rFonts w:ascii="Arial" w:eastAsia="Arial" w:hAnsi="Arial" w:cs="Arial"/>
          <w:sz w:val="24"/>
          <w:szCs w:val="24"/>
        </w:rPr>
      </w:pPr>
      <w:r>
        <w:rPr>
          <w:rFonts w:ascii="Arial" w:eastAsia="Arial" w:hAnsi="Arial" w:cs="Arial"/>
          <w:b/>
          <w:sz w:val="24"/>
          <w:szCs w:val="24"/>
        </w:rPr>
        <w:t xml:space="preserve">PRIMERO. </w:t>
      </w:r>
      <w:r>
        <w:rPr>
          <w:rFonts w:ascii="Arial" w:eastAsia="Arial" w:hAnsi="Arial" w:cs="Arial"/>
          <w:sz w:val="24"/>
          <w:szCs w:val="24"/>
        </w:rPr>
        <w:t>Se</w:t>
      </w:r>
      <w:r>
        <w:rPr>
          <w:rFonts w:ascii="Arial" w:eastAsia="Arial" w:hAnsi="Arial" w:cs="Arial"/>
          <w:b/>
          <w:sz w:val="24"/>
          <w:szCs w:val="24"/>
        </w:rPr>
        <w:t xml:space="preserve"> sobresee </w:t>
      </w:r>
      <w:r>
        <w:rPr>
          <w:rFonts w:ascii="Arial" w:eastAsia="Arial" w:hAnsi="Arial" w:cs="Arial"/>
          <w:sz w:val="24"/>
          <w:szCs w:val="24"/>
        </w:rPr>
        <w:t>por extemporáneo el medio de impugnación respecto de las irregularidades durante el desarrollo de la Sesión Ordinaria 002 del Ayuntamiento de Epitacio Huerta, Michoacán, celebrada el veintiocho de enero de dos mil veinticinco.</w:t>
      </w:r>
    </w:p>
    <w:p w14:paraId="73AB348F" w14:textId="77777777" w:rsidR="000D1E58" w:rsidRDefault="00000000">
      <w:pPr>
        <w:tabs>
          <w:tab w:val="right" w:pos="7655"/>
        </w:tabs>
        <w:spacing w:before="280" w:after="280" w:line="360" w:lineRule="auto"/>
        <w:jc w:val="both"/>
        <w:rPr>
          <w:rFonts w:ascii="Arial" w:eastAsia="Arial" w:hAnsi="Arial" w:cs="Arial"/>
          <w:sz w:val="24"/>
          <w:szCs w:val="24"/>
        </w:rPr>
      </w:pPr>
      <w:r>
        <w:rPr>
          <w:rFonts w:ascii="Arial" w:eastAsia="Arial" w:hAnsi="Arial" w:cs="Arial"/>
          <w:b/>
          <w:sz w:val="24"/>
          <w:szCs w:val="24"/>
        </w:rPr>
        <w:t xml:space="preserve">SEGUNDO. </w:t>
      </w:r>
      <w:r>
        <w:rPr>
          <w:rFonts w:ascii="Arial" w:eastAsia="Arial" w:hAnsi="Arial" w:cs="Arial"/>
          <w:sz w:val="24"/>
          <w:szCs w:val="24"/>
        </w:rPr>
        <w:t xml:space="preserve">Se declara la </w:t>
      </w:r>
      <w:r>
        <w:rPr>
          <w:rFonts w:ascii="Arial" w:eastAsia="Arial" w:hAnsi="Arial" w:cs="Arial"/>
          <w:b/>
          <w:sz w:val="24"/>
          <w:szCs w:val="24"/>
        </w:rPr>
        <w:t xml:space="preserve">inexistencia </w:t>
      </w:r>
      <w:r>
        <w:rPr>
          <w:rFonts w:ascii="Arial" w:eastAsia="Arial" w:hAnsi="Arial" w:cs="Arial"/>
          <w:sz w:val="24"/>
          <w:szCs w:val="24"/>
        </w:rPr>
        <w:t>de la vulneración al derecho político-electoral de votar y ser votada en su vertiente del ejercicio del cargo de la actora.</w:t>
      </w:r>
    </w:p>
    <w:p w14:paraId="55C4CEC5" w14:textId="77777777" w:rsidR="00C7063A" w:rsidRDefault="00C7063A">
      <w:pPr>
        <w:pStyle w:val="Sinespaciado"/>
        <w:spacing w:before="240" w:line="360" w:lineRule="auto"/>
        <w:jc w:val="both"/>
        <w:rPr>
          <w:rFonts w:ascii="Arial" w:hAnsi="Arial" w:cs="Arial"/>
          <w:b/>
          <w:bCs/>
          <w:sz w:val="24"/>
          <w:szCs w:val="24"/>
          <w:lang w:val="es-ES"/>
        </w:rPr>
      </w:pPr>
    </w:p>
    <w:p w14:paraId="13CA0A29" w14:textId="0BB26477" w:rsidR="000D1E58" w:rsidRDefault="00000000">
      <w:pPr>
        <w:pStyle w:val="Sinespaciado"/>
        <w:spacing w:before="240" w:line="360" w:lineRule="auto"/>
        <w:jc w:val="both"/>
        <w:rPr>
          <w:rFonts w:ascii="Arial" w:hAnsi="Arial" w:cs="Arial"/>
          <w:sz w:val="24"/>
          <w:szCs w:val="24"/>
          <w:lang w:eastAsia="es-ES"/>
        </w:rPr>
      </w:pPr>
      <w:r>
        <w:rPr>
          <w:rFonts w:ascii="Arial" w:hAnsi="Arial" w:cs="Arial"/>
          <w:b/>
          <w:bCs/>
          <w:sz w:val="24"/>
          <w:szCs w:val="24"/>
          <w:lang w:val="es-ES"/>
        </w:rPr>
        <w:t xml:space="preserve">Notifíquese: </w:t>
      </w:r>
      <w:r>
        <w:rPr>
          <w:rFonts w:ascii="Arial" w:hAnsi="Arial" w:cs="Arial"/>
          <w:b/>
          <w:bCs/>
          <w:sz w:val="24"/>
          <w:szCs w:val="24"/>
        </w:rPr>
        <w:t>Personalmente</w:t>
      </w:r>
      <w:r>
        <w:rPr>
          <w:rFonts w:ascii="Arial" w:hAnsi="Arial" w:cs="Arial"/>
          <w:sz w:val="24"/>
          <w:szCs w:val="24"/>
        </w:rPr>
        <w:t>,</w:t>
      </w:r>
      <w:r>
        <w:rPr>
          <w:rFonts w:ascii="Arial" w:hAnsi="Arial" w:cs="Arial"/>
          <w:b/>
          <w:bCs/>
          <w:sz w:val="24"/>
          <w:szCs w:val="24"/>
        </w:rPr>
        <w:t xml:space="preserve"> </w:t>
      </w:r>
      <w:r>
        <w:rPr>
          <w:rFonts w:ascii="Arial" w:hAnsi="Arial" w:cs="Arial"/>
          <w:sz w:val="24"/>
          <w:szCs w:val="24"/>
        </w:rPr>
        <w:t xml:space="preserve">a la actora; </w:t>
      </w:r>
      <w:r>
        <w:rPr>
          <w:rFonts w:ascii="Arial" w:hAnsi="Arial" w:cs="Arial"/>
          <w:b/>
          <w:bCs/>
          <w:sz w:val="24"/>
          <w:szCs w:val="24"/>
        </w:rPr>
        <w:t>por oficio</w:t>
      </w:r>
      <w:r>
        <w:rPr>
          <w:rFonts w:ascii="Arial" w:hAnsi="Arial" w:cs="Arial"/>
          <w:sz w:val="24"/>
          <w:szCs w:val="24"/>
        </w:rPr>
        <w:t>,</w:t>
      </w:r>
      <w:r>
        <w:rPr>
          <w:rFonts w:ascii="Arial" w:hAnsi="Arial" w:cs="Arial"/>
          <w:b/>
          <w:bCs/>
          <w:sz w:val="24"/>
          <w:szCs w:val="24"/>
        </w:rPr>
        <w:t xml:space="preserve"> </w:t>
      </w:r>
      <w:r>
        <w:rPr>
          <w:rFonts w:ascii="Arial" w:hAnsi="Arial" w:cs="Arial"/>
          <w:sz w:val="24"/>
          <w:szCs w:val="24"/>
        </w:rPr>
        <w:t>a la autoridad responsable; y</w:t>
      </w:r>
      <w:r>
        <w:rPr>
          <w:rFonts w:ascii="Arial" w:hAnsi="Arial" w:cs="Arial"/>
          <w:b/>
          <w:bCs/>
          <w:sz w:val="24"/>
          <w:szCs w:val="24"/>
        </w:rPr>
        <w:t xml:space="preserve"> por estrados</w:t>
      </w:r>
      <w:r>
        <w:rPr>
          <w:rFonts w:ascii="Arial" w:hAnsi="Arial" w:cs="Arial"/>
          <w:sz w:val="24"/>
          <w:szCs w:val="24"/>
        </w:rPr>
        <w:t>, a los demás interesados. Ello,</w:t>
      </w:r>
      <w:r>
        <w:rPr>
          <w:rFonts w:ascii="Arial" w:hAnsi="Arial" w:cs="Arial"/>
          <w:b/>
          <w:bCs/>
          <w:sz w:val="24"/>
          <w:szCs w:val="24"/>
        </w:rPr>
        <w:t xml:space="preserve"> </w:t>
      </w:r>
      <w:r>
        <w:rPr>
          <w:rFonts w:ascii="Arial" w:hAnsi="Arial" w:cs="Arial"/>
          <w:sz w:val="24"/>
          <w:szCs w:val="24"/>
        </w:rPr>
        <w:t>con fundamento en los artículos 37, fracciones I, II y III; 38, 39 y 44, fracción I, de la Ley de Justicia en Materia Electoral y de Participación Ciudadana del Estado de Michoacán de Ocampo; 40, 43, 44 y 47, del Reglamento Interior del Tribunal Electoral del Estado.</w:t>
      </w:r>
    </w:p>
    <w:p w14:paraId="48F4932C" w14:textId="77777777" w:rsidR="000D1E58" w:rsidRDefault="00000000">
      <w:pPr>
        <w:tabs>
          <w:tab w:val="left" w:pos="5730"/>
        </w:tabs>
        <w:spacing w:before="240" w:after="0" w:line="360" w:lineRule="auto"/>
        <w:jc w:val="both"/>
        <w:rPr>
          <w:rFonts w:ascii="Arial" w:hAnsi="Arial" w:cs="Arial"/>
          <w:sz w:val="24"/>
          <w:szCs w:val="24"/>
          <w:lang w:val="es-ES_tradnl"/>
        </w:rPr>
      </w:pPr>
      <w:r>
        <w:rPr>
          <w:rFonts w:ascii="Arial" w:hAnsi="Arial" w:cs="Arial"/>
          <w:sz w:val="24"/>
          <w:szCs w:val="24"/>
          <w:lang w:val="es-ES_tradnl"/>
        </w:rPr>
        <w:t>En su oportunidad, archívese este expediente como asunto total y definitivamente concluido.</w:t>
      </w:r>
    </w:p>
    <w:p w14:paraId="69BED560" w14:textId="77777777" w:rsidR="000D1E58" w:rsidRDefault="000D1E58">
      <w:pPr>
        <w:jc w:val="both"/>
        <w:rPr>
          <w:sz w:val="24"/>
          <w:szCs w:val="24"/>
          <w:lang w:eastAsia="es-MX"/>
        </w:rPr>
      </w:pPr>
    </w:p>
    <w:p w14:paraId="590CAE46" w14:textId="741CEAFB" w:rsidR="000D1E58" w:rsidRDefault="00000000">
      <w:pPr>
        <w:tabs>
          <w:tab w:val="left" w:pos="426"/>
          <w:tab w:val="left" w:pos="567"/>
        </w:tabs>
        <w:spacing w:before="100" w:beforeAutospacing="1" w:after="100" w:afterAutospacing="1" w:line="360" w:lineRule="auto"/>
        <w:jc w:val="both"/>
        <w:rPr>
          <w:rFonts w:ascii="Arial" w:hAnsi="Arial" w:cs="Arial"/>
          <w:b/>
          <w:bCs/>
          <w:sz w:val="24"/>
          <w:szCs w:val="24"/>
          <w:lang w:val="es-ES"/>
        </w:rPr>
      </w:pPr>
      <w:r>
        <w:rPr>
          <w:rFonts w:ascii="Arial" w:hAnsi="Arial" w:cs="Arial"/>
          <w:sz w:val="24"/>
          <w:szCs w:val="24"/>
          <w:lang w:val="es-ES"/>
        </w:rPr>
        <w:t xml:space="preserve">Así, en sesión pública virtual del día de hoy, a las </w:t>
      </w:r>
      <w:r w:rsidR="009E1DF3">
        <w:rPr>
          <w:rFonts w:ascii="Arial" w:hAnsi="Arial" w:cs="Arial"/>
          <w:sz w:val="24"/>
          <w:szCs w:val="24"/>
          <w:lang w:val="es-ES"/>
        </w:rPr>
        <w:t>catorce</w:t>
      </w:r>
      <w:r>
        <w:rPr>
          <w:rFonts w:ascii="Arial" w:hAnsi="Arial" w:cs="Arial"/>
          <w:sz w:val="24"/>
          <w:szCs w:val="24"/>
          <w:lang w:val="es-ES"/>
        </w:rPr>
        <w:t xml:space="preserve"> horas con </w:t>
      </w:r>
      <w:r w:rsidR="009E1DF3">
        <w:rPr>
          <w:rFonts w:ascii="Arial" w:hAnsi="Arial" w:cs="Arial"/>
          <w:sz w:val="24"/>
          <w:szCs w:val="24"/>
          <w:lang w:val="es-ES"/>
        </w:rPr>
        <w:t>tres</w:t>
      </w:r>
      <w:r>
        <w:rPr>
          <w:rFonts w:ascii="Arial" w:hAnsi="Arial" w:cs="Arial"/>
          <w:sz w:val="24"/>
          <w:szCs w:val="24"/>
          <w:lang w:val="es-ES"/>
        </w:rPr>
        <w:t xml:space="preserve"> minutos del día de hoy, por </w:t>
      </w:r>
      <w:r w:rsidR="00545C03">
        <w:rPr>
          <w:rFonts w:ascii="Arial" w:hAnsi="Arial" w:cs="Arial"/>
          <w:sz w:val="24"/>
          <w:szCs w:val="24"/>
          <w:lang w:val="es-ES"/>
        </w:rPr>
        <w:t>unanimidad</w:t>
      </w:r>
      <w:r>
        <w:rPr>
          <w:rFonts w:ascii="Arial" w:hAnsi="Arial" w:cs="Arial"/>
          <w:sz w:val="24"/>
          <w:szCs w:val="24"/>
          <w:lang w:val="es-ES"/>
        </w:rPr>
        <w:t xml:space="preserve"> votos lo resolvieron y firman quienes actualmente integran el Pleno del Tribunal Electoral del Estado, Magistrada Presidenta Alma Rosa Bahena Villalobos </w:t>
      </w:r>
      <w:r>
        <w:rPr>
          <w:rFonts w:ascii="Arial" w:hAnsi="Arial" w:cs="Arial"/>
          <w:i/>
          <w:iCs/>
          <w:sz w:val="24"/>
          <w:szCs w:val="24"/>
          <w:lang w:val="es-ES"/>
        </w:rPr>
        <w:t>—quien fue ponente—,</w:t>
      </w:r>
      <w:r>
        <w:rPr>
          <w:rFonts w:ascii="Arial" w:hAnsi="Arial" w:cs="Arial"/>
          <w:sz w:val="24"/>
          <w:szCs w:val="24"/>
          <w:lang w:val="es-ES"/>
        </w:rPr>
        <w:t xml:space="preserve"> Magistrada Yurisha Andrade y el Magistrado en funciones Everardo Tovar Valdez</w:t>
      </w:r>
      <w:r>
        <w:rPr>
          <w:rFonts w:ascii="Arial" w:hAnsi="Arial" w:cs="Arial"/>
          <w:i/>
          <w:iCs/>
          <w:sz w:val="24"/>
          <w:szCs w:val="24"/>
          <w:lang w:val="es-ES"/>
        </w:rPr>
        <w:t xml:space="preserve">, </w:t>
      </w:r>
      <w:r>
        <w:rPr>
          <w:rFonts w:ascii="Arial" w:hAnsi="Arial" w:cs="Arial"/>
          <w:sz w:val="24"/>
          <w:szCs w:val="24"/>
          <w:lang w:val="es-ES"/>
        </w:rPr>
        <w:t xml:space="preserve">ante el Secretario General de Acuerdos, Gerardo Maldonado Tadeo, quien autoriza y da fe. </w:t>
      </w:r>
      <w:r>
        <w:rPr>
          <w:rFonts w:ascii="Arial" w:hAnsi="Arial" w:cs="Arial"/>
          <w:b/>
          <w:bCs/>
          <w:sz w:val="24"/>
          <w:szCs w:val="24"/>
          <w:lang w:val="es-ES"/>
        </w:rPr>
        <w:t>Conste.</w:t>
      </w:r>
    </w:p>
    <w:tbl>
      <w:tblPr>
        <w:tblW w:w="7932" w:type="dxa"/>
        <w:tblInd w:w="-147" w:type="dxa"/>
        <w:tblLayout w:type="fixed"/>
        <w:tblLook w:val="0400" w:firstRow="0" w:lastRow="0" w:firstColumn="0" w:lastColumn="0" w:noHBand="0" w:noVBand="1"/>
      </w:tblPr>
      <w:tblGrid>
        <w:gridCol w:w="4107"/>
        <w:gridCol w:w="3825"/>
      </w:tblGrid>
      <w:tr w:rsidR="000D1E58" w14:paraId="421DDADB" w14:textId="77777777" w:rsidTr="008B4ACE">
        <w:trPr>
          <w:trHeight w:val="2053"/>
        </w:trPr>
        <w:tc>
          <w:tcPr>
            <w:tcW w:w="7932" w:type="dxa"/>
            <w:gridSpan w:val="2"/>
          </w:tcPr>
          <w:p w14:paraId="56868A92" w14:textId="77777777" w:rsidR="000D1E58" w:rsidRDefault="000D1E58">
            <w:pPr>
              <w:spacing w:after="280"/>
              <w:jc w:val="center"/>
              <w:rPr>
                <w:rFonts w:ascii="Arial" w:eastAsia="Arial" w:hAnsi="Arial" w:cs="Arial"/>
                <w:b/>
              </w:rPr>
            </w:pPr>
          </w:p>
          <w:p w14:paraId="027EE666" w14:textId="77777777" w:rsidR="000D1E58" w:rsidRDefault="00000000">
            <w:pPr>
              <w:spacing w:after="280"/>
              <w:jc w:val="center"/>
              <w:rPr>
                <w:rFonts w:ascii="Arial" w:eastAsia="Arial" w:hAnsi="Arial" w:cs="Arial"/>
                <w:b/>
              </w:rPr>
            </w:pPr>
            <w:r>
              <w:rPr>
                <w:rFonts w:ascii="Arial" w:eastAsia="Arial" w:hAnsi="Arial" w:cs="Arial"/>
                <w:b/>
              </w:rPr>
              <w:t>MAGISTRADA PRESIDENTA</w:t>
            </w:r>
          </w:p>
          <w:p w14:paraId="5A4F9EA6" w14:textId="77777777" w:rsidR="000D1E58" w:rsidRDefault="000D1E58">
            <w:pPr>
              <w:spacing w:before="280" w:after="280"/>
              <w:rPr>
                <w:rFonts w:ascii="Arial" w:eastAsia="Arial" w:hAnsi="Arial" w:cs="Arial"/>
                <w:b/>
              </w:rPr>
            </w:pPr>
          </w:p>
          <w:p w14:paraId="3B8634C0" w14:textId="77777777" w:rsidR="000D1E58" w:rsidRDefault="00000000">
            <w:pPr>
              <w:spacing w:before="280" w:after="280"/>
              <w:jc w:val="center"/>
              <w:rPr>
                <w:rFonts w:ascii="Arial" w:eastAsia="Arial" w:hAnsi="Arial" w:cs="Arial"/>
                <w:b/>
              </w:rPr>
            </w:pPr>
            <w:r>
              <w:rPr>
                <w:rFonts w:ascii="Arial" w:eastAsia="Arial" w:hAnsi="Arial" w:cs="Arial"/>
                <w:b/>
              </w:rPr>
              <w:t>ALMA ROSA BAHENA VILLALOBOS</w:t>
            </w:r>
          </w:p>
          <w:p w14:paraId="26A2798D" w14:textId="77777777" w:rsidR="000D1E58" w:rsidRDefault="000D1E58">
            <w:pPr>
              <w:spacing w:before="280"/>
              <w:jc w:val="center"/>
              <w:rPr>
                <w:rFonts w:ascii="Arial" w:eastAsia="Arial" w:hAnsi="Arial" w:cs="Arial"/>
                <w:b/>
              </w:rPr>
            </w:pPr>
          </w:p>
        </w:tc>
      </w:tr>
      <w:tr w:rsidR="000D1E58" w:rsidRPr="00545C03" w14:paraId="034B3E75" w14:textId="77777777" w:rsidTr="00DF74B0">
        <w:trPr>
          <w:trHeight w:val="1724"/>
        </w:trPr>
        <w:tc>
          <w:tcPr>
            <w:tcW w:w="4107" w:type="dxa"/>
          </w:tcPr>
          <w:p w14:paraId="5DAACA61" w14:textId="77777777" w:rsidR="000D1E58" w:rsidRPr="00545C03" w:rsidRDefault="00000000">
            <w:pPr>
              <w:spacing w:after="280"/>
              <w:jc w:val="center"/>
              <w:rPr>
                <w:rFonts w:ascii="Arial" w:eastAsia="Arial" w:hAnsi="Arial" w:cs="Arial"/>
                <w:b/>
              </w:rPr>
            </w:pPr>
            <w:r w:rsidRPr="00545C03">
              <w:rPr>
                <w:rFonts w:ascii="Arial" w:eastAsia="Arial" w:hAnsi="Arial" w:cs="Arial"/>
                <w:b/>
              </w:rPr>
              <w:t>MAGISTRADA</w:t>
            </w:r>
          </w:p>
          <w:p w14:paraId="5C8DA655" w14:textId="77777777" w:rsidR="000D1E58" w:rsidRPr="00545C03" w:rsidRDefault="000D1E58">
            <w:pPr>
              <w:spacing w:before="280" w:after="280"/>
              <w:jc w:val="center"/>
              <w:rPr>
                <w:rFonts w:ascii="Arial" w:eastAsia="Arial" w:hAnsi="Arial" w:cs="Arial"/>
                <w:b/>
              </w:rPr>
            </w:pPr>
          </w:p>
          <w:p w14:paraId="5C2C0E18" w14:textId="3A8EB1CC" w:rsidR="000D1E58" w:rsidRPr="00545C03" w:rsidRDefault="00000000" w:rsidP="00C20927">
            <w:pPr>
              <w:spacing w:line="240" w:lineRule="auto"/>
              <w:jc w:val="center"/>
              <w:rPr>
                <w:rFonts w:ascii="Arial" w:eastAsia="Arial" w:hAnsi="Arial" w:cs="Arial"/>
                <w:b/>
              </w:rPr>
            </w:pPr>
            <w:r w:rsidRPr="00545C03">
              <w:rPr>
                <w:rFonts w:ascii="Arial" w:eastAsia="Arial" w:hAnsi="Arial" w:cs="Arial"/>
                <w:b/>
              </w:rPr>
              <w:t>YURISHA ANDRADE MORALES</w:t>
            </w:r>
          </w:p>
        </w:tc>
        <w:tc>
          <w:tcPr>
            <w:tcW w:w="3825" w:type="dxa"/>
          </w:tcPr>
          <w:p w14:paraId="3C4A35B4" w14:textId="77777777" w:rsidR="000D1E58" w:rsidRPr="00545C03" w:rsidRDefault="00000000">
            <w:pPr>
              <w:spacing w:after="280"/>
              <w:jc w:val="center"/>
              <w:rPr>
                <w:rFonts w:ascii="Arial" w:eastAsia="Arial" w:hAnsi="Arial" w:cs="Arial"/>
                <w:b/>
              </w:rPr>
            </w:pPr>
            <w:r w:rsidRPr="00545C03">
              <w:rPr>
                <w:rFonts w:ascii="Arial" w:eastAsia="Arial" w:hAnsi="Arial" w:cs="Arial"/>
                <w:b/>
              </w:rPr>
              <w:t>MAGISTRADO</w:t>
            </w:r>
          </w:p>
          <w:p w14:paraId="05FB01F3" w14:textId="77777777" w:rsidR="000D1E58" w:rsidRPr="00545C03" w:rsidRDefault="000D1E58">
            <w:pPr>
              <w:spacing w:before="280" w:after="280"/>
              <w:rPr>
                <w:rFonts w:ascii="Arial" w:eastAsia="Arial" w:hAnsi="Arial" w:cs="Arial"/>
                <w:b/>
              </w:rPr>
            </w:pPr>
          </w:p>
          <w:p w14:paraId="630649D4" w14:textId="6BD94E61" w:rsidR="000D1E58" w:rsidRPr="00545C03" w:rsidRDefault="00000000" w:rsidP="00DF74B0">
            <w:pPr>
              <w:spacing w:before="280" w:after="280" w:line="240" w:lineRule="auto"/>
              <w:jc w:val="center"/>
              <w:rPr>
                <w:rFonts w:ascii="Arial" w:eastAsia="Arial" w:hAnsi="Arial" w:cs="Arial"/>
                <w:b/>
              </w:rPr>
            </w:pPr>
            <w:r w:rsidRPr="00545C03">
              <w:rPr>
                <w:rFonts w:ascii="Arial" w:eastAsia="Arial" w:hAnsi="Arial" w:cs="Arial"/>
                <w:b/>
              </w:rPr>
              <w:t>EVERARDO TOVAR VALDEZ</w:t>
            </w:r>
          </w:p>
        </w:tc>
      </w:tr>
      <w:tr w:rsidR="000D1E58" w:rsidRPr="00545C03" w14:paraId="55AF2DA8" w14:textId="77777777" w:rsidTr="008B4ACE">
        <w:trPr>
          <w:trHeight w:val="324"/>
        </w:trPr>
        <w:tc>
          <w:tcPr>
            <w:tcW w:w="7932" w:type="dxa"/>
            <w:gridSpan w:val="2"/>
          </w:tcPr>
          <w:p w14:paraId="78A7CC51" w14:textId="77777777" w:rsidR="000D1E58" w:rsidRPr="00545C03" w:rsidRDefault="000D1E58">
            <w:pPr>
              <w:spacing w:after="280"/>
              <w:jc w:val="center"/>
              <w:rPr>
                <w:rFonts w:ascii="Arial" w:eastAsia="Arial" w:hAnsi="Arial" w:cs="Arial"/>
                <w:b/>
              </w:rPr>
            </w:pPr>
          </w:p>
          <w:p w14:paraId="58563A02" w14:textId="77777777" w:rsidR="000D1E58" w:rsidRPr="00545C03" w:rsidRDefault="00000000">
            <w:pPr>
              <w:spacing w:after="280"/>
              <w:jc w:val="center"/>
              <w:rPr>
                <w:rFonts w:ascii="Arial" w:eastAsia="Arial" w:hAnsi="Arial" w:cs="Arial"/>
                <w:b/>
              </w:rPr>
            </w:pPr>
            <w:r w:rsidRPr="00545C03">
              <w:rPr>
                <w:rFonts w:ascii="Arial" w:eastAsia="Arial" w:hAnsi="Arial" w:cs="Arial"/>
                <w:b/>
              </w:rPr>
              <w:t>SECRETARIO GENERAL DE ACUERDOS</w:t>
            </w:r>
          </w:p>
          <w:p w14:paraId="3179B1A7" w14:textId="77777777" w:rsidR="000D1E58" w:rsidRPr="00545C03" w:rsidRDefault="000D1E58">
            <w:pPr>
              <w:spacing w:before="280" w:after="280"/>
              <w:rPr>
                <w:rFonts w:ascii="Arial" w:eastAsia="Arial" w:hAnsi="Arial" w:cs="Arial"/>
                <w:b/>
              </w:rPr>
            </w:pPr>
          </w:p>
          <w:p w14:paraId="24A12903" w14:textId="77777777" w:rsidR="000D1E58" w:rsidRPr="00545C03" w:rsidRDefault="00000000">
            <w:pPr>
              <w:spacing w:before="280"/>
              <w:jc w:val="center"/>
              <w:rPr>
                <w:rFonts w:ascii="Arial" w:eastAsia="Arial" w:hAnsi="Arial" w:cs="Arial"/>
                <w:b/>
              </w:rPr>
            </w:pPr>
            <w:r w:rsidRPr="00545C03">
              <w:rPr>
                <w:rFonts w:ascii="Arial" w:eastAsia="Arial" w:hAnsi="Arial" w:cs="Arial"/>
                <w:b/>
              </w:rPr>
              <w:t>GERARDO MALDONADO TADEO</w:t>
            </w:r>
          </w:p>
        </w:tc>
      </w:tr>
    </w:tbl>
    <w:p w14:paraId="3C777081" w14:textId="326657B4" w:rsidR="000D1E58" w:rsidRPr="00DF74B0" w:rsidRDefault="00000000">
      <w:pPr>
        <w:tabs>
          <w:tab w:val="left" w:pos="426"/>
        </w:tabs>
        <w:jc w:val="both"/>
        <w:rPr>
          <w:rFonts w:ascii="Arial" w:eastAsia="Calibri" w:hAnsi="Arial" w:cs="Arial"/>
          <w:b/>
          <w:sz w:val="18"/>
          <w:szCs w:val="18"/>
        </w:rPr>
      </w:pPr>
      <w:r w:rsidRPr="00DF74B0">
        <w:rPr>
          <w:rFonts w:ascii="Arial" w:eastAsia="Calibri" w:hAnsi="Arial" w:cs="Arial"/>
          <w:bCs/>
          <w:sz w:val="18"/>
          <w:szCs w:val="18"/>
          <w:lang w:val="es-ES_tradnl"/>
        </w:rPr>
        <w:t>El suscrito Licenciado Gerardo Maldonado Tadeo</w:t>
      </w:r>
      <w:r w:rsidRPr="00DF74B0">
        <w:rPr>
          <w:rFonts w:ascii="Arial" w:eastAsia="Calibri" w:hAnsi="Arial" w:cs="Arial"/>
          <w:sz w:val="18"/>
          <w:szCs w:val="18"/>
          <w:lang w:val="es-ES_tradnl"/>
        </w:rPr>
        <w:t xml:space="preserve">, Secretario General de Acuerdos del Tribunal Electoral del Estado, en ejercicio de las facultades que me confieren los artículos 69 fracciones VII y VIII del Código Electoral del Estado de Michoacán de Ocampo y 66 fracciones I y II del Reglamento Interior del Tribunal Electoral del Estado, </w:t>
      </w:r>
      <w:r w:rsidRPr="00DF74B0">
        <w:rPr>
          <w:rFonts w:ascii="Arial" w:eastAsia="Calibri" w:hAnsi="Arial" w:cs="Arial"/>
          <w:bCs/>
          <w:sz w:val="18"/>
          <w:szCs w:val="18"/>
        </w:rPr>
        <w:t xml:space="preserve">hago constar que las firmas que obra en el presente documento, corresponden a la sentencia del juicio de la ciudadanía </w:t>
      </w:r>
      <w:r w:rsidRPr="00DF74B0">
        <w:rPr>
          <w:rFonts w:ascii="Arial" w:eastAsia="Calibri" w:hAnsi="Arial" w:cs="Arial"/>
          <w:b/>
          <w:sz w:val="18"/>
          <w:szCs w:val="18"/>
        </w:rPr>
        <w:t>TEEM-JDC-</w:t>
      </w:r>
      <w:r w:rsidR="00C20927" w:rsidRPr="00DF74B0">
        <w:rPr>
          <w:rFonts w:ascii="Arial" w:eastAsia="Calibri" w:hAnsi="Arial" w:cs="Arial"/>
          <w:b/>
          <w:sz w:val="18"/>
          <w:szCs w:val="18"/>
        </w:rPr>
        <w:t>0</w:t>
      </w:r>
      <w:r w:rsidRPr="00DF74B0">
        <w:rPr>
          <w:rFonts w:ascii="Arial" w:eastAsia="Calibri" w:hAnsi="Arial" w:cs="Arial"/>
          <w:b/>
          <w:sz w:val="18"/>
          <w:szCs w:val="18"/>
        </w:rPr>
        <w:t>37/2025,</w:t>
      </w:r>
      <w:r w:rsidRPr="00DF74B0">
        <w:rPr>
          <w:rFonts w:ascii="Arial" w:eastAsia="Calibri" w:hAnsi="Arial" w:cs="Arial"/>
          <w:bCs/>
          <w:sz w:val="18"/>
          <w:szCs w:val="18"/>
        </w:rPr>
        <w:t xml:space="preserve"> aprobada en Sesión Pública Virtual celebrada el </w:t>
      </w:r>
      <w:r w:rsidR="00432D9B" w:rsidRPr="00DF74B0">
        <w:rPr>
          <w:rFonts w:ascii="Arial" w:eastAsia="Calibri" w:hAnsi="Arial" w:cs="Arial"/>
          <w:bCs/>
          <w:sz w:val="18"/>
          <w:szCs w:val="18"/>
        </w:rPr>
        <w:t>veinte de marzo de dos mil veinticinco</w:t>
      </w:r>
      <w:r w:rsidRPr="00DF74B0">
        <w:rPr>
          <w:rFonts w:ascii="Arial" w:eastAsia="Calibri" w:hAnsi="Arial" w:cs="Arial"/>
          <w:bCs/>
          <w:sz w:val="18"/>
          <w:szCs w:val="18"/>
        </w:rPr>
        <w:t>, la cual consta de veintis</w:t>
      </w:r>
      <w:r w:rsidR="00C20927" w:rsidRPr="00DF74B0">
        <w:rPr>
          <w:rFonts w:ascii="Arial" w:eastAsia="Calibri" w:hAnsi="Arial" w:cs="Arial"/>
          <w:bCs/>
          <w:sz w:val="18"/>
          <w:szCs w:val="18"/>
        </w:rPr>
        <w:t>iete</w:t>
      </w:r>
      <w:r w:rsidRPr="00DF74B0">
        <w:rPr>
          <w:rFonts w:ascii="Arial" w:eastAsia="Calibri" w:hAnsi="Arial" w:cs="Arial"/>
          <w:bCs/>
          <w:sz w:val="18"/>
          <w:szCs w:val="18"/>
        </w:rPr>
        <w:t xml:space="preserve"> páginas, incluida la presente. </w:t>
      </w:r>
      <w:r w:rsidRPr="00DF74B0">
        <w:rPr>
          <w:rFonts w:ascii="Arial" w:eastAsia="Calibri" w:hAnsi="Arial" w:cs="Arial"/>
          <w:b/>
          <w:sz w:val="18"/>
          <w:szCs w:val="18"/>
        </w:rPr>
        <w:t>Doy fe.</w:t>
      </w:r>
    </w:p>
    <w:p w14:paraId="4D23E2F9" w14:textId="77777777" w:rsidR="000D1E58" w:rsidRPr="00DF74B0" w:rsidRDefault="00000000">
      <w:pPr>
        <w:jc w:val="both"/>
        <w:rPr>
          <w:rFonts w:ascii="Arial" w:hAnsi="Arial" w:cs="Arial"/>
          <w:b/>
          <w:sz w:val="18"/>
          <w:szCs w:val="18"/>
          <w:lang w:val="es-ES_tradnl" w:eastAsia="es-MX"/>
        </w:rPr>
      </w:pPr>
      <w:r w:rsidRPr="00DF74B0">
        <w:rPr>
          <w:rFonts w:ascii="Arial" w:eastAsia="Arial" w:hAnsi="Arial" w:cs="Arial"/>
          <w:b/>
          <w:color w:val="000000"/>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0D1E58" w:rsidRPr="00DF74B0">
      <w:headerReference w:type="default" r:id="rId14"/>
      <w:footerReference w:type="default" r:id="rId15"/>
      <w:headerReference w:type="first" r:id="rId16"/>
      <w:footerReference w:type="first" r:id="rId17"/>
      <w:pgSz w:w="12240" w:h="18720" w:code="14"/>
      <w:pgMar w:top="2127" w:right="1418" w:bottom="2268" w:left="2268" w:header="1134"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4877C0" w14:textId="77777777" w:rsidR="00AF5BDD" w:rsidRDefault="00AF5BDD">
      <w:pPr>
        <w:spacing w:after="0" w:line="240" w:lineRule="auto"/>
      </w:pPr>
      <w:r>
        <w:separator/>
      </w:r>
    </w:p>
  </w:endnote>
  <w:endnote w:type="continuationSeparator" w:id="0">
    <w:p w14:paraId="68BBEC15" w14:textId="77777777" w:rsidR="00AF5BDD" w:rsidRDefault="00AF5B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egacy Serif ITC Std Book">
    <w:altName w:val="Cambria"/>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A3457" w14:textId="77777777" w:rsidR="000D1E58" w:rsidRDefault="00000000">
    <w:pPr>
      <w:pStyle w:val="Piedepgina"/>
      <w:tabs>
        <w:tab w:val="clear" w:pos="8838"/>
      </w:tabs>
      <w:spacing w:after="0" w:line="360" w:lineRule="auto"/>
      <w:rPr>
        <w:rFonts w:ascii="Arial" w:hAnsi="Arial" w:cs="Arial"/>
        <w:sz w:val="28"/>
        <w:szCs w:val="28"/>
      </w:rPr>
    </w:pPr>
    <w:r>
      <w:rPr>
        <w:rFonts w:ascii="Arial" w:hAnsi="Arial" w:cs="Arial"/>
        <w:sz w:val="28"/>
        <w:szCs w:val="28"/>
      </w:rPr>
      <w:tab/>
    </w:r>
    <w:r>
      <w:rPr>
        <w:rFonts w:ascii="Arial" w:hAnsi="Arial" w:cs="Arial"/>
        <w:sz w:val="28"/>
        <w:szCs w:val="28"/>
      </w:rPr>
      <w:tab/>
    </w:r>
  </w:p>
  <w:p w14:paraId="0FE69C10" w14:textId="77777777" w:rsidR="000D1E58" w:rsidRDefault="00000000">
    <w:pPr>
      <w:pStyle w:val="Piedepgina"/>
      <w:spacing w:after="0" w:line="360" w:lineRule="auto"/>
      <w:jc w:val="center"/>
      <w:rPr>
        <w:rFonts w:ascii="Arial" w:hAnsi="Arial" w:cs="Arial"/>
        <w:sz w:val="24"/>
        <w:szCs w:val="24"/>
      </w:rPr>
    </w:pPr>
    <w:r>
      <w:rPr>
        <w:rFonts w:ascii="Arial" w:hAnsi="Arial" w:cs="Arial"/>
        <w:sz w:val="24"/>
        <w:szCs w:val="24"/>
      </w:rPr>
      <w:fldChar w:fldCharType="begin"/>
    </w:r>
    <w:r>
      <w:rPr>
        <w:rFonts w:ascii="Arial" w:hAnsi="Arial" w:cs="Arial"/>
        <w:sz w:val="24"/>
        <w:szCs w:val="24"/>
      </w:rPr>
      <w:instrText xml:space="preserve"> PAGE   \* MERGEFORMAT </w:instrText>
    </w:r>
    <w:r>
      <w:rPr>
        <w:rFonts w:ascii="Arial" w:hAnsi="Arial" w:cs="Arial"/>
        <w:sz w:val="24"/>
        <w:szCs w:val="24"/>
      </w:rPr>
      <w:fldChar w:fldCharType="separate"/>
    </w:r>
    <w:r>
      <w:rPr>
        <w:rFonts w:ascii="Arial" w:hAnsi="Arial" w:cs="Arial"/>
        <w:noProof/>
        <w:sz w:val="24"/>
        <w:szCs w:val="24"/>
      </w:rPr>
      <w:t>19</w:t>
    </w:r>
    <w:r>
      <w:rPr>
        <w:rFonts w:ascii="Arial" w:hAnsi="Arial" w:cs="Arial"/>
        <w:sz w:val="24"/>
        <w:szCs w:val="24"/>
      </w:rPr>
      <w:fldChar w:fldCharType="end"/>
    </w:r>
  </w:p>
  <w:p w14:paraId="1CFDDCF8" w14:textId="77777777" w:rsidR="000D1E58" w:rsidRDefault="000D1E58">
    <w:pPr>
      <w:pStyle w:val="Piedepgina"/>
      <w:spacing w:after="0" w:line="360" w:lineRule="auto"/>
      <w:jc w:val="center"/>
      <w:rPr>
        <w:rFonts w:ascii="Arial" w:hAnsi="Arial" w:cs="Arial"/>
        <w:sz w:val="28"/>
        <w:szCs w:val="28"/>
      </w:rPr>
    </w:pPr>
  </w:p>
  <w:p w14:paraId="5212D0B0" w14:textId="77777777" w:rsidR="000D1E58" w:rsidRDefault="000D1E58">
    <w:pPr>
      <w:pStyle w:val="Piedepgina"/>
      <w:spacing w:after="0" w:line="360" w:lineRule="auto"/>
      <w:rPr>
        <w:rFonts w:ascii="Arial" w:hAnsi="Arial" w:cs="Arial"/>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488F2" w14:textId="77777777" w:rsidR="000D1E58" w:rsidRDefault="00000000">
    <w:pPr>
      <w:pStyle w:val="Piedepgina"/>
      <w:tabs>
        <w:tab w:val="clear" w:pos="4419"/>
        <w:tab w:val="clear" w:pos="8838"/>
        <w:tab w:val="left" w:pos="1640"/>
      </w:tabs>
    </w:pPr>
    <w:r>
      <w:tab/>
    </w:r>
  </w:p>
  <w:p w14:paraId="15F69D49" w14:textId="77777777" w:rsidR="000D1E58" w:rsidRDefault="000D1E58">
    <w:pPr>
      <w:pStyle w:val="Piedepgina"/>
    </w:pPr>
  </w:p>
  <w:p w14:paraId="30FCA62E" w14:textId="77777777" w:rsidR="000D1E58" w:rsidRDefault="000D1E5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7373DC" w14:textId="77777777" w:rsidR="00AF5BDD" w:rsidRDefault="00AF5BDD">
      <w:pPr>
        <w:spacing w:after="0" w:line="240" w:lineRule="auto"/>
      </w:pPr>
      <w:r>
        <w:separator/>
      </w:r>
    </w:p>
  </w:footnote>
  <w:footnote w:type="continuationSeparator" w:id="0">
    <w:p w14:paraId="0BD69AC2" w14:textId="77777777" w:rsidR="00AF5BDD" w:rsidRDefault="00AF5BDD">
      <w:pPr>
        <w:spacing w:after="0" w:line="240" w:lineRule="auto"/>
      </w:pPr>
      <w:r>
        <w:continuationSeparator/>
      </w:r>
    </w:p>
  </w:footnote>
  <w:footnote w:id="1">
    <w:p w14:paraId="7FFD7730" w14:textId="77777777" w:rsidR="000D1E58" w:rsidRDefault="00000000">
      <w:pPr>
        <w:pStyle w:val="Textonotapie"/>
        <w:jc w:val="both"/>
        <w:rPr>
          <w:rFonts w:ascii="Arial Narrow" w:hAnsi="Arial Narrow"/>
        </w:rPr>
      </w:pPr>
      <w:r>
        <w:rPr>
          <w:rStyle w:val="Refdenotaalpie"/>
          <w:rFonts w:ascii="Arial Narrow" w:hAnsi="Arial Narrow"/>
        </w:rPr>
        <w:footnoteRef/>
      </w:r>
      <w:r>
        <w:rPr>
          <w:rFonts w:ascii="Arial Narrow" w:hAnsi="Arial Narrow"/>
        </w:rPr>
        <w:t xml:space="preserve"> En lo sucesivo, </w:t>
      </w:r>
      <w:proofErr w:type="gramStart"/>
      <w:r>
        <w:rPr>
          <w:rFonts w:ascii="Arial Narrow" w:hAnsi="Arial Narrow"/>
        </w:rPr>
        <w:t>todas la fechas</w:t>
      </w:r>
      <w:proofErr w:type="gramEnd"/>
      <w:r>
        <w:rPr>
          <w:rFonts w:ascii="Arial Narrow" w:hAnsi="Arial Narrow"/>
        </w:rPr>
        <w:t xml:space="preserve"> corresponderán al dos mil veinticinco, salvo señalamiento expreso.</w:t>
      </w:r>
    </w:p>
  </w:footnote>
  <w:footnote w:id="2">
    <w:p w14:paraId="39D27316" w14:textId="77777777" w:rsidR="000D1E58" w:rsidRDefault="00000000">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Se desprenden de la demanda y del expediente. </w:t>
      </w:r>
    </w:p>
  </w:footnote>
  <w:footnote w:id="3">
    <w:p w14:paraId="5995D634" w14:textId="77777777" w:rsidR="000D1E58" w:rsidRDefault="00000000">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De conformidad con lo establecido en el artículo 22 de la </w:t>
      </w:r>
      <w:r>
        <w:rPr>
          <w:rFonts w:ascii="Arial Narrow" w:hAnsi="Arial Narrow" w:cs="Arial"/>
          <w:i/>
          <w:iCs/>
        </w:rPr>
        <w:t>Ley Orgánica Municipal</w:t>
      </w:r>
      <w:r>
        <w:rPr>
          <w:rFonts w:ascii="Arial Narrow" w:hAnsi="Arial Narrow" w:cs="Arial"/>
        </w:rPr>
        <w:t xml:space="preserve">. </w:t>
      </w:r>
    </w:p>
  </w:footnote>
  <w:footnote w:id="4">
    <w:p w14:paraId="6447601B" w14:textId="77777777" w:rsidR="000D1E58" w:rsidRDefault="00000000">
      <w:pPr>
        <w:pStyle w:val="Textonotapie"/>
        <w:rPr>
          <w:rFonts w:ascii="Arial Narrow" w:hAnsi="Arial Narrow" w:cs="Arial"/>
          <w:lang w:val="es-ES"/>
        </w:rPr>
      </w:pPr>
      <w:r>
        <w:rPr>
          <w:rStyle w:val="Refdenotaalpie"/>
          <w:rFonts w:ascii="Arial Narrow" w:hAnsi="Arial Narrow"/>
        </w:rPr>
        <w:footnoteRef/>
      </w:r>
      <w:r>
        <w:rPr>
          <w:rFonts w:ascii="Arial Narrow" w:hAnsi="Arial Narrow"/>
        </w:rPr>
        <w:t xml:space="preserve"> </w:t>
      </w:r>
      <w:r>
        <w:rPr>
          <w:rFonts w:ascii="Arial Narrow" w:hAnsi="Arial Narrow" w:cs="Arial"/>
          <w:lang w:val="es-ES"/>
        </w:rPr>
        <w:t>Fojas 032 y 033.</w:t>
      </w:r>
    </w:p>
  </w:footnote>
  <w:footnote w:id="5">
    <w:p w14:paraId="213ED622" w14:textId="77777777" w:rsidR="000D1E58" w:rsidRDefault="00000000">
      <w:pPr>
        <w:pStyle w:val="Textonotapie"/>
        <w:rPr>
          <w:rFonts w:ascii="Arial Narrow" w:hAnsi="Arial Narrow" w:cs="Arial"/>
        </w:rPr>
      </w:pPr>
      <w:r>
        <w:rPr>
          <w:rStyle w:val="Refdenotaalpie"/>
        </w:rPr>
        <w:footnoteRef/>
      </w:r>
      <w:r>
        <w:t xml:space="preserve"> </w:t>
      </w:r>
      <w:r>
        <w:rPr>
          <w:rFonts w:ascii="Arial Narrow" w:hAnsi="Arial Narrow" w:cs="Arial"/>
        </w:rPr>
        <w:t>Foja 73.</w:t>
      </w:r>
    </w:p>
  </w:footnote>
  <w:footnote w:id="6">
    <w:p w14:paraId="02A9A687" w14:textId="77777777" w:rsidR="000D1E58" w:rsidRPr="0087063E" w:rsidRDefault="00000000">
      <w:pPr>
        <w:pStyle w:val="Textonotapie"/>
        <w:rPr>
          <w:rFonts w:ascii="Arial Narrow" w:hAnsi="Arial Narrow" w:cs="Arial"/>
        </w:rPr>
      </w:pPr>
      <w:r w:rsidRPr="0087063E">
        <w:rPr>
          <w:rStyle w:val="Refdenotaalpie"/>
          <w:rFonts w:ascii="Arial Narrow" w:hAnsi="Arial Narrow"/>
        </w:rPr>
        <w:footnoteRef/>
      </w:r>
      <w:r w:rsidRPr="0087063E">
        <w:rPr>
          <w:rFonts w:ascii="Arial Narrow" w:hAnsi="Arial Narrow"/>
        </w:rPr>
        <w:t xml:space="preserve"> </w:t>
      </w:r>
      <w:r w:rsidRPr="0087063E">
        <w:rPr>
          <w:rFonts w:ascii="Arial Narrow" w:hAnsi="Arial Narrow" w:cs="Arial"/>
        </w:rPr>
        <w:t>Visible a fojas 034 a 036.</w:t>
      </w:r>
    </w:p>
  </w:footnote>
  <w:footnote w:id="7">
    <w:p w14:paraId="3F90389E" w14:textId="510BB236" w:rsidR="00FD6F3F" w:rsidRPr="0087063E" w:rsidRDefault="00FD6F3F">
      <w:pPr>
        <w:pStyle w:val="Textonotapie"/>
        <w:rPr>
          <w:rFonts w:ascii="Arial Narrow" w:hAnsi="Arial Narrow" w:cs="Arial"/>
        </w:rPr>
      </w:pPr>
      <w:r w:rsidRPr="0087063E">
        <w:rPr>
          <w:rStyle w:val="Refdenotaalpie"/>
        </w:rPr>
        <w:footnoteRef/>
      </w:r>
      <w:r w:rsidRPr="0087063E">
        <w:t xml:space="preserve"> </w:t>
      </w:r>
      <w:r w:rsidRPr="0087063E">
        <w:rPr>
          <w:rFonts w:ascii="Arial Narrow" w:hAnsi="Arial Narrow" w:cs="Arial"/>
        </w:rPr>
        <w:t>Foja 75</w:t>
      </w:r>
    </w:p>
  </w:footnote>
  <w:footnote w:id="8">
    <w:p w14:paraId="41664A28" w14:textId="51C47AB8" w:rsidR="000D1E58" w:rsidRDefault="00000000">
      <w:pPr>
        <w:pStyle w:val="Textonotapie"/>
        <w:rPr>
          <w:rFonts w:ascii="Arial Narrow" w:hAnsi="Arial Narrow" w:cs="Arial"/>
        </w:rPr>
      </w:pPr>
      <w:r w:rsidRPr="0087063E">
        <w:rPr>
          <w:rStyle w:val="Refdenotaalpie"/>
          <w:rFonts w:ascii="Arial Narrow" w:hAnsi="Arial Narrow"/>
        </w:rPr>
        <w:footnoteRef/>
      </w:r>
      <w:r w:rsidRPr="0087063E">
        <w:rPr>
          <w:rFonts w:ascii="Arial Narrow" w:hAnsi="Arial Narrow"/>
        </w:rPr>
        <w:t xml:space="preserve"> </w:t>
      </w:r>
      <w:r w:rsidRPr="0087063E">
        <w:rPr>
          <w:rFonts w:ascii="Arial Narrow" w:hAnsi="Arial Narrow" w:cs="Arial"/>
        </w:rPr>
        <w:t xml:space="preserve">Foja </w:t>
      </w:r>
      <w:r w:rsidR="00FD6F3F" w:rsidRPr="0087063E">
        <w:rPr>
          <w:rFonts w:ascii="Arial Narrow" w:hAnsi="Arial Narrow" w:cs="Arial"/>
        </w:rPr>
        <w:t>76</w:t>
      </w:r>
      <w:r w:rsidRPr="0087063E">
        <w:rPr>
          <w:rFonts w:ascii="Arial Narrow" w:hAnsi="Arial Narrow" w:cs="Arial"/>
        </w:rPr>
        <w:t>.</w:t>
      </w:r>
    </w:p>
  </w:footnote>
  <w:footnote w:id="9">
    <w:p w14:paraId="0C37B475" w14:textId="77777777" w:rsidR="000D1E58" w:rsidRDefault="00000000">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Fojas 02 a la 29. </w:t>
      </w:r>
    </w:p>
  </w:footnote>
  <w:footnote w:id="10">
    <w:p w14:paraId="5012A167" w14:textId="77777777" w:rsidR="000D1E58" w:rsidRDefault="00000000">
      <w:pPr>
        <w:pStyle w:val="Textonotapie"/>
        <w:jc w:val="both"/>
        <w:rPr>
          <w:rFonts w:ascii="Arial Narrow" w:hAnsi="Arial Narrow" w:cs="Arial"/>
          <w:highlight w:val="green"/>
          <w:lang w:val="es-ES"/>
        </w:rPr>
      </w:pPr>
      <w:r>
        <w:rPr>
          <w:rStyle w:val="Refdenotaalpie"/>
          <w:rFonts w:ascii="Arial Narrow" w:hAnsi="Arial Narrow" w:cs="Arial"/>
        </w:rPr>
        <w:footnoteRef/>
      </w:r>
      <w:r>
        <w:rPr>
          <w:rFonts w:ascii="Arial Narrow" w:hAnsi="Arial Narrow" w:cs="Arial"/>
        </w:rPr>
        <w:t xml:space="preserve"> </w:t>
      </w:r>
      <w:r>
        <w:rPr>
          <w:rFonts w:ascii="Arial Narrow" w:hAnsi="Arial Narrow" w:cs="Arial"/>
          <w:lang w:val="es-ES"/>
        </w:rPr>
        <w:t>Foja 038.</w:t>
      </w:r>
    </w:p>
  </w:footnote>
  <w:footnote w:id="11">
    <w:p w14:paraId="75C6CF65" w14:textId="77777777" w:rsidR="000D1E58" w:rsidRDefault="00000000">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Fojas 040 a 042. </w:t>
      </w:r>
    </w:p>
  </w:footnote>
  <w:footnote w:id="12">
    <w:p w14:paraId="670F53DE" w14:textId="77777777" w:rsidR="000D1E58" w:rsidRDefault="00000000">
      <w:pPr>
        <w:pStyle w:val="Textonotapie"/>
        <w:jc w:val="both"/>
        <w:rPr>
          <w:rFonts w:ascii="Arial Narrow" w:hAnsi="Arial Narrow" w:cs="Arial"/>
          <w:lang w:val="es-ES"/>
        </w:rPr>
      </w:pPr>
      <w:r>
        <w:rPr>
          <w:rStyle w:val="Refdenotaalpie"/>
          <w:rFonts w:ascii="Arial Narrow" w:hAnsi="Arial Narrow" w:cs="Arial"/>
        </w:rPr>
        <w:footnoteRef/>
      </w:r>
      <w:r>
        <w:rPr>
          <w:rFonts w:ascii="Arial Narrow" w:hAnsi="Arial Narrow" w:cs="Arial"/>
        </w:rPr>
        <w:t xml:space="preserve"> Fojas 50 y 51; con fundamento en el artículo 28 de la </w:t>
      </w:r>
      <w:r>
        <w:rPr>
          <w:rFonts w:ascii="Arial Narrow" w:hAnsi="Arial Narrow" w:cs="Arial"/>
          <w:i/>
          <w:iCs/>
        </w:rPr>
        <w:t xml:space="preserve">Ley de Justicia Electoral. </w:t>
      </w:r>
    </w:p>
  </w:footnote>
  <w:footnote w:id="13">
    <w:p w14:paraId="5211675B" w14:textId="77777777" w:rsidR="000D1E58" w:rsidRDefault="00000000">
      <w:pPr>
        <w:pStyle w:val="Textonotapie"/>
        <w:jc w:val="both"/>
        <w:rPr>
          <w:rFonts w:ascii="Arial Narrow" w:hAnsi="Arial Narrow" w:cs="Arial"/>
          <w:lang w:val="es-ES"/>
        </w:rPr>
      </w:pPr>
      <w:r>
        <w:rPr>
          <w:rStyle w:val="Refdenotaalpie"/>
          <w:rFonts w:ascii="Arial Narrow" w:hAnsi="Arial Narrow" w:cs="Arial"/>
        </w:rPr>
        <w:footnoteRef/>
      </w:r>
      <w:r>
        <w:rPr>
          <w:rFonts w:ascii="Arial Narrow" w:hAnsi="Arial Narrow" w:cs="Arial"/>
        </w:rPr>
        <w:t xml:space="preserve"> </w:t>
      </w:r>
      <w:r>
        <w:rPr>
          <w:rFonts w:ascii="Arial Narrow" w:hAnsi="Arial Narrow" w:cs="Arial"/>
          <w:lang w:val="es-ES"/>
        </w:rPr>
        <w:t>Fojas 89 y 90.</w:t>
      </w:r>
    </w:p>
  </w:footnote>
  <w:footnote w:id="14">
    <w:p w14:paraId="00B6E3A2" w14:textId="77777777" w:rsidR="000D1E58" w:rsidRDefault="00000000">
      <w:pPr>
        <w:pStyle w:val="Textonotapie"/>
        <w:rPr>
          <w:lang w:val="es-ES"/>
        </w:rPr>
      </w:pPr>
      <w:r>
        <w:rPr>
          <w:rStyle w:val="Refdenotaalpie"/>
        </w:rPr>
        <w:footnoteRef/>
      </w:r>
      <w:r>
        <w:t xml:space="preserve"> </w:t>
      </w:r>
      <w:r>
        <w:rPr>
          <w:rFonts w:ascii="Arial Narrow" w:hAnsi="Arial Narrow" w:cs="Arial"/>
          <w:lang w:val="es-ES"/>
        </w:rPr>
        <w:t>Foja 112.</w:t>
      </w:r>
    </w:p>
  </w:footnote>
  <w:footnote w:id="15">
    <w:p w14:paraId="03475B9A" w14:textId="77777777" w:rsidR="000D1E58" w:rsidRDefault="00000000">
      <w:pPr>
        <w:pStyle w:val="Textonotapie"/>
        <w:jc w:val="both"/>
        <w:rPr>
          <w:rFonts w:ascii="Arial Narrow" w:hAnsi="Arial Narrow" w:cs="Arial"/>
          <w:highlight w:val="yellow"/>
          <w:lang w:val="es-ES"/>
        </w:rPr>
      </w:pPr>
      <w:r>
        <w:rPr>
          <w:rStyle w:val="Refdenotaalpie"/>
          <w:rFonts w:ascii="Arial Narrow" w:hAnsi="Arial Narrow" w:cs="Arial"/>
        </w:rPr>
        <w:footnoteRef/>
      </w:r>
      <w:r>
        <w:rPr>
          <w:rFonts w:ascii="Arial Narrow" w:hAnsi="Arial Narrow" w:cs="Arial"/>
        </w:rPr>
        <w:t xml:space="preserve"> Foja 120.</w:t>
      </w:r>
    </w:p>
  </w:footnote>
  <w:footnote w:id="16">
    <w:p w14:paraId="6391DAB1" w14:textId="11ED17FA" w:rsidR="000D1E58" w:rsidRPr="00B43304" w:rsidRDefault="00000000">
      <w:pPr>
        <w:pStyle w:val="Textonotapie"/>
        <w:jc w:val="both"/>
        <w:rPr>
          <w:rFonts w:ascii="Arial Narrow" w:hAnsi="Arial Narrow" w:cs="Arial"/>
        </w:rPr>
      </w:pPr>
      <w:r w:rsidRPr="00B43304">
        <w:rPr>
          <w:rStyle w:val="Refdenotaalpie"/>
          <w:rFonts w:ascii="Arial Narrow" w:hAnsi="Arial Narrow" w:cs="Arial"/>
        </w:rPr>
        <w:footnoteRef/>
      </w:r>
      <w:r w:rsidRPr="00B43304">
        <w:rPr>
          <w:rFonts w:ascii="Arial Narrow" w:hAnsi="Arial Narrow" w:cs="Arial"/>
        </w:rPr>
        <w:t xml:space="preserve"> Foja </w:t>
      </w:r>
      <w:r w:rsidR="00B43304" w:rsidRPr="00B43304">
        <w:rPr>
          <w:rFonts w:ascii="Arial Narrow" w:hAnsi="Arial Narrow" w:cs="Arial"/>
        </w:rPr>
        <w:t>136</w:t>
      </w:r>
      <w:r w:rsidR="00B43304">
        <w:rPr>
          <w:rFonts w:ascii="Arial Narrow" w:hAnsi="Arial Narrow" w:cs="Arial"/>
        </w:rPr>
        <w:t>.</w:t>
      </w:r>
    </w:p>
  </w:footnote>
  <w:footnote w:id="17">
    <w:p w14:paraId="6D7FA308" w14:textId="77777777" w:rsidR="000D1E58" w:rsidRDefault="00000000">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Teniendo como criterio orientador lo establecido en la jurisprudencia 2a./J. 104/2010, de rubro: “</w:t>
      </w:r>
      <w:r>
        <w:rPr>
          <w:rFonts w:ascii="Arial Narrow" w:hAnsi="Arial Narrow" w:cs="Arial"/>
          <w:i/>
          <w:iCs/>
        </w:rPr>
        <w:t xml:space="preserve">SENTENCIA DE AMPARO INDIRECTO. EL CAMBIO DE TITULAR DEL ÓRGANO QUE LA DICTARÁ DEBE NOTIFICARSE A LAS PARTES, PUES DE LO CONTRARIO SE ACTUALIZA UNA VIOLACIÓN PROCESAL QUE AMERITA REPONER EL PROCEDIMIENTO, SIEMPRE QUE SE HAGA VALER EN LOS AGRAVIOS DEL RECURSO DE REVISIÓN EL ARGUMENTO REFERENTE AL IMPEDIMENTO DEL JUEZ A QUO PARA CONOCER DEL ASUNTO”, </w:t>
      </w:r>
      <w:r>
        <w:rPr>
          <w:rFonts w:ascii="Arial Narrow" w:hAnsi="Arial Narrow" w:cs="Arial"/>
        </w:rPr>
        <w:t xml:space="preserve">consultable en </w:t>
      </w:r>
      <w:r>
        <w:rPr>
          <w:rFonts w:ascii="Arial Narrow" w:hAnsi="Arial Narrow" w:cs="Arial"/>
          <w:i/>
          <w:iCs/>
        </w:rPr>
        <w:t>https</w:t>
      </w:r>
      <w:r>
        <w:rPr>
          <w:rFonts w:ascii="Arial Narrow" w:hAnsi="Arial Narrow" w:cs="Arial"/>
        </w:rPr>
        <w:t>://sjf2.scjn.gob.mx/detalle/tesis/164217.</w:t>
      </w:r>
    </w:p>
  </w:footnote>
  <w:footnote w:id="18">
    <w:p w14:paraId="549E5C9F" w14:textId="77777777" w:rsidR="000D1E58" w:rsidRDefault="00000000">
      <w:pPr>
        <w:pStyle w:val="Textonotapie"/>
        <w:jc w:val="both"/>
        <w:rPr>
          <w:rFonts w:ascii="Arial Narrow" w:hAnsi="Arial Narrow" w:cs="Arial"/>
        </w:rPr>
      </w:pPr>
      <w:r>
        <w:rPr>
          <w:rStyle w:val="Refdenotaalpie"/>
          <w:rFonts w:ascii="Arial" w:hAnsi="Arial" w:cs="Arial"/>
        </w:rPr>
        <w:footnoteRef/>
      </w:r>
      <w:r>
        <w:rPr>
          <w:rFonts w:ascii="Arial" w:hAnsi="Arial" w:cs="Arial"/>
        </w:rPr>
        <w:t xml:space="preserve"> </w:t>
      </w:r>
      <w:r>
        <w:rPr>
          <w:rFonts w:ascii="Arial Narrow" w:eastAsia="Times New Roman" w:hAnsi="Arial Narrow" w:cs="Arial"/>
          <w:color w:val="000000"/>
          <w:lang w:eastAsia="es-MX"/>
        </w:rPr>
        <w:t xml:space="preserve">Con base en </w:t>
      </w:r>
      <w:r>
        <w:rPr>
          <w:rFonts w:ascii="Arial Narrow" w:eastAsia="Times New Roman" w:hAnsi="Arial Narrow" w:cs="Arial"/>
          <w:lang w:val="es-ES" w:eastAsia="es-MX"/>
        </w:rPr>
        <w:t xml:space="preserve">el contenido de la jurisprudencia 4/99, emitida por la </w:t>
      </w:r>
      <w:r>
        <w:rPr>
          <w:rFonts w:ascii="Arial Narrow" w:hAnsi="Arial Narrow" w:cs="Arial"/>
          <w:i/>
        </w:rPr>
        <w:t>Sala Superior</w:t>
      </w:r>
      <w:r>
        <w:rPr>
          <w:rFonts w:ascii="Arial Narrow" w:hAnsi="Arial Narrow" w:cs="Arial"/>
        </w:rPr>
        <w:t xml:space="preserve">, de rubro: </w:t>
      </w:r>
      <w:r>
        <w:rPr>
          <w:rFonts w:ascii="Arial Narrow" w:hAnsi="Arial Narrow" w:cs="Arial"/>
          <w:i/>
        </w:rPr>
        <w:t xml:space="preserve">“MEDIOS DE IMPUGNACIÓN EN MATERIA ELECTORAL. EL RESOLUTOR DEBE INTERPRETAR EL OCURSO QUE LOS CONTENGA PARA DETERMINAR LA VERDADERA INTENCIÓN DEL ACTOR”, </w:t>
      </w:r>
      <w:r>
        <w:rPr>
          <w:rFonts w:ascii="Arial Narrow" w:hAnsi="Arial Narrow" w:cs="Arial"/>
          <w:lang w:eastAsia="es-MX"/>
        </w:rPr>
        <w:t>Localizable en</w:t>
      </w:r>
      <w:r>
        <w:rPr>
          <w:rFonts w:ascii="Arial Narrow" w:hAnsi="Arial Narrow" w:cs="Arial"/>
        </w:rPr>
        <w:t xml:space="preserve"> la </w:t>
      </w:r>
      <w:r>
        <w:rPr>
          <w:rFonts w:ascii="Arial Narrow" w:hAnsi="Arial Narrow" w:cs="Arial"/>
          <w:color w:val="000000"/>
          <w:lang w:eastAsia="es-MX"/>
        </w:rPr>
        <w:t>página 17, Suplemento 3, Año 2000, de la Revista del Tribunal Electoral del Poder Judicial de la Federación</w:t>
      </w:r>
      <w:r>
        <w:rPr>
          <w:rStyle w:val="Refdenotaalpie"/>
          <w:rFonts w:ascii="Arial Narrow" w:hAnsi="Arial Narrow" w:cs="Arial"/>
          <w:color w:val="000000"/>
          <w:lang w:eastAsia="es-MX"/>
        </w:rPr>
        <w:footnoteRef/>
      </w:r>
      <w:r>
        <w:rPr>
          <w:rFonts w:ascii="Arial Narrow" w:hAnsi="Arial Narrow" w:cs="Arial"/>
          <w:color w:val="000000"/>
          <w:lang w:eastAsia="es-MX"/>
        </w:rPr>
        <w:t>, Tercera Época.</w:t>
      </w:r>
    </w:p>
  </w:footnote>
  <w:footnote w:id="19">
    <w:p w14:paraId="5A541D32" w14:textId="77777777" w:rsidR="000D1E58" w:rsidRDefault="00000000">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Jurisprudencia 814, consultable en la página 553, Tomo VI, Materia Común, del Apéndice al Semanario Judicial de la Federación, 1917-1995, de rubro: </w:t>
      </w:r>
      <w:r>
        <w:rPr>
          <w:rFonts w:ascii="Arial Narrow" w:hAnsi="Arial Narrow" w:cs="Arial"/>
          <w:i/>
          <w:iCs/>
        </w:rPr>
        <w:t>IMPROCEDENCIA, CAUSALES DE. EN EL JUICIO DE AMPARO</w:t>
      </w:r>
      <w:r>
        <w:rPr>
          <w:rFonts w:ascii="Arial Narrow" w:hAnsi="Arial Narrow" w:cs="Arial"/>
        </w:rPr>
        <w:t>. (IDENTIFICAR DE QUÉ TRIBUNAL ES LA JURISPRUDENCIA).</w:t>
      </w:r>
    </w:p>
  </w:footnote>
  <w:footnote w:id="20">
    <w:p w14:paraId="67F0F468" w14:textId="503BB925" w:rsidR="000D1E58" w:rsidRPr="00DF1E4E" w:rsidRDefault="00000000">
      <w:pPr>
        <w:spacing w:after="0" w:line="240" w:lineRule="auto"/>
        <w:jc w:val="both"/>
        <w:rPr>
          <w:rFonts w:ascii="Arial Narrow" w:eastAsia="Arial" w:hAnsi="Arial Narrow" w:cs="Arial"/>
          <w:i/>
          <w:iCs/>
          <w:sz w:val="20"/>
          <w:szCs w:val="20"/>
        </w:rPr>
      </w:pPr>
      <w:r>
        <w:rPr>
          <w:vertAlign w:val="superscript"/>
        </w:rPr>
        <w:footnoteRef/>
      </w:r>
      <w:r>
        <w:rPr>
          <w:rFonts w:ascii="Arial" w:eastAsia="Arial" w:hAnsi="Arial" w:cs="Arial"/>
          <w:sz w:val="20"/>
          <w:szCs w:val="20"/>
          <w:highlight w:val="white"/>
        </w:rPr>
        <w:t xml:space="preserve"> </w:t>
      </w:r>
      <w:proofErr w:type="gramStart"/>
      <w:r w:rsidRPr="00DF1E4E">
        <w:rPr>
          <w:rFonts w:ascii="Arial Narrow" w:eastAsia="Arial" w:hAnsi="Arial Narrow" w:cs="Arial"/>
          <w:sz w:val="20"/>
          <w:szCs w:val="20"/>
        </w:rPr>
        <w:t>Resultando orientadora</w:t>
      </w:r>
      <w:proofErr w:type="gramEnd"/>
      <w:r w:rsidRPr="00DF1E4E">
        <w:rPr>
          <w:rFonts w:ascii="Arial Narrow" w:eastAsia="Arial" w:hAnsi="Arial Narrow" w:cs="Arial"/>
          <w:sz w:val="20"/>
          <w:szCs w:val="20"/>
        </w:rPr>
        <w:t xml:space="preserve"> la jurisprudencia de la Sala Superior del Tribunal Electoral del Poder Judicial de la Federación 1/2009 de rubro: </w:t>
      </w:r>
      <w:r w:rsidRPr="00DF1E4E">
        <w:rPr>
          <w:rFonts w:ascii="Arial Narrow" w:eastAsia="Arial" w:hAnsi="Arial Narrow" w:cs="Arial"/>
          <w:i/>
          <w:iCs/>
          <w:sz w:val="20"/>
          <w:szCs w:val="20"/>
        </w:rPr>
        <w:t>“</w:t>
      </w:r>
      <w:r w:rsidRPr="00DF1E4E">
        <w:rPr>
          <w:rFonts w:ascii="Arial Narrow" w:eastAsia="Arial" w:hAnsi="Arial Narrow" w:cs="Arial"/>
          <w:sz w:val="20"/>
          <w:szCs w:val="20"/>
        </w:rPr>
        <w:t>PLAZO PARA IMPUGNAR ACTOS EMITIDOS DURANTE EL DESARROLLO DE UN PROCESO ELECTORAL, QUE NO ESTÉN VINCULADOS A ÉSTE. NO DEBEN COMPUTARSE TODOS LOS DÍAS Y HORAS COMO HÁBILES</w:t>
      </w:r>
      <w:r w:rsidR="001D4798" w:rsidRPr="00DF1E4E">
        <w:rPr>
          <w:rFonts w:ascii="Arial Narrow" w:eastAsia="Arial" w:hAnsi="Arial Narrow" w:cs="Arial"/>
          <w:sz w:val="20"/>
          <w:szCs w:val="20"/>
        </w:rPr>
        <w:t>.</w:t>
      </w:r>
    </w:p>
  </w:footnote>
  <w:footnote w:id="21">
    <w:p w14:paraId="3E0F1557" w14:textId="1938A522" w:rsidR="000D1E58" w:rsidRPr="001D4798" w:rsidRDefault="00000000">
      <w:pPr>
        <w:spacing w:after="0" w:line="240" w:lineRule="auto"/>
        <w:jc w:val="both"/>
        <w:rPr>
          <w:rFonts w:ascii="Arial Narrow" w:hAnsi="Arial Narrow" w:cs="Arial"/>
          <w:sz w:val="20"/>
          <w:szCs w:val="20"/>
        </w:rPr>
      </w:pPr>
      <w:r w:rsidRPr="00DF1E4E">
        <w:rPr>
          <w:rFonts w:ascii="Arial Narrow" w:hAnsi="Arial Narrow"/>
          <w:vertAlign w:val="superscript"/>
        </w:rPr>
        <w:footnoteRef/>
      </w:r>
      <w:r w:rsidRPr="00DF1E4E">
        <w:rPr>
          <w:rFonts w:ascii="Arial Narrow" w:eastAsia="Arial" w:hAnsi="Arial Narrow" w:cs="Arial"/>
          <w:sz w:val="20"/>
          <w:szCs w:val="20"/>
        </w:rPr>
        <w:t xml:space="preserve"> </w:t>
      </w:r>
      <w:r w:rsidR="00614C07" w:rsidRPr="00DF1E4E">
        <w:rPr>
          <w:rFonts w:ascii="Arial Narrow" w:eastAsia="Arial" w:hAnsi="Arial Narrow" w:cs="Arial"/>
          <w:sz w:val="20"/>
          <w:szCs w:val="20"/>
        </w:rPr>
        <w:t>P</w:t>
      </w:r>
      <w:r w:rsidRPr="00DF1E4E">
        <w:rPr>
          <w:rFonts w:ascii="Arial Narrow" w:eastAsia="Arial" w:hAnsi="Arial Narrow" w:cs="Arial"/>
          <w:sz w:val="20"/>
          <w:szCs w:val="20"/>
        </w:rPr>
        <w:t xml:space="preserve">or considerarse inhábil de conformidad con el </w:t>
      </w:r>
      <w:r w:rsidRPr="00DF1E4E">
        <w:rPr>
          <w:rFonts w:ascii="Arial Narrow" w:eastAsia="Arial" w:hAnsi="Arial Narrow" w:cs="Arial"/>
          <w:i/>
          <w:iCs/>
          <w:sz w:val="20"/>
          <w:szCs w:val="20"/>
        </w:rPr>
        <w:t xml:space="preserve">ACUERDO DEL PLENO DEL TRIBUNAL ELECTORAL DEL ESTADO DE MICHOACÁN, POR EL QUE SE ESTABLECE EL HORARIO DE LABORES Y DÍAS INHÁBILES DE ESTE ÓRGANO JURISDICCIONAL, PARA EL AÑO DOS MIL VEINTICINCO. </w:t>
      </w:r>
      <w:r w:rsidRPr="00DF1E4E">
        <w:rPr>
          <w:rFonts w:ascii="Arial Narrow" w:hAnsi="Arial Narrow" w:cs="Arial"/>
          <w:sz w:val="20"/>
          <w:szCs w:val="20"/>
        </w:rPr>
        <w:t xml:space="preserve">Visible en: </w:t>
      </w:r>
      <w:hyperlink r:id="rId1" w:history="1">
        <w:r w:rsidR="000D1E58" w:rsidRPr="00DF1E4E">
          <w:rPr>
            <w:rStyle w:val="Hipervnculo"/>
            <w:rFonts w:ascii="Arial Narrow" w:hAnsi="Arial Narrow" w:cs="Arial"/>
            <w:sz w:val="20"/>
            <w:szCs w:val="20"/>
          </w:rPr>
          <w:t>https://teemich.org.mx/wp-content/uploads/2025/01/TEEM-AP-03-2025</w:t>
        </w:r>
      </w:hyperlink>
      <w:r>
        <w:rPr>
          <w:rFonts w:ascii="Arial Narrow" w:hAnsi="Arial Narrow" w:cs="Arial"/>
          <w:sz w:val="20"/>
          <w:szCs w:val="20"/>
        </w:rPr>
        <w:t xml:space="preserve"> </w:t>
      </w:r>
    </w:p>
  </w:footnote>
  <w:footnote w:id="22">
    <w:p w14:paraId="63B28D22" w14:textId="2764A5A8" w:rsidR="000D1E58" w:rsidRDefault="000D1E58">
      <w:pPr>
        <w:pStyle w:val="Textonotapie"/>
        <w:jc w:val="both"/>
        <w:rPr>
          <w:rFonts w:ascii="Arial Narrow" w:hAnsi="Arial Narrow"/>
        </w:rPr>
      </w:pPr>
    </w:p>
  </w:footnote>
  <w:footnote w:id="23">
    <w:p w14:paraId="53DD4C15" w14:textId="77777777" w:rsidR="000D1E58" w:rsidRDefault="00000000">
      <w:pPr>
        <w:shd w:val="clear" w:color="auto" w:fill="FFFFFF" w:themeFill="background1"/>
        <w:spacing w:after="0" w:line="240" w:lineRule="auto"/>
        <w:jc w:val="both"/>
        <w:rPr>
          <w:rFonts w:ascii="Arial Narrow" w:hAnsi="Arial Narrow"/>
          <w:sz w:val="20"/>
          <w:szCs w:val="20"/>
        </w:rPr>
      </w:pPr>
      <w:r>
        <w:rPr>
          <w:rStyle w:val="Refdenotaalpie"/>
          <w:rFonts w:ascii="Arial Narrow" w:hAnsi="Arial Narrow"/>
          <w:sz w:val="20"/>
          <w:szCs w:val="20"/>
        </w:rPr>
        <w:footnoteRef/>
      </w:r>
      <w:r>
        <w:rPr>
          <w:rFonts w:ascii="Arial Narrow" w:hAnsi="Arial Narrow"/>
          <w:sz w:val="20"/>
          <w:szCs w:val="20"/>
        </w:rPr>
        <w:t xml:space="preserve"> </w:t>
      </w:r>
      <w:r>
        <w:rPr>
          <w:rFonts w:ascii="Arial Narrow" w:hAnsi="Arial Narrow" w:cs="Arial"/>
          <w:sz w:val="20"/>
          <w:szCs w:val="20"/>
        </w:rPr>
        <w:t>Sirven de apoyo las jurisprudencias del Pleno de la Suprema Corte de Justicia de la Nación P./J. 135/2001 y P./J. 36/2004, de rubros: </w:t>
      </w:r>
      <w:r>
        <w:rPr>
          <w:rFonts w:ascii="Arial Narrow" w:hAnsi="Arial Narrow" w:cs="Arial"/>
          <w:i/>
          <w:iCs/>
          <w:sz w:val="20"/>
          <w:szCs w:val="20"/>
        </w:rPr>
        <w:t>IMPROCEDENCIA DEL JUICIO DE AMPARO. SI SE HACE VALER UNA CAUSAL QUE INVOLUCRA EL ESTUDIO DE FONDO DEL ASUNTO, DEBERÁ DESESTIMARSE y ACCIÓN DE INCONSTITUCIONALIDAD. SI SE HACE VALER UNA CAUSAL DE IMPROCEDENCIA QUE INVOLUCRA EL ESTUDIO DE FONDO, DEBERÁ DESESTIMARSE.</w:t>
      </w:r>
    </w:p>
  </w:footnote>
  <w:footnote w:id="24">
    <w:p w14:paraId="6BBCAFB2" w14:textId="77777777" w:rsidR="000D1E58" w:rsidRDefault="00000000">
      <w:pPr>
        <w:pStyle w:val="Textonotapie"/>
        <w:jc w:val="both"/>
        <w:rPr>
          <w:rFonts w:ascii="Arial Narrow" w:hAnsi="Arial Narrow" w:cs="Arial"/>
          <w:lang w:val="es-ES"/>
        </w:rPr>
      </w:pPr>
      <w:r>
        <w:rPr>
          <w:rStyle w:val="Refdenotaalpie"/>
          <w:rFonts w:ascii="Arial Narrow" w:hAnsi="Arial Narrow" w:cs="Arial"/>
        </w:rPr>
        <w:footnoteRef/>
      </w:r>
      <w:r>
        <w:rPr>
          <w:rFonts w:ascii="Arial Narrow" w:hAnsi="Arial Narrow" w:cs="Arial"/>
        </w:rPr>
        <w:t xml:space="preserve"> Con fundamento en los artículos 9, 10, 15, fracción IV, 73, y 74, inciso c), de la </w:t>
      </w:r>
      <w:r>
        <w:rPr>
          <w:rFonts w:ascii="Arial Narrow" w:hAnsi="Arial Narrow" w:cs="Arial"/>
          <w:i/>
        </w:rPr>
        <w:t>Ley de Justicia Electoral.</w:t>
      </w:r>
    </w:p>
  </w:footnote>
  <w:footnote w:id="25">
    <w:p w14:paraId="40AD3959" w14:textId="3BF843C8" w:rsidR="000D1E58" w:rsidRPr="00121FBD" w:rsidRDefault="00000000">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De conformidad con la Jurisprudencia 15/2011 de rubro: </w:t>
      </w:r>
      <w:r>
        <w:rPr>
          <w:rFonts w:ascii="Arial Narrow" w:hAnsi="Arial Narrow" w:cs="Arial"/>
          <w:i/>
          <w:iCs/>
        </w:rPr>
        <w:t xml:space="preserve">PLAZO PARA PRESENTAR UN MEDIO DE IMPUGNACIÓN, TRATÁNDOSE DE OMISIONES, </w:t>
      </w:r>
      <w:r>
        <w:rPr>
          <w:rFonts w:ascii="Arial Narrow" w:hAnsi="Arial Narrow" w:cs="Arial"/>
        </w:rPr>
        <w:t xml:space="preserve">de </w:t>
      </w:r>
      <w:r w:rsidRPr="00121FBD">
        <w:rPr>
          <w:rFonts w:ascii="Arial Narrow" w:hAnsi="Arial Narrow" w:cs="Arial"/>
        </w:rPr>
        <w:t xml:space="preserve">la </w:t>
      </w:r>
      <w:r w:rsidRPr="00121FBD">
        <w:rPr>
          <w:rFonts w:ascii="Arial Narrow" w:hAnsi="Arial Narrow" w:cs="Arial"/>
          <w:i/>
          <w:iCs/>
        </w:rPr>
        <w:t>Sala Superior</w:t>
      </w:r>
      <w:r w:rsidRPr="00121FBD">
        <w:rPr>
          <w:rFonts w:ascii="Arial Narrow" w:hAnsi="Arial Narrow" w:cs="Arial"/>
        </w:rPr>
        <w:t>.</w:t>
      </w:r>
    </w:p>
  </w:footnote>
  <w:footnote w:id="26">
    <w:p w14:paraId="507DE492" w14:textId="77777777" w:rsidR="000D1E58" w:rsidRPr="00121FBD" w:rsidRDefault="00000000">
      <w:pPr>
        <w:pStyle w:val="Textonotapie"/>
        <w:rPr>
          <w:rFonts w:ascii="Arial Narrow" w:hAnsi="Arial Narrow" w:cs="Arial"/>
        </w:rPr>
      </w:pPr>
      <w:r w:rsidRPr="00121FBD">
        <w:rPr>
          <w:rStyle w:val="Refdenotaalpie"/>
          <w:rFonts w:ascii="Arial Narrow" w:hAnsi="Arial Narrow"/>
        </w:rPr>
        <w:footnoteRef/>
      </w:r>
      <w:r w:rsidRPr="00121FBD">
        <w:rPr>
          <w:rFonts w:ascii="Arial Narrow" w:hAnsi="Arial Narrow"/>
        </w:rPr>
        <w:t xml:space="preserve"> </w:t>
      </w:r>
      <w:r w:rsidRPr="00121FBD">
        <w:rPr>
          <w:rFonts w:ascii="Arial Narrow" w:hAnsi="Arial Narrow" w:cs="Arial"/>
        </w:rPr>
        <w:t xml:space="preserve">Requisitos formales comprendidos en el dispositivo legal 10 de la </w:t>
      </w:r>
      <w:r w:rsidRPr="00121FBD">
        <w:rPr>
          <w:rFonts w:ascii="Arial Narrow" w:hAnsi="Arial Narrow" w:cs="Arial"/>
          <w:i/>
          <w:iCs/>
        </w:rPr>
        <w:t>Ley de Justicia Electoral</w:t>
      </w:r>
      <w:r w:rsidRPr="00121FBD">
        <w:rPr>
          <w:rFonts w:ascii="Arial Narrow" w:hAnsi="Arial Narrow" w:cs="Arial"/>
        </w:rPr>
        <w:t>.</w:t>
      </w:r>
    </w:p>
  </w:footnote>
  <w:footnote w:id="27">
    <w:p w14:paraId="08B69BB2" w14:textId="77777777" w:rsidR="000D1E58" w:rsidRDefault="00000000">
      <w:pPr>
        <w:pStyle w:val="Textonotapie"/>
        <w:jc w:val="both"/>
        <w:rPr>
          <w:rFonts w:ascii="Arial Narrow" w:hAnsi="Arial Narrow"/>
          <w:sz w:val="16"/>
          <w:szCs w:val="16"/>
        </w:rPr>
      </w:pPr>
      <w:r w:rsidRPr="00121FBD">
        <w:rPr>
          <w:rStyle w:val="Refdenotaalpie"/>
          <w:rFonts w:ascii="Arial Narrow" w:hAnsi="Arial Narrow"/>
        </w:rPr>
        <w:footnoteRef/>
      </w:r>
      <w:r w:rsidRPr="00121FBD">
        <w:rPr>
          <w:rFonts w:ascii="Arial Narrow" w:hAnsi="Arial Narrow"/>
        </w:rPr>
        <w:t xml:space="preserve"> </w:t>
      </w:r>
      <w:r w:rsidRPr="00121FBD">
        <w:rPr>
          <w:rFonts w:ascii="Arial Narrow" w:hAnsi="Arial Narrow" w:cs="Arial"/>
        </w:rPr>
        <w:t xml:space="preserve">De conformidad con lo previsto en los artículos 13, fracción I, 15, fracción IV, 73 y 74 de la </w:t>
      </w:r>
      <w:r w:rsidRPr="00121FBD">
        <w:rPr>
          <w:rFonts w:ascii="Arial Narrow" w:hAnsi="Arial Narrow" w:cs="Arial"/>
          <w:i/>
          <w:iCs/>
        </w:rPr>
        <w:t>Ley</w:t>
      </w:r>
      <w:r>
        <w:rPr>
          <w:rFonts w:ascii="Arial Narrow" w:hAnsi="Arial Narrow" w:cs="Arial"/>
          <w:i/>
          <w:iCs/>
        </w:rPr>
        <w:t xml:space="preserve"> de Justicia Electoral.</w:t>
      </w:r>
    </w:p>
  </w:footnote>
  <w:footnote w:id="28">
    <w:p w14:paraId="607FA94B" w14:textId="77777777" w:rsidR="000D1E58" w:rsidRDefault="00000000">
      <w:pPr>
        <w:pStyle w:val="Textonotapie"/>
        <w:jc w:val="both"/>
        <w:rPr>
          <w:rFonts w:ascii="Arial Narrow" w:hAnsi="Arial Narrow" w:cs="Arial"/>
        </w:rPr>
      </w:pPr>
      <w:r>
        <w:rPr>
          <w:rStyle w:val="Refdenotaalpie"/>
          <w:rFonts w:ascii="Arial Narrow" w:hAnsi="Arial Narrow"/>
        </w:rPr>
        <w:footnoteRef/>
      </w:r>
      <w:r>
        <w:rPr>
          <w:rFonts w:ascii="Arial Narrow" w:hAnsi="Arial Narrow"/>
        </w:rPr>
        <w:t xml:space="preserve"> </w:t>
      </w:r>
      <w:r>
        <w:rPr>
          <w:rFonts w:ascii="Arial Narrow" w:eastAsia="Arial" w:hAnsi="Arial Narrow" w:cs="Arial"/>
        </w:rPr>
        <w:t xml:space="preserve">Resulta aplicable la jurisprudencia 3/2000, emitida por la </w:t>
      </w:r>
      <w:r>
        <w:rPr>
          <w:rFonts w:ascii="Arial Narrow" w:eastAsia="Arial" w:hAnsi="Arial Narrow" w:cs="Arial"/>
          <w:i/>
          <w:iCs/>
        </w:rPr>
        <w:t>Sala Superior</w:t>
      </w:r>
      <w:r>
        <w:rPr>
          <w:rFonts w:ascii="Arial Narrow" w:eastAsia="Arial" w:hAnsi="Arial Narrow" w:cs="Arial"/>
        </w:rPr>
        <w:t xml:space="preserve"> de rubro: “</w:t>
      </w:r>
      <w:r>
        <w:rPr>
          <w:rFonts w:ascii="Arial Narrow" w:eastAsia="Arial" w:hAnsi="Arial Narrow" w:cs="Arial"/>
          <w:i/>
          <w:iCs/>
        </w:rPr>
        <w:t xml:space="preserve">AGRAVIOS. PARA TENERLOS POR DEBIDAMENTE CONFIGURADOS ES SUFICIENTE CON EXPRESAR LA CAUSA DE PEDIR”.  </w:t>
      </w:r>
      <w:r>
        <w:rPr>
          <w:rFonts w:ascii="Arial Narrow" w:hAnsi="Arial Narrow" w:cs="Arial"/>
        </w:rPr>
        <w:t xml:space="preserve">Localizable en el Volumen 1 de la Compilación 1997-2013, del </w:t>
      </w:r>
      <w:r>
        <w:rPr>
          <w:rFonts w:ascii="Arial Narrow" w:hAnsi="Arial Narrow" w:cs="Arial"/>
          <w:i/>
          <w:iCs/>
        </w:rPr>
        <w:t>TEPJF</w:t>
      </w:r>
      <w:r>
        <w:rPr>
          <w:rFonts w:ascii="Arial Narrow" w:hAnsi="Arial Narrow" w:cs="Arial"/>
        </w:rPr>
        <w:t xml:space="preserve">, páginas 122 y 123.  </w:t>
      </w:r>
    </w:p>
  </w:footnote>
  <w:footnote w:id="29">
    <w:p w14:paraId="1C8E93D7" w14:textId="77777777" w:rsidR="000D1E58" w:rsidRDefault="00000000">
      <w:pPr>
        <w:pStyle w:val="Textonotapie"/>
        <w:jc w:val="both"/>
        <w:rPr>
          <w:rFonts w:ascii="Arial Narrow" w:hAnsi="Arial Narrow"/>
        </w:rPr>
      </w:pPr>
      <w:r>
        <w:rPr>
          <w:rStyle w:val="Refdenotaalpie"/>
          <w:rFonts w:ascii="Arial Narrow" w:hAnsi="Arial Narrow"/>
          <w:sz w:val="18"/>
          <w:szCs w:val="18"/>
        </w:rPr>
        <w:footnoteRef/>
      </w:r>
      <w:r>
        <w:rPr>
          <w:rFonts w:ascii="Arial Narrow" w:hAnsi="Arial Narrow"/>
          <w:sz w:val="18"/>
          <w:szCs w:val="18"/>
        </w:rPr>
        <w:t xml:space="preserve"> </w:t>
      </w:r>
      <w:r>
        <w:rPr>
          <w:rFonts w:ascii="Arial Narrow" w:hAnsi="Arial Narrow"/>
        </w:rPr>
        <w:t xml:space="preserve">Jurisprudencia 4/2000, emitida por la </w:t>
      </w:r>
      <w:r>
        <w:rPr>
          <w:rFonts w:ascii="Arial Narrow" w:hAnsi="Arial Narrow"/>
          <w:i/>
          <w:iCs/>
        </w:rPr>
        <w:t>Sala Superior</w:t>
      </w:r>
      <w:r>
        <w:rPr>
          <w:rFonts w:ascii="Arial Narrow" w:hAnsi="Arial Narrow"/>
        </w:rPr>
        <w:t>, de rubro: “</w:t>
      </w:r>
      <w:r>
        <w:rPr>
          <w:rFonts w:ascii="Arial Narrow" w:hAnsi="Arial Narrow"/>
          <w:i/>
          <w:iCs/>
        </w:rPr>
        <w:t xml:space="preserve">AGRAVIOS. SU EXAMEN EN CONJUNTO O SEPARADO, NO CAUSA LESIÓN. </w:t>
      </w:r>
      <w:r>
        <w:rPr>
          <w:rFonts w:ascii="Arial Narrow" w:hAnsi="Arial Narrow"/>
        </w:rPr>
        <w:t>Aprobada el doce de septiembre de dos mil.</w:t>
      </w:r>
    </w:p>
  </w:footnote>
  <w:footnote w:id="30">
    <w:p w14:paraId="24CA60AB" w14:textId="77777777" w:rsidR="000D1E58" w:rsidRDefault="00000000">
      <w:pPr>
        <w:pStyle w:val="Textonotapie"/>
        <w:jc w:val="both"/>
        <w:rPr>
          <w:rFonts w:ascii="Arial Narrow" w:hAnsi="Arial Narrow" w:cs="Arial"/>
          <w:lang w:val="es-ES"/>
        </w:rPr>
      </w:pPr>
      <w:r>
        <w:rPr>
          <w:rStyle w:val="Refdenotaalpie"/>
          <w:rFonts w:ascii="Arial Narrow" w:hAnsi="Arial Narrow" w:cs="Arial"/>
        </w:rPr>
        <w:footnoteRef/>
      </w:r>
      <w:r>
        <w:rPr>
          <w:rFonts w:ascii="Arial Narrow" w:hAnsi="Arial Narrow" w:cs="Arial"/>
        </w:rPr>
        <w:t xml:space="preserve"> </w:t>
      </w:r>
      <w:r>
        <w:rPr>
          <w:rFonts w:ascii="Arial Narrow" w:hAnsi="Arial Narrow" w:cs="Arial"/>
          <w:lang w:val="es-ES"/>
        </w:rPr>
        <w:t xml:space="preserve">Jurisprudencia 27/2002, de </w:t>
      </w:r>
      <w:r>
        <w:rPr>
          <w:rFonts w:ascii="Arial Narrow" w:hAnsi="Arial Narrow" w:cs="Arial"/>
          <w:i/>
          <w:iCs/>
          <w:lang w:val="es-ES"/>
        </w:rPr>
        <w:t>Sala Superior de</w:t>
      </w:r>
      <w:r>
        <w:rPr>
          <w:rFonts w:ascii="Arial Narrow" w:hAnsi="Arial Narrow" w:cs="Arial"/>
          <w:lang w:val="es-ES"/>
        </w:rPr>
        <w:t xml:space="preserve"> rubro: </w:t>
      </w:r>
      <w:r>
        <w:rPr>
          <w:rFonts w:ascii="Arial Narrow" w:hAnsi="Arial Narrow" w:cs="Arial"/>
          <w:i/>
          <w:iCs/>
          <w:lang w:val="es-ES"/>
        </w:rPr>
        <w:t>DERECHO DE VOTAR Y SER VOTADO. SU TEOLOGÍA Y ELEMENTOS QUE LO INTEGRAN</w:t>
      </w:r>
      <w:r>
        <w:rPr>
          <w:rFonts w:ascii="Arial Narrow" w:hAnsi="Arial Narrow" w:cs="Arial"/>
          <w:lang w:val="es-ES"/>
        </w:rPr>
        <w:t>.</w:t>
      </w:r>
    </w:p>
  </w:footnote>
  <w:footnote w:id="31">
    <w:p w14:paraId="02EB577E" w14:textId="77777777" w:rsidR="000D1E58" w:rsidRDefault="00000000">
      <w:pPr>
        <w:spacing w:after="0" w:line="240" w:lineRule="auto"/>
        <w:jc w:val="both"/>
        <w:rPr>
          <w:rFonts w:ascii="Arial Narrow" w:hAnsi="Arial Narrow" w:cs="Arial"/>
          <w:sz w:val="20"/>
          <w:szCs w:val="20"/>
          <w:lang w:val="es-ES"/>
        </w:rPr>
      </w:pPr>
      <w:r>
        <w:rPr>
          <w:rStyle w:val="Refdenotaalpie"/>
          <w:rFonts w:ascii="Arial Narrow" w:hAnsi="Arial Narrow" w:cs="Arial"/>
          <w:sz w:val="20"/>
          <w:szCs w:val="20"/>
        </w:rPr>
        <w:footnoteRef/>
      </w:r>
      <w:r>
        <w:rPr>
          <w:rFonts w:ascii="Arial Narrow" w:hAnsi="Arial Narrow" w:cs="Arial"/>
          <w:sz w:val="20"/>
          <w:szCs w:val="20"/>
        </w:rPr>
        <w:t xml:space="preserve"> Lo anterior, además de conformidad con la Jurisprudencia 20/2010, emitida por la </w:t>
      </w:r>
      <w:r>
        <w:rPr>
          <w:rFonts w:ascii="Arial Narrow" w:hAnsi="Arial Narrow" w:cs="Arial"/>
          <w:i/>
          <w:iCs/>
          <w:sz w:val="20"/>
          <w:szCs w:val="20"/>
        </w:rPr>
        <w:t>Sala Superior</w:t>
      </w:r>
      <w:r>
        <w:rPr>
          <w:rFonts w:ascii="Arial Narrow" w:hAnsi="Arial Narrow" w:cs="Arial"/>
          <w:sz w:val="20"/>
          <w:szCs w:val="20"/>
        </w:rPr>
        <w:t xml:space="preserve"> bajo el rubro: </w:t>
      </w:r>
      <w:r>
        <w:rPr>
          <w:rFonts w:ascii="Arial Narrow" w:hAnsi="Arial Narrow" w:cs="Arial"/>
          <w:i/>
          <w:iCs/>
          <w:sz w:val="20"/>
          <w:szCs w:val="20"/>
        </w:rPr>
        <w:t>DERECHO POLÍTICO ELECTORAL A SER VOTADO. INCLUYE EL DERECHO A OCUPAR Y DESEMPEÑAR EL CARGO.</w:t>
      </w:r>
    </w:p>
  </w:footnote>
  <w:footnote w:id="32">
    <w:p w14:paraId="1988284F" w14:textId="77777777" w:rsidR="000D1E58" w:rsidRDefault="00000000">
      <w:pPr>
        <w:pStyle w:val="Textonotapie"/>
        <w:jc w:val="both"/>
        <w:rPr>
          <w:rFonts w:ascii="Arial Narrow" w:hAnsi="Arial Narrow" w:cs="Arial"/>
          <w:lang w:val="es-ES"/>
        </w:rPr>
      </w:pPr>
      <w:r>
        <w:rPr>
          <w:rStyle w:val="Refdenotaalpie"/>
          <w:rFonts w:ascii="Arial Narrow" w:hAnsi="Arial Narrow" w:cs="Arial"/>
        </w:rPr>
        <w:footnoteRef/>
      </w:r>
      <w:r>
        <w:rPr>
          <w:rFonts w:ascii="Arial Narrow" w:hAnsi="Arial Narrow" w:cs="Arial"/>
        </w:rPr>
        <w:t xml:space="preserve"> Tesis 2a.LXXXV/2016 (10a.), de la Suprema Corte de Justicia de la Nación, de rubro: </w:t>
      </w:r>
      <w:r>
        <w:rPr>
          <w:rFonts w:ascii="Arial Narrow" w:hAnsi="Arial Narrow" w:cs="Arial"/>
          <w:i/>
          <w:iCs/>
        </w:rPr>
        <w:t xml:space="preserve">DERECHO A LA INFORMACIÓN. GARANTÍAS DEL. </w:t>
      </w:r>
    </w:p>
  </w:footnote>
  <w:footnote w:id="33">
    <w:p w14:paraId="177F26A3" w14:textId="77777777" w:rsidR="000D1E58" w:rsidRDefault="00000000">
      <w:pPr>
        <w:pStyle w:val="Textonotapie"/>
        <w:jc w:val="both"/>
        <w:rPr>
          <w:rFonts w:ascii="Arial Narrow" w:hAnsi="Arial Narrow" w:cs="Arial"/>
          <w:lang w:val="es-ES"/>
        </w:rPr>
      </w:pPr>
      <w:r>
        <w:rPr>
          <w:rStyle w:val="Refdenotaalpie"/>
          <w:rFonts w:ascii="Arial Narrow" w:hAnsi="Arial Narrow" w:cs="Arial"/>
        </w:rPr>
        <w:footnoteRef/>
      </w:r>
      <w:r>
        <w:rPr>
          <w:rFonts w:ascii="Arial Narrow" w:hAnsi="Arial Narrow" w:cs="Arial"/>
        </w:rPr>
        <w:t xml:space="preserve"> Conocido también como el derecho a saber.</w:t>
      </w:r>
    </w:p>
  </w:footnote>
  <w:footnote w:id="34">
    <w:p w14:paraId="03F9EDB8" w14:textId="77777777" w:rsidR="000D1E58" w:rsidRDefault="00000000">
      <w:pPr>
        <w:pStyle w:val="Textonotapie"/>
        <w:jc w:val="both"/>
        <w:rPr>
          <w:rFonts w:ascii="Arial Narrow" w:hAnsi="Arial Narrow" w:cs="Arial"/>
          <w:lang w:val="es-ES"/>
        </w:rPr>
      </w:pPr>
      <w:r>
        <w:rPr>
          <w:rStyle w:val="Refdenotaalpie"/>
          <w:rFonts w:ascii="Arial Narrow" w:hAnsi="Arial Narrow" w:cs="Arial"/>
        </w:rPr>
        <w:footnoteRef/>
      </w:r>
      <w:r>
        <w:rPr>
          <w:rFonts w:ascii="Arial Narrow" w:hAnsi="Arial Narrow" w:cs="Arial"/>
        </w:rPr>
        <w:t xml:space="preserve"> Argumento sostenido por la </w:t>
      </w:r>
      <w:r>
        <w:rPr>
          <w:rFonts w:ascii="Arial Narrow" w:eastAsia="Arial" w:hAnsi="Arial Narrow" w:cs="Arial"/>
        </w:rPr>
        <w:t>Sala Toluca</w:t>
      </w:r>
      <w:r>
        <w:rPr>
          <w:rFonts w:ascii="Arial Narrow" w:hAnsi="Arial Narrow" w:cs="Arial"/>
        </w:rPr>
        <w:t xml:space="preserve"> al resolver el expediente ST-JDC-263/2017.</w:t>
      </w:r>
    </w:p>
  </w:footnote>
  <w:footnote w:id="35">
    <w:p w14:paraId="26216FA8" w14:textId="77777777" w:rsidR="000D1E58" w:rsidRDefault="00000000">
      <w:pPr>
        <w:pStyle w:val="Textonotapie"/>
        <w:jc w:val="both"/>
      </w:pPr>
      <w:r>
        <w:rPr>
          <w:rStyle w:val="Refdenotaalpie"/>
        </w:rPr>
        <w:footnoteRef/>
      </w:r>
      <w:r>
        <w:t xml:space="preserve"> </w:t>
      </w:r>
      <w:r>
        <w:rPr>
          <w:rFonts w:ascii="Arial Narrow" w:hAnsi="Arial Narrow"/>
        </w:rPr>
        <w:t xml:space="preserve">Artículo 6 de la </w:t>
      </w:r>
      <w:r>
        <w:rPr>
          <w:rFonts w:ascii="Arial Narrow" w:hAnsi="Arial Narrow"/>
          <w:i/>
          <w:iCs/>
        </w:rPr>
        <w:t>Constitución General</w:t>
      </w:r>
      <w:r>
        <w:rPr>
          <w:rFonts w:ascii="Arial Narrow" w:hAnsi="Arial Narrow"/>
        </w:rPr>
        <w:t>.</w:t>
      </w:r>
    </w:p>
  </w:footnote>
  <w:footnote w:id="36">
    <w:p w14:paraId="6BC54244" w14:textId="77777777" w:rsidR="000D1E58" w:rsidRDefault="00000000">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Véase las jurisprudencias 7/2010, 36/2002 y 47/2013, de rubros: INTERÉS JURÍDICO EN LA PROCEDENCIA DEL JUICIO PARA LA PROTECCIÓN DE LOS DERECHOS POLÍTICO-ELECTORALES DEL CIUDADANO, CUANDO SE ALEGAN PRESUNTAS VIOLACIONES AL DERECHO DE ACCESO A LA INFORMACIÓN EN MATERIA POLÍTICO-ELECTORAL, JUICIO PARA LA PROTECCIÓN DE LOS DERECHOS POLÍTICO-ELECTORALES DEL CIUDADANO. PROCEDE CUANDO SE ADUZCAN VIOLACIONES A DIVERSOS DERECHOS FUNDAMENTALES VINCULADOS CON LOS DERECHOS DE VOTAR, SER VOTADO, DE ASOCIACIÓN Y DE AFILIACIÓN y DERECHO DE ACCESO A LA INFORMACIÓN PÚBLICA EN MATERIA ELECTORAL. EL TRIBUNAL ELECTORAL DEL PODER JUDICIAL DE LA FEDERACIÓN ES COMPETENTE PARA CONOCER DE LAS IMPUGNACIONES A SU CONTENIDO POR LA VÍA DEL JUICIO PARA LA PROTECCIÓN DE LOS DERECHOS POLÍTICO-ELECTORALES DEL CIUDADANO.</w:t>
      </w:r>
    </w:p>
  </w:footnote>
  <w:footnote w:id="37">
    <w:p w14:paraId="098C1A6D" w14:textId="77777777" w:rsidR="000D1E58" w:rsidRDefault="00000000">
      <w:pPr>
        <w:pStyle w:val="Textonotapie"/>
        <w:jc w:val="both"/>
        <w:rPr>
          <w:rFonts w:ascii="Arial Narrow" w:hAnsi="Arial Narrow" w:cs="Arial"/>
          <w:lang w:val="es-ES"/>
        </w:rPr>
      </w:pPr>
      <w:r>
        <w:rPr>
          <w:rStyle w:val="Refdenotaalpie"/>
          <w:rFonts w:ascii="Arial Narrow" w:hAnsi="Arial Narrow" w:cs="Arial"/>
        </w:rPr>
        <w:footnoteRef/>
      </w:r>
      <w:r>
        <w:rPr>
          <w:rFonts w:ascii="Arial Narrow" w:hAnsi="Arial Narrow" w:cs="Arial"/>
        </w:rPr>
        <w:t xml:space="preserve"> Al respecto, resulta orientador el criterio sostenido por la </w:t>
      </w:r>
      <w:r>
        <w:rPr>
          <w:rFonts w:ascii="Arial Narrow" w:hAnsi="Arial Narrow" w:cs="Arial"/>
          <w:i/>
          <w:iCs/>
        </w:rPr>
        <w:t>Sala Superior</w:t>
      </w:r>
      <w:r>
        <w:rPr>
          <w:rFonts w:ascii="Arial Narrow" w:hAnsi="Arial Narrow" w:cs="Arial"/>
        </w:rPr>
        <w:t xml:space="preserve"> al resolver, entre otros, el juicio SUP-JDC-1679/2016.</w:t>
      </w:r>
    </w:p>
  </w:footnote>
  <w:footnote w:id="38">
    <w:p w14:paraId="5EDE747A" w14:textId="77777777" w:rsidR="000D1E58" w:rsidRDefault="00000000">
      <w:pPr>
        <w:pStyle w:val="Textonotapie"/>
        <w:jc w:val="both"/>
        <w:rPr>
          <w:rFonts w:ascii="Arial Narrow" w:hAnsi="Arial Narrow" w:cs="Arial"/>
          <w:lang w:val="es-ES"/>
        </w:rPr>
      </w:pPr>
      <w:r>
        <w:rPr>
          <w:rStyle w:val="Refdenotaalpie"/>
          <w:rFonts w:ascii="Arial Narrow" w:hAnsi="Arial Narrow" w:cs="Arial"/>
        </w:rPr>
        <w:footnoteRef/>
      </w:r>
      <w:r>
        <w:rPr>
          <w:rFonts w:ascii="Arial Narrow" w:hAnsi="Arial Narrow" w:cs="Arial"/>
        </w:rPr>
        <w:t xml:space="preserve"> Así lo determinó </w:t>
      </w:r>
      <w:r>
        <w:rPr>
          <w:rFonts w:ascii="Arial Narrow" w:hAnsi="Arial Narrow" w:cs="Arial"/>
          <w:i/>
          <w:iCs/>
        </w:rPr>
        <w:t>Sala Toluca</w:t>
      </w:r>
      <w:r>
        <w:rPr>
          <w:rFonts w:ascii="Arial Narrow" w:hAnsi="Arial Narrow" w:cs="Arial"/>
        </w:rPr>
        <w:t xml:space="preserve"> al resolver el expediente ST-JE-17/2021.</w:t>
      </w:r>
    </w:p>
  </w:footnote>
  <w:footnote w:id="39">
    <w:p w14:paraId="172764F5" w14:textId="77777777" w:rsidR="000D1E58" w:rsidRDefault="00000000">
      <w:pPr>
        <w:pStyle w:val="Textonotapie"/>
        <w:jc w:val="both"/>
        <w:rPr>
          <w:rFonts w:ascii="Arial Narrow" w:hAnsi="Arial Narrow" w:cs="Arial"/>
          <w:lang w:val="es-ES"/>
        </w:rPr>
      </w:pPr>
      <w:r>
        <w:rPr>
          <w:rStyle w:val="Refdenotaalpie"/>
          <w:rFonts w:ascii="Arial Narrow" w:hAnsi="Arial Narrow" w:cs="Arial"/>
        </w:rPr>
        <w:footnoteRef/>
      </w:r>
      <w:r>
        <w:rPr>
          <w:rFonts w:ascii="Arial Narrow" w:hAnsi="Arial Narrow" w:cs="Arial"/>
        </w:rPr>
        <w:t xml:space="preserve"> Véase lo sostenido por </w:t>
      </w:r>
      <w:r>
        <w:rPr>
          <w:rFonts w:ascii="Arial Narrow" w:hAnsi="Arial Narrow" w:cs="Arial"/>
          <w:i/>
          <w:iCs/>
        </w:rPr>
        <w:t>Sala Toluca</w:t>
      </w:r>
      <w:r>
        <w:rPr>
          <w:rFonts w:ascii="Arial Narrow" w:hAnsi="Arial Narrow" w:cs="Arial"/>
        </w:rPr>
        <w:t>, al resolver el expediente ST-JDC-263/2017.</w:t>
      </w:r>
    </w:p>
  </w:footnote>
  <w:footnote w:id="40">
    <w:p w14:paraId="5D58CF69" w14:textId="77777777" w:rsidR="000D1E58" w:rsidRDefault="00000000">
      <w:pPr>
        <w:pStyle w:val="Textonotapie"/>
        <w:jc w:val="both"/>
        <w:rPr>
          <w:rFonts w:ascii="Arial" w:hAnsi="Arial" w:cs="Arial"/>
        </w:rPr>
      </w:pPr>
      <w:r>
        <w:rPr>
          <w:rStyle w:val="Refdenotaalpie"/>
          <w:rFonts w:ascii="Arial" w:hAnsi="Arial" w:cs="Arial"/>
        </w:rPr>
        <w:footnoteRef/>
      </w:r>
      <w:r>
        <w:rPr>
          <w:rFonts w:ascii="Arial" w:hAnsi="Arial" w:cs="Arial"/>
        </w:rPr>
        <w:t xml:space="preserve"> </w:t>
      </w:r>
      <w:r>
        <w:rPr>
          <w:rFonts w:ascii="Arial" w:hAnsi="Arial" w:cs="Arial"/>
          <w:color w:val="000000"/>
        </w:rPr>
        <w:t>Véase el Amparo Directo en Revisión 962/2019 de la Segunda Sala de la Suprema Corte.</w:t>
      </w:r>
    </w:p>
  </w:footnote>
  <w:footnote w:id="41">
    <w:p w14:paraId="3319E921" w14:textId="77777777" w:rsidR="000D1E58" w:rsidRDefault="00000000">
      <w:pPr>
        <w:pStyle w:val="Textonotapie"/>
        <w:jc w:val="both"/>
        <w:rPr>
          <w:rFonts w:ascii="Arial" w:hAnsi="Arial" w:cs="Arial"/>
          <w:i/>
          <w:iCs/>
        </w:rPr>
      </w:pPr>
      <w:r>
        <w:rPr>
          <w:rStyle w:val="Refdenotaalpie"/>
          <w:rFonts w:ascii="Arial" w:hAnsi="Arial" w:cs="Arial"/>
        </w:rPr>
        <w:footnoteRef/>
      </w:r>
      <w:r>
        <w:rPr>
          <w:rFonts w:ascii="Arial" w:hAnsi="Arial" w:cs="Arial"/>
        </w:rPr>
        <w:t xml:space="preserve"> </w:t>
      </w:r>
      <w:r>
        <w:rPr>
          <w:rFonts w:ascii="Arial" w:hAnsi="Arial" w:cs="Arial"/>
          <w:color w:val="000000"/>
        </w:rPr>
        <w:t xml:space="preserve">Tesis XX/2015 del Pleno de la Suprema Corte de Justicia de la Nación, de rubro: </w:t>
      </w:r>
      <w:r>
        <w:rPr>
          <w:rFonts w:ascii="Arial" w:hAnsi="Arial" w:cs="Arial"/>
          <w:i/>
          <w:iCs/>
          <w:color w:val="000000"/>
        </w:rPr>
        <w:t>IMPARTICIÓN DE JUSTICIA CON PERSPECTIVA DE GÉNERO. OBLIGACIONES QUE DEBE CUMPLIR EL ESTADO MEXICANO EN LA MATERIA.</w:t>
      </w:r>
      <w:r>
        <w:rPr>
          <w:rFonts w:ascii="Arial" w:hAnsi="Arial" w:cs="Arial"/>
          <w:color w:val="000000"/>
        </w:rPr>
        <w:t xml:space="preserve"> Para identificar acciones concretas que se deben atender al juzgar con esta perspectiva, véase la jurisprudencia 22/2016 de la Primera Sala de la Suprema Corte, de rubro: ACCESO A LA JUSTICIA EN </w:t>
      </w:r>
      <w:r>
        <w:rPr>
          <w:rFonts w:ascii="Arial" w:hAnsi="Arial" w:cs="Arial"/>
          <w:i/>
          <w:iCs/>
          <w:color w:val="000000"/>
        </w:rPr>
        <w:t>CONDICIONES DE IGUALDAD. ELEMENTOS PARA JUZGAR CON PERSPECTIVA DE GÉNERO.</w:t>
      </w:r>
    </w:p>
  </w:footnote>
  <w:footnote w:id="42">
    <w:p w14:paraId="041165BE" w14:textId="77777777" w:rsidR="000D1E58" w:rsidRDefault="00000000">
      <w:pPr>
        <w:pStyle w:val="Textonotapie"/>
        <w:jc w:val="both"/>
        <w:rPr>
          <w:rFonts w:ascii="Arial" w:hAnsi="Arial" w:cs="Arial"/>
          <w:i/>
          <w:iCs/>
        </w:rPr>
      </w:pPr>
      <w:r>
        <w:rPr>
          <w:rStyle w:val="Refdenotaalpie"/>
          <w:rFonts w:ascii="Arial" w:hAnsi="Arial" w:cs="Arial"/>
        </w:rPr>
        <w:footnoteRef/>
      </w:r>
      <w:r>
        <w:rPr>
          <w:rFonts w:ascii="Arial" w:hAnsi="Arial" w:cs="Arial"/>
        </w:rPr>
        <w:t xml:space="preserve"> </w:t>
      </w:r>
      <w:r>
        <w:rPr>
          <w:rFonts w:ascii="Arial" w:hAnsi="Arial" w:cs="Arial"/>
          <w:color w:val="000000"/>
        </w:rPr>
        <w:t xml:space="preserve">Tesis XXVII/2017 de la Primera Sala de la Suprema Corte, de rubro: </w:t>
      </w:r>
      <w:r>
        <w:rPr>
          <w:rFonts w:ascii="Arial" w:hAnsi="Arial" w:cs="Arial"/>
          <w:i/>
          <w:iCs/>
          <w:color w:val="000000"/>
        </w:rPr>
        <w:t>JUZGAR CON PERSPECTIVA DE GÉNERO. CONCEPTO, APLICABILIDAD Y METODOLOGÍA PARA CUMPLIR DICHA OBLIGACIÓN.</w:t>
      </w:r>
    </w:p>
  </w:footnote>
  <w:footnote w:id="43">
    <w:p w14:paraId="2A78D9D4" w14:textId="41FB218F" w:rsidR="000D1E58" w:rsidRDefault="00000000">
      <w:pPr>
        <w:pStyle w:val="Textonotapie"/>
        <w:rPr>
          <w:rFonts w:ascii="Arial Narrow" w:hAnsi="Arial Narrow"/>
        </w:rPr>
      </w:pPr>
      <w:r>
        <w:rPr>
          <w:rStyle w:val="Refdenotaalpie"/>
        </w:rPr>
        <w:footnoteRef/>
      </w:r>
      <w:r>
        <w:t xml:space="preserve"> </w:t>
      </w:r>
      <w:r>
        <w:rPr>
          <w:rFonts w:ascii="Arial Narrow" w:hAnsi="Arial Narrow"/>
        </w:rPr>
        <w:t xml:space="preserve">Visible a </w:t>
      </w:r>
      <w:r w:rsidRPr="00573A0D">
        <w:rPr>
          <w:rFonts w:ascii="Arial Narrow" w:hAnsi="Arial Narrow"/>
        </w:rPr>
        <w:t xml:space="preserve">fojas </w:t>
      </w:r>
      <w:r w:rsidR="00557824" w:rsidRPr="00573A0D">
        <w:rPr>
          <w:rFonts w:ascii="Arial Narrow" w:hAnsi="Arial Narrow"/>
        </w:rPr>
        <w:t>78 y 75</w:t>
      </w:r>
    </w:p>
  </w:footnote>
  <w:footnote w:id="44">
    <w:p w14:paraId="79496F81" w14:textId="77777777" w:rsidR="000D1E58" w:rsidRDefault="00000000">
      <w:pPr>
        <w:spacing w:after="0" w:line="240" w:lineRule="auto"/>
        <w:jc w:val="both"/>
        <w:rPr>
          <w:rFonts w:ascii="Arial Narrow" w:eastAsia="Arial" w:hAnsi="Arial Narrow" w:cs="Arial"/>
          <w:sz w:val="20"/>
          <w:szCs w:val="20"/>
        </w:rPr>
      </w:pPr>
      <w:r>
        <w:rPr>
          <w:vertAlign w:val="superscript"/>
        </w:rPr>
        <w:footnoteRef/>
      </w:r>
      <w:r>
        <w:rPr>
          <w:rFonts w:ascii="Arial" w:eastAsia="Arial" w:hAnsi="Arial" w:cs="Arial"/>
          <w:sz w:val="20"/>
          <w:szCs w:val="20"/>
        </w:rPr>
        <w:t xml:space="preserve"> </w:t>
      </w:r>
      <w:r>
        <w:rPr>
          <w:rFonts w:ascii="Arial Narrow" w:eastAsia="Arial" w:hAnsi="Arial Narrow" w:cs="Arial"/>
          <w:sz w:val="20"/>
          <w:szCs w:val="20"/>
        </w:rPr>
        <w:t xml:space="preserve">Al interpretar el artículo 63 del Pacto de San José, así como en el caso </w:t>
      </w:r>
      <w:r>
        <w:rPr>
          <w:rFonts w:ascii="Arial Narrow" w:eastAsia="Arial" w:hAnsi="Arial Narrow" w:cs="Arial"/>
          <w:i/>
          <w:sz w:val="20"/>
          <w:szCs w:val="20"/>
        </w:rPr>
        <w:t xml:space="preserve">Corte Interamericana, Suárez Rosero vs. Ecuador. Reparaciones y Costas. </w:t>
      </w:r>
      <w:r>
        <w:rPr>
          <w:rFonts w:ascii="Arial Narrow" w:eastAsia="Arial" w:hAnsi="Arial Narrow" w:cs="Arial"/>
          <w:sz w:val="20"/>
          <w:szCs w:val="20"/>
        </w:rPr>
        <w:t xml:space="preserve">Sentencia de 20 de enero de 1999, serie C, no. 44, párr. 72. </w:t>
      </w:r>
    </w:p>
  </w:footnote>
  <w:footnote w:id="45">
    <w:p w14:paraId="1147B1BC" w14:textId="77777777" w:rsidR="000D1E58" w:rsidRPr="00B73A1E" w:rsidRDefault="00000000">
      <w:pPr>
        <w:spacing w:after="0" w:line="240" w:lineRule="auto"/>
        <w:rPr>
          <w:rFonts w:ascii="Arial Narrow" w:eastAsia="Arial" w:hAnsi="Arial Narrow" w:cs="Arial"/>
          <w:sz w:val="20"/>
          <w:szCs w:val="20"/>
        </w:rPr>
      </w:pPr>
      <w:r>
        <w:rPr>
          <w:vertAlign w:val="superscript"/>
        </w:rPr>
        <w:footnoteRef/>
      </w:r>
      <w:r>
        <w:rPr>
          <w:rFonts w:ascii="Arial" w:eastAsia="Arial" w:hAnsi="Arial" w:cs="Arial"/>
          <w:sz w:val="20"/>
          <w:szCs w:val="20"/>
        </w:rPr>
        <w:t xml:space="preserve"> </w:t>
      </w:r>
      <w:r w:rsidRPr="0076561B">
        <w:rPr>
          <w:rFonts w:ascii="Arial Narrow" w:eastAsia="Arial" w:hAnsi="Arial Narrow" w:cs="Arial"/>
          <w:sz w:val="20"/>
          <w:szCs w:val="20"/>
        </w:rPr>
        <w:t>Por ejemplo, en la sentencia SUP-JDC-1028/2020.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0CA98E" w14:textId="77777777" w:rsidR="000D1E58" w:rsidRDefault="00000000">
    <w:pPr>
      <w:pStyle w:val="Encabezado"/>
      <w:tabs>
        <w:tab w:val="left" w:pos="964"/>
        <w:tab w:val="left" w:pos="1209"/>
        <w:tab w:val="right" w:pos="8556"/>
      </w:tabs>
      <w:rPr>
        <w:rFonts w:ascii="Arial" w:hAnsi="Arial" w:cs="Arial"/>
        <w:sz w:val="28"/>
      </w:rPr>
    </w:pPr>
    <w:r>
      <w:rPr>
        <w:rFonts w:ascii="Times New Roman" w:hAnsi="Times New Roman" w:cs="Times New Roman"/>
        <w:noProof/>
      </w:rPr>
      <w:drawing>
        <wp:anchor distT="0" distB="0" distL="114300" distR="114300" simplePos="0" relativeHeight="251660288" behindDoc="1" locked="0" layoutInCell="1" allowOverlap="1" wp14:anchorId="10505222" wp14:editId="746B954D">
          <wp:simplePos x="0" y="0"/>
          <wp:positionH relativeFrom="column">
            <wp:posOffset>51759</wp:posOffset>
          </wp:positionH>
          <wp:positionV relativeFrom="paragraph">
            <wp:posOffset>-224922</wp:posOffset>
          </wp:positionV>
          <wp:extent cx="2009775" cy="709295"/>
          <wp:effectExtent l="0" t="0" r="9525" b="0"/>
          <wp:wrapNone/>
          <wp:docPr id="9684508" name="Imagen 1" descr="Texto&#10;&#10;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9775" cy="70929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Cs/>
        <w:sz w:val="22"/>
      </w:rPr>
      <w:tab/>
    </w:r>
    <w:r>
      <w:rPr>
        <w:rFonts w:ascii="Arial" w:hAnsi="Arial" w:cs="Arial"/>
        <w:bCs/>
        <w:sz w:val="22"/>
      </w:rPr>
      <w:tab/>
    </w:r>
    <w:r>
      <w:rPr>
        <w:rFonts w:ascii="Arial" w:hAnsi="Arial" w:cs="Arial"/>
        <w:bCs/>
        <w:sz w:val="22"/>
      </w:rPr>
      <w:tab/>
    </w:r>
    <w:r>
      <w:rPr>
        <w:rFonts w:ascii="Arial" w:hAnsi="Arial" w:cs="Arial"/>
        <w:bCs/>
        <w:sz w:val="22"/>
      </w:rPr>
      <w:tab/>
      <w:t>TEEM-JDC-037/2025</w:t>
    </w:r>
  </w:p>
  <w:p w14:paraId="1DD18F6B" w14:textId="77777777" w:rsidR="000D1E58" w:rsidRDefault="00000000">
    <w:pPr>
      <w:pStyle w:val="Encabezado"/>
      <w:tabs>
        <w:tab w:val="clear" w:pos="4419"/>
        <w:tab w:val="clear" w:pos="8838"/>
        <w:tab w:val="left" w:pos="964"/>
      </w:tabs>
      <w:rPr>
        <w:rFonts w:ascii="Arial Narrow" w:hAnsi="Arial Narrow" w:cs="Arial"/>
        <w:sz w:val="24"/>
      </w:rPr>
    </w:pPr>
    <w:r>
      <w:rPr>
        <w:rFonts w:ascii="Arial Narrow" w:hAnsi="Arial Narrow" w:cs="Arial"/>
        <w:sz w:val="2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4E61E" w14:textId="77777777" w:rsidR="000D1E58" w:rsidRDefault="00000000">
    <w:pPr>
      <w:pStyle w:val="Encabezado"/>
      <w:ind w:left="4962"/>
    </w:pPr>
    <w:r>
      <w:rPr>
        <w:rFonts w:ascii="Times New Roman" w:hAnsi="Times New Roman" w:cs="Times New Roman"/>
        <w:noProof/>
      </w:rPr>
      <w:drawing>
        <wp:anchor distT="0" distB="0" distL="114300" distR="114300" simplePos="0" relativeHeight="251658240" behindDoc="1" locked="0" layoutInCell="1" allowOverlap="1" wp14:anchorId="5E4B9897" wp14:editId="1529CF2C">
          <wp:simplePos x="0" y="0"/>
          <wp:positionH relativeFrom="column">
            <wp:posOffset>0</wp:posOffset>
          </wp:positionH>
          <wp:positionV relativeFrom="paragraph">
            <wp:posOffset>-234551</wp:posOffset>
          </wp:positionV>
          <wp:extent cx="2009775" cy="709295"/>
          <wp:effectExtent l="0" t="0" r="9525" b="0"/>
          <wp:wrapNone/>
          <wp:docPr id="2130729793" name="Imagen 1" descr="Texto&#10;&#10;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9775" cy="70929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6230C"/>
    <w:multiLevelType w:val="hybridMultilevel"/>
    <w:tmpl w:val="9C4CA24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31F7090"/>
    <w:multiLevelType w:val="hybridMultilevel"/>
    <w:tmpl w:val="A0185952"/>
    <w:lvl w:ilvl="0" w:tplc="3832526E">
      <w:start w:val="1"/>
      <w:numFmt w:val="lowerLetter"/>
      <w:lvlText w:val="%1)"/>
      <w:lvlJc w:val="left"/>
      <w:pPr>
        <w:ind w:left="1074" w:hanging="360"/>
      </w:pPr>
      <w:rPr>
        <w:rFonts w:hint="default"/>
      </w:rPr>
    </w:lvl>
    <w:lvl w:ilvl="1" w:tplc="080A0019" w:tentative="1">
      <w:start w:val="1"/>
      <w:numFmt w:val="lowerLetter"/>
      <w:lvlText w:val="%2."/>
      <w:lvlJc w:val="left"/>
      <w:pPr>
        <w:ind w:left="1794" w:hanging="360"/>
      </w:pPr>
    </w:lvl>
    <w:lvl w:ilvl="2" w:tplc="080A001B" w:tentative="1">
      <w:start w:val="1"/>
      <w:numFmt w:val="lowerRoman"/>
      <w:lvlText w:val="%3."/>
      <w:lvlJc w:val="right"/>
      <w:pPr>
        <w:ind w:left="2514" w:hanging="180"/>
      </w:pPr>
    </w:lvl>
    <w:lvl w:ilvl="3" w:tplc="080A000F" w:tentative="1">
      <w:start w:val="1"/>
      <w:numFmt w:val="decimal"/>
      <w:lvlText w:val="%4."/>
      <w:lvlJc w:val="left"/>
      <w:pPr>
        <w:ind w:left="3234" w:hanging="360"/>
      </w:pPr>
    </w:lvl>
    <w:lvl w:ilvl="4" w:tplc="080A0019" w:tentative="1">
      <w:start w:val="1"/>
      <w:numFmt w:val="lowerLetter"/>
      <w:lvlText w:val="%5."/>
      <w:lvlJc w:val="left"/>
      <w:pPr>
        <w:ind w:left="3954" w:hanging="360"/>
      </w:pPr>
    </w:lvl>
    <w:lvl w:ilvl="5" w:tplc="080A001B" w:tentative="1">
      <w:start w:val="1"/>
      <w:numFmt w:val="lowerRoman"/>
      <w:lvlText w:val="%6."/>
      <w:lvlJc w:val="right"/>
      <w:pPr>
        <w:ind w:left="4674" w:hanging="180"/>
      </w:pPr>
    </w:lvl>
    <w:lvl w:ilvl="6" w:tplc="080A000F" w:tentative="1">
      <w:start w:val="1"/>
      <w:numFmt w:val="decimal"/>
      <w:lvlText w:val="%7."/>
      <w:lvlJc w:val="left"/>
      <w:pPr>
        <w:ind w:left="5394" w:hanging="360"/>
      </w:pPr>
    </w:lvl>
    <w:lvl w:ilvl="7" w:tplc="080A0019" w:tentative="1">
      <w:start w:val="1"/>
      <w:numFmt w:val="lowerLetter"/>
      <w:lvlText w:val="%8."/>
      <w:lvlJc w:val="left"/>
      <w:pPr>
        <w:ind w:left="6114" w:hanging="360"/>
      </w:pPr>
    </w:lvl>
    <w:lvl w:ilvl="8" w:tplc="080A001B" w:tentative="1">
      <w:start w:val="1"/>
      <w:numFmt w:val="lowerRoman"/>
      <w:lvlText w:val="%9."/>
      <w:lvlJc w:val="right"/>
      <w:pPr>
        <w:ind w:left="6834" w:hanging="180"/>
      </w:pPr>
    </w:lvl>
  </w:abstractNum>
  <w:abstractNum w:abstractNumId="2" w15:restartNumberingAfterBreak="0">
    <w:nsid w:val="074D5161"/>
    <w:multiLevelType w:val="hybridMultilevel"/>
    <w:tmpl w:val="934EBBEC"/>
    <w:lvl w:ilvl="0" w:tplc="080A000F">
      <w:start w:val="3"/>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D9F5226"/>
    <w:multiLevelType w:val="hybridMultilevel"/>
    <w:tmpl w:val="BFC2E736"/>
    <w:lvl w:ilvl="0" w:tplc="FFFFFFFF">
      <w:start w:val="1"/>
      <w:numFmt w:val="decimal"/>
      <w:lvlText w:val="%1."/>
      <w:lvlJc w:val="left"/>
      <w:pPr>
        <w:ind w:left="1074" w:hanging="360"/>
      </w:pPr>
      <w:rPr>
        <w:rFonts w:ascii="Arial" w:eastAsiaTheme="minorEastAsia" w:hAnsi="Arial" w:cs="Arial"/>
        <w:b/>
        <w:bCs/>
      </w:rPr>
    </w:lvl>
    <w:lvl w:ilvl="1" w:tplc="FFFFFFFF" w:tentative="1">
      <w:start w:val="1"/>
      <w:numFmt w:val="lowerLetter"/>
      <w:lvlText w:val="%2."/>
      <w:lvlJc w:val="left"/>
      <w:pPr>
        <w:ind w:left="1794" w:hanging="360"/>
      </w:pPr>
    </w:lvl>
    <w:lvl w:ilvl="2" w:tplc="FFFFFFFF" w:tentative="1">
      <w:start w:val="1"/>
      <w:numFmt w:val="lowerRoman"/>
      <w:lvlText w:val="%3."/>
      <w:lvlJc w:val="right"/>
      <w:pPr>
        <w:ind w:left="2514" w:hanging="180"/>
      </w:pPr>
    </w:lvl>
    <w:lvl w:ilvl="3" w:tplc="FFFFFFFF" w:tentative="1">
      <w:start w:val="1"/>
      <w:numFmt w:val="decimal"/>
      <w:lvlText w:val="%4."/>
      <w:lvlJc w:val="left"/>
      <w:pPr>
        <w:ind w:left="3234" w:hanging="360"/>
      </w:pPr>
    </w:lvl>
    <w:lvl w:ilvl="4" w:tplc="FFFFFFFF" w:tentative="1">
      <w:start w:val="1"/>
      <w:numFmt w:val="lowerLetter"/>
      <w:lvlText w:val="%5."/>
      <w:lvlJc w:val="left"/>
      <w:pPr>
        <w:ind w:left="3954" w:hanging="360"/>
      </w:pPr>
    </w:lvl>
    <w:lvl w:ilvl="5" w:tplc="FFFFFFFF" w:tentative="1">
      <w:start w:val="1"/>
      <w:numFmt w:val="lowerRoman"/>
      <w:lvlText w:val="%6."/>
      <w:lvlJc w:val="right"/>
      <w:pPr>
        <w:ind w:left="4674" w:hanging="180"/>
      </w:pPr>
    </w:lvl>
    <w:lvl w:ilvl="6" w:tplc="FFFFFFFF" w:tentative="1">
      <w:start w:val="1"/>
      <w:numFmt w:val="decimal"/>
      <w:lvlText w:val="%7."/>
      <w:lvlJc w:val="left"/>
      <w:pPr>
        <w:ind w:left="5394" w:hanging="360"/>
      </w:pPr>
    </w:lvl>
    <w:lvl w:ilvl="7" w:tplc="FFFFFFFF" w:tentative="1">
      <w:start w:val="1"/>
      <w:numFmt w:val="lowerLetter"/>
      <w:lvlText w:val="%8."/>
      <w:lvlJc w:val="left"/>
      <w:pPr>
        <w:ind w:left="6114" w:hanging="360"/>
      </w:pPr>
    </w:lvl>
    <w:lvl w:ilvl="8" w:tplc="FFFFFFFF" w:tentative="1">
      <w:start w:val="1"/>
      <w:numFmt w:val="lowerRoman"/>
      <w:lvlText w:val="%9."/>
      <w:lvlJc w:val="right"/>
      <w:pPr>
        <w:ind w:left="6834" w:hanging="180"/>
      </w:pPr>
    </w:lvl>
  </w:abstractNum>
  <w:abstractNum w:abstractNumId="4" w15:restartNumberingAfterBreak="0">
    <w:nsid w:val="11C02E2B"/>
    <w:multiLevelType w:val="hybridMultilevel"/>
    <w:tmpl w:val="2FDC5004"/>
    <w:lvl w:ilvl="0" w:tplc="18B2B8DE">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69C0A47"/>
    <w:multiLevelType w:val="hybridMultilevel"/>
    <w:tmpl w:val="8FD67786"/>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DF156F3"/>
    <w:multiLevelType w:val="hybridMultilevel"/>
    <w:tmpl w:val="3B00F9AA"/>
    <w:lvl w:ilvl="0" w:tplc="8F727B42">
      <w:start w:val="1"/>
      <w:numFmt w:val="decimal"/>
      <w:lvlText w:val="%1."/>
      <w:lvlJc w:val="left"/>
      <w:pPr>
        <w:ind w:left="720" w:hanging="360"/>
      </w:pPr>
      <w:rPr>
        <w:rFonts w:ascii="Arial" w:hAnsi="Arial" w:cs="Arial" w:hint="default"/>
        <w:b/>
        <w:i w:val="0"/>
        <w:color w:val="auto"/>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03A1092"/>
    <w:multiLevelType w:val="hybridMultilevel"/>
    <w:tmpl w:val="BFC2E736"/>
    <w:lvl w:ilvl="0" w:tplc="AD841BAA">
      <w:start w:val="1"/>
      <w:numFmt w:val="decimal"/>
      <w:lvlText w:val="%1."/>
      <w:lvlJc w:val="left"/>
      <w:pPr>
        <w:ind w:left="1074" w:hanging="360"/>
      </w:pPr>
      <w:rPr>
        <w:rFonts w:ascii="Arial" w:eastAsiaTheme="minorEastAsia" w:hAnsi="Arial" w:cs="Arial"/>
        <w:b/>
        <w:bCs/>
      </w:rPr>
    </w:lvl>
    <w:lvl w:ilvl="1" w:tplc="080A0019" w:tentative="1">
      <w:start w:val="1"/>
      <w:numFmt w:val="lowerLetter"/>
      <w:lvlText w:val="%2."/>
      <w:lvlJc w:val="left"/>
      <w:pPr>
        <w:ind w:left="1794" w:hanging="360"/>
      </w:pPr>
    </w:lvl>
    <w:lvl w:ilvl="2" w:tplc="080A001B" w:tentative="1">
      <w:start w:val="1"/>
      <w:numFmt w:val="lowerRoman"/>
      <w:lvlText w:val="%3."/>
      <w:lvlJc w:val="right"/>
      <w:pPr>
        <w:ind w:left="2514" w:hanging="180"/>
      </w:pPr>
    </w:lvl>
    <w:lvl w:ilvl="3" w:tplc="080A000F" w:tentative="1">
      <w:start w:val="1"/>
      <w:numFmt w:val="decimal"/>
      <w:lvlText w:val="%4."/>
      <w:lvlJc w:val="left"/>
      <w:pPr>
        <w:ind w:left="3234" w:hanging="360"/>
      </w:pPr>
    </w:lvl>
    <w:lvl w:ilvl="4" w:tplc="080A0019" w:tentative="1">
      <w:start w:val="1"/>
      <w:numFmt w:val="lowerLetter"/>
      <w:lvlText w:val="%5."/>
      <w:lvlJc w:val="left"/>
      <w:pPr>
        <w:ind w:left="3954" w:hanging="360"/>
      </w:pPr>
    </w:lvl>
    <w:lvl w:ilvl="5" w:tplc="080A001B" w:tentative="1">
      <w:start w:val="1"/>
      <w:numFmt w:val="lowerRoman"/>
      <w:lvlText w:val="%6."/>
      <w:lvlJc w:val="right"/>
      <w:pPr>
        <w:ind w:left="4674" w:hanging="180"/>
      </w:pPr>
    </w:lvl>
    <w:lvl w:ilvl="6" w:tplc="080A000F" w:tentative="1">
      <w:start w:val="1"/>
      <w:numFmt w:val="decimal"/>
      <w:lvlText w:val="%7."/>
      <w:lvlJc w:val="left"/>
      <w:pPr>
        <w:ind w:left="5394" w:hanging="360"/>
      </w:pPr>
    </w:lvl>
    <w:lvl w:ilvl="7" w:tplc="080A0019" w:tentative="1">
      <w:start w:val="1"/>
      <w:numFmt w:val="lowerLetter"/>
      <w:lvlText w:val="%8."/>
      <w:lvlJc w:val="left"/>
      <w:pPr>
        <w:ind w:left="6114" w:hanging="360"/>
      </w:pPr>
    </w:lvl>
    <w:lvl w:ilvl="8" w:tplc="080A001B" w:tentative="1">
      <w:start w:val="1"/>
      <w:numFmt w:val="lowerRoman"/>
      <w:lvlText w:val="%9."/>
      <w:lvlJc w:val="right"/>
      <w:pPr>
        <w:ind w:left="6834" w:hanging="180"/>
      </w:pPr>
    </w:lvl>
  </w:abstractNum>
  <w:abstractNum w:abstractNumId="8" w15:restartNumberingAfterBreak="0">
    <w:nsid w:val="27546961"/>
    <w:multiLevelType w:val="hybridMultilevel"/>
    <w:tmpl w:val="BFC2E736"/>
    <w:lvl w:ilvl="0" w:tplc="AD841BAA">
      <w:start w:val="1"/>
      <w:numFmt w:val="decimal"/>
      <w:lvlText w:val="%1."/>
      <w:lvlJc w:val="left"/>
      <w:pPr>
        <w:ind w:left="1074" w:hanging="360"/>
      </w:pPr>
      <w:rPr>
        <w:rFonts w:ascii="Arial" w:eastAsiaTheme="minorEastAsia" w:hAnsi="Arial" w:cs="Arial"/>
        <w:b/>
        <w:bCs/>
      </w:rPr>
    </w:lvl>
    <w:lvl w:ilvl="1" w:tplc="080A0019" w:tentative="1">
      <w:start w:val="1"/>
      <w:numFmt w:val="lowerLetter"/>
      <w:lvlText w:val="%2."/>
      <w:lvlJc w:val="left"/>
      <w:pPr>
        <w:ind w:left="1794" w:hanging="360"/>
      </w:pPr>
    </w:lvl>
    <w:lvl w:ilvl="2" w:tplc="080A001B" w:tentative="1">
      <w:start w:val="1"/>
      <w:numFmt w:val="lowerRoman"/>
      <w:lvlText w:val="%3."/>
      <w:lvlJc w:val="right"/>
      <w:pPr>
        <w:ind w:left="2514" w:hanging="180"/>
      </w:pPr>
    </w:lvl>
    <w:lvl w:ilvl="3" w:tplc="080A000F" w:tentative="1">
      <w:start w:val="1"/>
      <w:numFmt w:val="decimal"/>
      <w:lvlText w:val="%4."/>
      <w:lvlJc w:val="left"/>
      <w:pPr>
        <w:ind w:left="3234" w:hanging="360"/>
      </w:pPr>
    </w:lvl>
    <w:lvl w:ilvl="4" w:tplc="080A0019" w:tentative="1">
      <w:start w:val="1"/>
      <w:numFmt w:val="lowerLetter"/>
      <w:lvlText w:val="%5."/>
      <w:lvlJc w:val="left"/>
      <w:pPr>
        <w:ind w:left="3954" w:hanging="360"/>
      </w:pPr>
    </w:lvl>
    <w:lvl w:ilvl="5" w:tplc="080A001B" w:tentative="1">
      <w:start w:val="1"/>
      <w:numFmt w:val="lowerRoman"/>
      <w:lvlText w:val="%6."/>
      <w:lvlJc w:val="right"/>
      <w:pPr>
        <w:ind w:left="4674" w:hanging="180"/>
      </w:pPr>
    </w:lvl>
    <w:lvl w:ilvl="6" w:tplc="080A000F" w:tentative="1">
      <w:start w:val="1"/>
      <w:numFmt w:val="decimal"/>
      <w:lvlText w:val="%7."/>
      <w:lvlJc w:val="left"/>
      <w:pPr>
        <w:ind w:left="5394" w:hanging="360"/>
      </w:pPr>
    </w:lvl>
    <w:lvl w:ilvl="7" w:tplc="080A0019" w:tentative="1">
      <w:start w:val="1"/>
      <w:numFmt w:val="lowerLetter"/>
      <w:lvlText w:val="%8."/>
      <w:lvlJc w:val="left"/>
      <w:pPr>
        <w:ind w:left="6114" w:hanging="360"/>
      </w:pPr>
    </w:lvl>
    <w:lvl w:ilvl="8" w:tplc="080A001B" w:tentative="1">
      <w:start w:val="1"/>
      <w:numFmt w:val="lowerRoman"/>
      <w:lvlText w:val="%9."/>
      <w:lvlJc w:val="right"/>
      <w:pPr>
        <w:ind w:left="6834" w:hanging="180"/>
      </w:pPr>
    </w:lvl>
  </w:abstractNum>
  <w:abstractNum w:abstractNumId="9" w15:restartNumberingAfterBreak="0">
    <w:nsid w:val="28724ED6"/>
    <w:multiLevelType w:val="hybridMultilevel"/>
    <w:tmpl w:val="A1AE0E9C"/>
    <w:lvl w:ilvl="0" w:tplc="080A0017">
      <w:start w:val="1"/>
      <w:numFmt w:val="lowerLetter"/>
      <w:lvlText w:val="%1)"/>
      <w:lvlJc w:val="left"/>
      <w:pPr>
        <w:ind w:left="720" w:hanging="360"/>
      </w:pPr>
      <w:rPr>
        <w:rFonts w:hint="default"/>
      </w:rPr>
    </w:lvl>
    <w:lvl w:ilvl="1" w:tplc="ECAE4D64">
      <w:start w:val="1"/>
      <w:numFmt w:val="decimal"/>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0BB22D8"/>
    <w:multiLevelType w:val="hybridMultilevel"/>
    <w:tmpl w:val="ED243722"/>
    <w:lvl w:ilvl="0" w:tplc="6254CEBE">
      <w:start w:val="1"/>
      <w:numFmt w:val="decimal"/>
      <w:lvlText w:val="%1."/>
      <w:lvlJc w:val="left"/>
      <w:pPr>
        <w:ind w:left="720" w:hanging="360"/>
      </w:pPr>
      <w:rPr>
        <w:rFonts w:hint="default"/>
        <w:b/>
        <w:bC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1A3709A"/>
    <w:multiLevelType w:val="hybridMultilevel"/>
    <w:tmpl w:val="1E0E7C04"/>
    <w:lvl w:ilvl="0" w:tplc="89D8C06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3770EB4"/>
    <w:multiLevelType w:val="hybridMultilevel"/>
    <w:tmpl w:val="874E50B4"/>
    <w:lvl w:ilvl="0" w:tplc="AA3E835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54544F4"/>
    <w:multiLevelType w:val="hybridMultilevel"/>
    <w:tmpl w:val="EAEA9494"/>
    <w:lvl w:ilvl="0" w:tplc="080A0017">
      <w:start w:val="1"/>
      <w:numFmt w:val="lowerLetter"/>
      <w:lvlText w:val="%1)"/>
      <w:lvlJc w:val="left"/>
      <w:pPr>
        <w:ind w:left="360" w:hanging="360"/>
      </w:pPr>
      <w:rPr>
        <w:rFonts w:hint="default"/>
        <w:b/>
        <w:b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35721823"/>
    <w:multiLevelType w:val="hybridMultilevel"/>
    <w:tmpl w:val="7ACC60E0"/>
    <w:lvl w:ilvl="0" w:tplc="C694D140">
      <w:start w:val="1"/>
      <w:numFmt w:val="upperLetter"/>
      <w:lvlText w:val="%1)"/>
      <w:lvlJc w:val="left"/>
      <w:pPr>
        <w:ind w:left="486" w:hanging="375"/>
        <w:jc w:val="right"/>
      </w:pPr>
      <w:rPr>
        <w:rFonts w:ascii="Arial" w:eastAsia="Arial" w:hAnsi="Arial" w:cs="Arial" w:hint="default"/>
        <w:b/>
        <w:bCs/>
        <w:spacing w:val="-2"/>
        <w:w w:val="100"/>
        <w:sz w:val="28"/>
        <w:szCs w:val="28"/>
        <w:lang w:val="es-ES" w:eastAsia="en-US" w:bidi="ar-SA"/>
      </w:rPr>
    </w:lvl>
    <w:lvl w:ilvl="1" w:tplc="0BAAD96E">
      <w:start w:val="1"/>
      <w:numFmt w:val="decimal"/>
      <w:lvlText w:val="%2."/>
      <w:lvlJc w:val="left"/>
      <w:pPr>
        <w:ind w:left="2534" w:hanging="360"/>
        <w:jc w:val="right"/>
      </w:pPr>
      <w:rPr>
        <w:rFonts w:ascii="Arial MT" w:eastAsia="Arial MT" w:hAnsi="Arial MT" w:cs="Arial MT" w:hint="default"/>
        <w:spacing w:val="-1"/>
        <w:w w:val="100"/>
        <w:sz w:val="28"/>
        <w:szCs w:val="28"/>
        <w:lang w:val="es-ES" w:eastAsia="en-US" w:bidi="ar-SA"/>
      </w:rPr>
    </w:lvl>
    <w:lvl w:ilvl="2" w:tplc="0D00177C">
      <w:numFmt w:val="bullet"/>
      <w:lvlText w:val="•"/>
      <w:lvlJc w:val="left"/>
      <w:pPr>
        <w:ind w:left="2540" w:hanging="360"/>
      </w:pPr>
      <w:rPr>
        <w:rFonts w:hint="default"/>
        <w:lang w:val="es-ES" w:eastAsia="en-US" w:bidi="ar-SA"/>
      </w:rPr>
    </w:lvl>
    <w:lvl w:ilvl="3" w:tplc="38A223C2">
      <w:numFmt w:val="bullet"/>
      <w:lvlText w:val="•"/>
      <w:lvlJc w:val="left"/>
      <w:pPr>
        <w:ind w:left="3497" w:hanging="360"/>
      </w:pPr>
      <w:rPr>
        <w:rFonts w:hint="default"/>
        <w:lang w:val="es-ES" w:eastAsia="en-US" w:bidi="ar-SA"/>
      </w:rPr>
    </w:lvl>
    <w:lvl w:ilvl="4" w:tplc="138AE22C">
      <w:numFmt w:val="bullet"/>
      <w:lvlText w:val="•"/>
      <w:lvlJc w:val="left"/>
      <w:pPr>
        <w:ind w:left="4455" w:hanging="360"/>
      </w:pPr>
      <w:rPr>
        <w:rFonts w:hint="default"/>
        <w:lang w:val="es-ES" w:eastAsia="en-US" w:bidi="ar-SA"/>
      </w:rPr>
    </w:lvl>
    <w:lvl w:ilvl="5" w:tplc="38EE4D6C">
      <w:numFmt w:val="bullet"/>
      <w:lvlText w:val="•"/>
      <w:lvlJc w:val="left"/>
      <w:pPr>
        <w:ind w:left="5413" w:hanging="360"/>
      </w:pPr>
      <w:rPr>
        <w:rFonts w:hint="default"/>
        <w:lang w:val="es-ES" w:eastAsia="en-US" w:bidi="ar-SA"/>
      </w:rPr>
    </w:lvl>
    <w:lvl w:ilvl="6" w:tplc="B80EA89A">
      <w:numFmt w:val="bullet"/>
      <w:lvlText w:val="•"/>
      <w:lvlJc w:val="left"/>
      <w:pPr>
        <w:ind w:left="6371" w:hanging="360"/>
      </w:pPr>
      <w:rPr>
        <w:rFonts w:hint="default"/>
        <w:lang w:val="es-ES" w:eastAsia="en-US" w:bidi="ar-SA"/>
      </w:rPr>
    </w:lvl>
    <w:lvl w:ilvl="7" w:tplc="C4D6D574">
      <w:numFmt w:val="bullet"/>
      <w:lvlText w:val="•"/>
      <w:lvlJc w:val="left"/>
      <w:pPr>
        <w:ind w:left="7329" w:hanging="360"/>
      </w:pPr>
      <w:rPr>
        <w:rFonts w:hint="default"/>
        <w:lang w:val="es-ES" w:eastAsia="en-US" w:bidi="ar-SA"/>
      </w:rPr>
    </w:lvl>
    <w:lvl w:ilvl="8" w:tplc="66648C78">
      <w:numFmt w:val="bullet"/>
      <w:lvlText w:val="•"/>
      <w:lvlJc w:val="left"/>
      <w:pPr>
        <w:ind w:left="8286" w:hanging="360"/>
      </w:pPr>
      <w:rPr>
        <w:rFonts w:hint="default"/>
        <w:lang w:val="es-ES" w:eastAsia="en-US" w:bidi="ar-SA"/>
      </w:rPr>
    </w:lvl>
  </w:abstractNum>
  <w:abstractNum w:abstractNumId="15" w15:restartNumberingAfterBreak="0">
    <w:nsid w:val="3EB84DAE"/>
    <w:multiLevelType w:val="hybridMultilevel"/>
    <w:tmpl w:val="15245A68"/>
    <w:lvl w:ilvl="0" w:tplc="FFFFFFFF">
      <w:start w:val="1"/>
      <w:numFmt w:val="decimal"/>
      <w:lvlText w:val="%1."/>
      <w:lvlJc w:val="left"/>
      <w:pPr>
        <w:ind w:left="360" w:hanging="360"/>
      </w:pPr>
      <w:rPr>
        <w:rFonts w:hint="default"/>
        <w:b/>
        <w:b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40E26891"/>
    <w:multiLevelType w:val="hybridMultilevel"/>
    <w:tmpl w:val="8FD67786"/>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0E41DFB"/>
    <w:multiLevelType w:val="hybridMultilevel"/>
    <w:tmpl w:val="BFC2E736"/>
    <w:lvl w:ilvl="0" w:tplc="AD841BAA">
      <w:start w:val="1"/>
      <w:numFmt w:val="decimal"/>
      <w:lvlText w:val="%1."/>
      <w:lvlJc w:val="left"/>
      <w:pPr>
        <w:ind w:left="1074" w:hanging="360"/>
      </w:pPr>
      <w:rPr>
        <w:rFonts w:ascii="Arial" w:eastAsiaTheme="minorEastAsia" w:hAnsi="Arial" w:cs="Arial"/>
        <w:b/>
        <w:bCs/>
      </w:rPr>
    </w:lvl>
    <w:lvl w:ilvl="1" w:tplc="080A0019" w:tentative="1">
      <w:start w:val="1"/>
      <w:numFmt w:val="lowerLetter"/>
      <w:lvlText w:val="%2."/>
      <w:lvlJc w:val="left"/>
      <w:pPr>
        <w:ind w:left="1794" w:hanging="360"/>
      </w:pPr>
    </w:lvl>
    <w:lvl w:ilvl="2" w:tplc="080A001B" w:tentative="1">
      <w:start w:val="1"/>
      <w:numFmt w:val="lowerRoman"/>
      <w:lvlText w:val="%3."/>
      <w:lvlJc w:val="right"/>
      <w:pPr>
        <w:ind w:left="2514" w:hanging="180"/>
      </w:pPr>
    </w:lvl>
    <w:lvl w:ilvl="3" w:tplc="080A000F" w:tentative="1">
      <w:start w:val="1"/>
      <w:numFmt w:val="decimal"/>
      <w:lvlText w:val="%4."/>
      <w:lvlJc w:val="left"/>
      <w:pPr>
        <w:ind w:left="3234" w:hanging="360"/>
      </w:pPr>
    </w:lvl>
    <w:lvl w:ilvl="4" w:tplc="080A0019" w:tentative="1">
      <w:start w:val="1"/>
      <w:numFmt w:val="lowerLetter"/>
      <w:lvlText w:val="%5."/>
      <w:lvlJc w:val="left"/>
      <w:pPr>
        <w:ind w:left="3954" w:hanging="360"/>
      </w:pPr>
    </w:lvl>
    <w:lvl w:ilvl="5" w:tplc="080A001B" w:tentative="1">
      <w:start w:val="1"/>
      <w:numFmt w:val="lowerRoman"/>
      <w:lvlText w:val="%6."/>
      <w:lvlJc w:val="right"/>
      <w:pPr>
        <w:ind w:left="4674" w:hanging="180"/>
      </w:pPr>
    </w:lvl>
    <w:lvl w:ilvl="6" w:tplc="080A000F" w:tentative="1">
      <w:start w:val="1"/>
      <w:numFmt w:val="decimal"/>
      <w:lvlText w:val="%7."/>
      <w:lvlJc w:val="left"/>
      <w:pPr>
        <w:ind w:left="5394" w:hanging="360"/>
      </w:pPr>
    </w:lvl>
    <w:lvl w:ilvl="7" w:tplc="080A0019" w:tentative="1">
      <w:start w:val="1"/>
      <w:numFmt w:val="lowerLetter"/>
      <w:lvlText w:val="%8."/>
      <w:lvlJc w:val="left"/>
      <w:pPr>
        <w:ind w:left="6114" w:hanging="360"/>
      </w:pPr>
    </w:lvl>
    <w:lvl w:ilvl="8" w:tplc="080A001B" w:tentative="1">
      <w:start w:val="1"/>
      <w:numFmt w:val="lowerRoman"/>
      <w:lvlText w:val="%9."/>
      <w:lvlJc w:val="right"/>
      <w:pPr>
        <w:ind w:left="6834" w:hanging="180"/>
      </w:pPr>
    </w:lvl>
  </w:abstractNum>
  <w:abstractNum w:abstractNumId="18" w15:restartNumberingAfterBreak="0">
    <w:nsid w:val="42F61DCF"/>
    <w:multiLevelType w:val="hybridMultilevel"/>
    <w:tmpl w:val="C9DA5706"/>
    <w:lvl w:ilvl="0" w:tplc="618E1E68">
      <w:start w:val="7"/>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9" w15:restartNumberingAfterBreak="0">
    <w:nsid w:val="442B59E1"/>
    <w:multiLevelType w:val="hybridMultilevel"/>
    <w:tmpl w:val="0548F07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64C0502"/>
    <w:multiLevelType w:val="hybridMultilevel"/>
    <w:tmpl w:val="8F96FE6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6FB5B4B"/>
    <w:multiLevelType w:val="hybridMultilevel"/>
    <w:tmpl w:val="9D4839B6"/>
    <w:lvl w:ilvl="0" w:tplc="080A000B">
      <w:start w:val="1"/>
      <w:numFmt w:val="bullet"/>
      <w:lvlText w:val=""/>
      <w:lvlJc w:val="left"/>
      <w:pPr>
        <w:ind w:left="720" w:hanging="360"/>
      </w:pPr>
      <w:rPr>
        <w:rFonts w:ascii="Wingdings" w:hAnsi="Wingding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70E14DB"/>
    <w:multiLevelType w:val="hybridMultilevel"/>
    <w:tmpl w:val="7D4C5E8E"/>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74E50D3"/>
    <w:multiLevelType w:val="hybridMultilevel"/>
    <w:tmpl w:val="407C5D2C"/>
    <w:lvl w:ilvl="0" w:tplc="E51AD368">
      <w:start w:val="1"/>
      <w:numFmt w:val="decimal"/>
      <w:lvlText w:val="%1."/>
      <w:lvlJc w:val="left"/>
      <w:pPr>
        <w:ind w:left="786" w:hanging="360"/>
      </w:pPr>
      <w:rPr>
        <w:rFonts w:hint="default"/>
        <w:b/>
        <w:bCs/>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4" w15:restartNumberingAfterBreak="0">
    <w:nsid w:val="4F9421F0"/>
    <w:multiLevelType w:val="hybridMultilevel"/>
    <w:tmpl w:val="074C43A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5A44D05"/>
    <w:multiLevelType w:val="hybridMultilevel"/>
    <w:tmpl w:val="89840BEE"/>
    <w:lvl w:ilvl="0" w:tplc="C8B671A0">
      <w:start w:val="8"/>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6" w15:restartNumberingAfterBreak="0">
    <w:nsid w:val="55A60BF7"/>
    <w:multiLevelType w:val="hybridMultilevel"/>
    <w:tmpl w:val="5D52A2D6"/>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6890B78"/>
    <w:multiLevelType w:val="hybridMultilevel"/>
    <w:tmpl w:val="64080D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6A715F4"/>
    <w:multiLevelType w:val="hybridMultilevel"/>
    <w:tmpl w:val="8FD67786"/>
    <w:lvl w:ilvl="0" w:tplc="C0B2EE16">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D781926"/>
    <w:multiLevelType w:val="hybridMultilevel"/>
    <w:tmpl w:val="10DE97C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62953B1A"/>
    <w:multiLevelType w:val="hybridMultilevel"/>
    <w:tmpl w:val="82B00C9A"/>
    <w:lvl w:ilvl="0" w:tplc="F25C6E46">
      <w:start w:val="1"/>
      <w:numFmt w:val="lowerLetter"/>
      <w:lvlText w:val="%1)"/>
      <w:lvlJc w:val="left"/>
      <w:pPr>
        <w:ind w:left="1074" w:hanging="360"/>
      </w:pPr>
      <w:rPr>
        <w:rFonts w:ascii="Arial" w:eastAsiaTheme="minorEastAsia" w:hAnsi="Arial" w:cs="Arial"/>
        <w:b/>
        <w:bCs/>
      </w:rPr>
    </w:lvl>
    <w:lvl w:ilvl="1" w:tplc="080A0019" w:tentative="1">
      <w:start w:val="1"/>
      <w:numFmt w:val="lowerLetter"/>
      <w:lvlText w:val="%2."/>
      <w:lvlJc w:val="left"/>
      <w:pPr>
        <w:ind w:left="1794" w:hanging="360"/>
      </w:pPr>
    </w:lvl>
    <w:lvl w:ilvl="2" w:tplc="080A001B" w:tentative="1">
      <w:start w:val="1"/>
      <w:numFmt w:val="lowerRoman"/>
      <w:lvlText w:val="%3."/>
      <w:lvlJc w:val="right"/>
      <w:pPr>
        <w:ind w:left="2514" w:hanging="180"/>
      </w:pPr>
    </w:lvl>
    <w:lvl w:ilvl="3" w:tplc="080A000F" w:tentative="1">
      <w:start w:val="1"/>
      <w:numFmt w:val="decimal"/>
      <w:lvlText w:val="%4."/>
      <w:lvlJc w:val="left"/>
      <w:pPr>
        <w:ind w:left="3234" w:hanging="360"/>
      </w:pPr>
    </w:lvl>
    <w:lvl w:ilvl="4" w:tplc="080A0019" w:tentative="1">
      <w:start w:val="1"/>
      <w:numFmt w:val="lowerLetter"/>
      <w:lvlText w:val="%5."/>
      <w:lvlJc w:val="left"/>
      <w:pPr>
        <w:ind w:left="3954" w:hanging="360"/>
      </w:pPr>
    </w:lvl>
    <w:lvl w:ilvl="5" w:tplc="080A001B" w:tentative="1">
      <w:start w:val="1"/>
      <w:numFmt w:val="lowerRoman"/>
      <w:lvlText w:val="%6."/>
      <w:lvlJc w:val="right"/>
      <w:pPr>
        <w:ind w:left="4674" w:hanging="180"/>
      </w:pPr>
    </w:lvl>
    <w:lvl w:ilvl="6" w:tplc="080A000F" w:tentative="1">
      <w:start w:val="1"/>
      <w:numFmt w:val="decimal"/>
      <w:lvlText w:val="%7."/>
      <w:lvlJc w:val="left"/>
      <w:pPr>
        <w:ind w:left="5394" w:hanging="360"/>
      </w:pPr>
    </w:lvl>
    <w:lvl w:ilvl="7" w:tplc="080A0019" w:tentative="1">
      <w:start w:val="1"/>
      <w:numFmt w:val="lowerLetter"/>
      <w:lvlText w:val="%8."/>
      <w:lvlJc w:val="left"/>
      <w:pPr>
        <w:ind w:left="6114" w:hanging="360"/>
      </w:pPr>
    </w:lvl>
    <w:lvl w:ilvl="8" w:tplc="080A001B" w:tentative="1">
      <w:start w:val="1"/>
      <w:numFmt w:val="lowerRoman"/>
      <w:lvlText w:val="%9."/>
      <w:lvlJc w:val="right"/>
      <w:pPr>
        <w:ind w:left="6834" w:hanging="180"/>
      </w:pPr>
    </w:lvl>
  </w:abstractNum>
  <w:abstractNum w:abstractNumId="31" w15:restartNumberingAfterBreak="0">
    <w:nsid w:val="637F5377"/>
    <w:multiLevelType w:val="hybridMultilevel"/>
    <w:tmpl w:val="60449F94"/>
    <w:lvl w:ilvl="0" w:tplc="1898DB58">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2" w15:restartNumberingAfterBreak="0">
    <w:nsid w:val="64916489"/>
    <w:multiLevelType w:val="hybridMultilevel"/>
    <w:tmpl w:val="6A1AC2F4"/>
    <w:lvl w:ilvl="0" w:tplc="080A000D">
      <w:start w:val="1"/>
      <w:numFmt w:val="bullet"/>
      <w:lvlText w:val=""/>
      <w:lvlJc w:val="left"/>
      <w:pPr>
        <w:ind w:left="720" w:hanging="360"/>
      </w:pPr>
      <w:rPr>
        <w:rFonts w:ascii="Wingdings" w:hAnsi="Wingding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7574D90"/>
    <w:multiLevelType w:val="hybridMultilevel"/>
    <w:tmpl w:val="92902EE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8351307"/>
    <w:multiLevelType w:val="hybridMultilevel"/>
    <w:tmpl w:val="95D0B37E"/>
    <w:lvl w:ilvl="0" w:tplc="DDD4B2C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9C56AE2"/>
    <w:multiLevelType w:val="multilevel"/>
    <w:tmpl w:val="7514FA5A"/>
    <w:lvl w:ilvl="0">
      <w:start w:val="3"/>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6" w15:restartNumberingAfterBreak="0">
    <w:nsid w:val="6ABD1434"/>
    <w:multiLevelType w:val="hybridMultilevel"/>
    <w:tmpl w:val="8FD67786"/>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B376D3F"/>
    <w:multiLevelType w:val="hybridMultilevel"/>
    <w:tmpl w:val="A6E8B4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76783387"/>
    <w:multiLevelType w:val="hybridMultilevel"/>
    <w:tmpl w:val="8FD67786"/>
    <w:lvl w:ilvl="0" w:tplc="C0B2EE16">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402678375">
    <w:abstractNumId w:val="12"/>
  </w:num>
  <w:num w:numId="2" w16cid:durableId="1978294534">
    <w:abstractNumId w:val="23"/>
  </w:num>
  <w:num w:numId="3" w16cid:durableId="1273633206">
    <w:abstractNumId w:val="18"/>
  </w:num>
  <w:num w:numId="4" w16cid:durableId="1630626494">
    <w:abstractNumId w:val="37"/>
  </w:num>
  <w:num w:numId="5" w16cid:durableId="344289537">
    <w:abstractNumId w:val="10"/>
  </w:num>
  <w:num w:numId="6" w16cid:durableId="367876068">
    <w:abstractNumId w:val="9"/>
  </w:num>
  <w:num w:numId="7" w16cid:durableId="348222395">
    <w:abstractNumId w:val="15"/>
  </w:num>
  <w:num w:numId="8" w16cid:durableId="2048482897">
    <w:abstractNumId w:val="13"/>
  </w:num>
  <w:num w:numId="9" w16cid:durableId="1563129539">
    <w:abstractNumId w:val="27"/>
  </w:num>
  <w:num w:numId="10" w16cid:durableId="418841740">
    <w:abstractNumId w:val="6"/>
  </w:num>
  <w:num w:numId="11" w16cid:durableId="1169639883">
    <w:abstractNumId w:val="28"/>
  </w:num>
  <w:num w:numId="12" w16cid:durableId="1755662305">
    <w:abstractNumId w:val="26"/>
  </w:num>
  <w:num w:numId="13" w16cid:durableId="110785890">
    <w:abstractNumId w:val="36"/>
  </w:num>
  <w:num w:numId="14" w16cid:durableId="2000577061">
    <w:abstractNumId w:val="0"/>
  </w:num>
  <w:num w:numId="15" w16cid:durableId="353042539">
    <w:abstractNumId w:val="22"/>
  </w:num>
  <w:num w:numId="16" w16cid:durableId="1758818738">
    <w:abstractNumId w:val="16"/>
  </w:num>
  <w:num w:numId="17" w16cid:durableId="1594893702">
    <w:abstractNumId w:val="20"/>
  </w:num>
  <w:num w:numId="18" w16cid:durableId="1977251388">
    <w:abstractNumId w:val="35"/>
  </w:num>
  <w:num w:numId="19" w16cid:durableId="274824617">
    <w:abstractNumId w:val="2"/>
  </w:num>
  <w:num w:numId="20" w16cid:durableId="777024283">
    <w:abstractNumId w:val="11"/>
  </w:num>
  <w:num w:numId="21" w16cid:durableId="1627616312">
    <w:abstractNumId w:val="34"/>
  </w:num>
  <w:num w:numId="22" w16cid:durableId="1715809060">
    <w:abstractNumId w:val="29"/>
  </w:num>
  <w:num w:numId="23" w16cid:durableId="1743915174">
    <w:abstractNumId w:val="5"/>
  </w:num>
  <w:num w:numId="24" w16cid:durableId="1580364822">
    <w:abstractNumId w:val="24"/>
  </w:num>
  <w:num w:numId="25" w16cid:durableId="393625015">
    <w:abstractNumId w:val="38"/>
  </w:num>
  <w:num w:numId="26" w16cid:durableId="1058865709">
    <w:abstractNumId w:val="8"/>
  </w:num>
  <w:num w:numId="27" w16cid:durableId="69087027">
    <w:abstractNumId w:val="25"/>
  </w:num>
  <w:num w:numId="28" w16cid:durableId="991376379">
    <w:abstractNumId w:val="1"/>
  </w:num>
  <w:num w:numId="29" w16cid:durableId="1933202993">
    <w:abstractNumId w:val="31"/>
  </w:num>
  <w:num w:numId="30" w16cid:durableId="9540258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2060477060">
    <w:abstractNumId w:val="4"/>
  </w:num>
  <w:num w:numId="32" w16cid:durableId="1747336626">
    <w:abstractNumId w:val="32"/>
  </w:num>
  <w:num w:numId="33" w16cid:durableId="1792243807">
    <w:abstractNumId w:val="21"/>
  </w:num>
  <w:num w:numId="34" w16cid:durableId="526480199">
    <w:abstractNumId w:val="30"/>
  </w:num>
  <w:num w:numId="35" w16cid:durableId="62995357">
    <w:abstractNumId w:val="7"/>
  </w:num>
  <w:num w:numId="36" w16cid:durableId="1256402480">
    <w:abstractNumId w:val="17"/>
  </w:num>
  <w:num w:numId="37" w16cid:durableId="62795076">
    <w:abstractNumId w:val="19"/>
  </w:num>
  <w:num w:numId="38" w16cid:durableId="347489596">
    <w:abstractNumId w:val="3"/>
  </w:num>
  <w:num w:numId="39" w16cid:durableId="1239051625">
    <w:abstractNumId w:val="14"/>
  </w:num>
  <w:num w:numId="40" w16cid:durableId="445079088">
    <w:abstractNumId w:val="3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E58"/>
    <w:rsid w:val="000D1E58"/>
    <w:rsid w:val="000E3C05"/>
    <w:rsid w:val="00121FBD"/>
    <w:rsid w:val="00145301"/>
    <w:rsid w:val="00186568"/>
    <w:rsid w:val="001B50A5"/>
    <w:rsid w:val="001D4798"/>
    <w:rsid w:val="00242F0F"/>
    <w:rsid w:val="0024365E"/>
    <w:rsid w:val="00305AB2"/>
    <w:rsid w:val="003113C7"/>
    <w:rsid w:val="00366D22"/>
    <w:rsid w:val="003C362A"/>
    <w:rsid w:val="00432D9B"/>
    <w:rsid w:val="00453350"/>
    <w:rsid w:val="00461354"/>
    <w:rsid w:val="004645E2"/>
    <w:rsid w:val="00473CE9"/>
    <w:rsid w:val="00492D58"/>
    <w:rsid w:val="00545C03"/>
    <w:rsid w:val="00557824"/>
    <w:rsid w:val="00566B86"/>
    <w:rsid w:val="00573A0D"/>
    <w:rsid w:val="005C20D9"/>
    <w:rsid w:val="005D3A9B"/>
    <w:rsid w:val="00614C07"/>
    <w:rsid w:val="00692B07"/>
    <w:rsid w:val="0076561B"/>
    <w:rsid w:val="00815613"/>
    <w:rsid w:val="00820ABF"/>
    <w:rsid w:val="008613FF"/>
    <w:rsid w:val="0087063E"/>
    <w:rsid w:val="00877A2B"/>
    <w:rsid w:val="008B4ACE"/>
    <w:rsid w:val="008D784F"/>
    <w:rsid w:val="008E43C8"/>
    <w:rsid w:val="008E6203"/>
    <w:rsid w:val="009B0CFC"/>
    <w:rsid w:val="009B6DEE"/>
    <w:rsid w:val="009B745D"/>
    <w:rsid w:val="009E1DF3"/>
    <w:rsid w:val="00A15CBF"/>
    <w:rsid w:val="00A247B3"/>
    <w:rsid w:val="00A628EE"/>
    <w:rsid w:val="00A67FDF"/>
    <w:rsid w:val="00A91E0B"/>
    <w:rsid w:val="00A937BF"/>
    <w:rsid w:val="00AA46B5"/>
    <w:rsid w:val="00AD2A38"/>
    <w:rsid w:val="00AF5BDD"/>
    <w:rsid w:val="00B43304"/>
    <w:rsid w:val="00B4387D"/>
    <w:rsid w:val="00B73A1E"/>
    <w:rsid w:val="00BB03FE"/>
    <w:rsid w:val="00BC124D"/>
    <w:rsid w:val="00BD7464"/>
    <w:rsid w:val="00C13644"/>
    <w:rsid w:val="00C20927"/>
    <w:rsid w:val="00C3368D"/>
    <w:rsid w:val="00C7063A"/>
    <w:rsid w:val="00C91CB1"/>
    <w:rsid w:val="00CC3B26"/>
    <w:rsid w:val="00CC4C96"/>
    <w:rsid w:val="00CE4C39"/>
    <w:rsid w:val="00D12B8E"/>
    <w:rsid w:val="00D5624A"/>
    <w:rsid w:val="00DF1E4E"/>
    <w:rsid w:val="00DF74B0"/>
    <w:rsid w:val="00E16D3D"/>
    <w:rsid w:val="00E43423"/>
    <w:rsid w:val="00EB04FF"/>
    <w:rsid w:val="00EB375F"/>
    <w:rsid w:val="00ED6CA9"/>
    <w:rsid w:val="00EF0BAA"/>
    <w:rsid w:val="00F03CE8"/>
    <w:rsid w:val="00F12139"/>
    <w:rsid w:val="00F224F9"/>
    <w:rsid w:val="00F36250"/>
    <w:rsid w:val="00F5016F"/>
    <w:rsid w:val="00FC42CB"/>
    <w:rsid w:val="00FD6F3F"/>
    <w:rsid w:val="00FE7DF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583617"/>
  <w15:docId w15:val="{181F9C8F-B342-4512-86E8-F8630F5BA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s-MX"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Ttulo2">
    <w:name w:val="heading 2"/>
    <w:basedOn w:val="Normal"/>
    <w:next w:val="Normal"/>
    <w:link w:val="Ttulo2Car"/>
    <w:uiPriority w:val="9"/>
    <w:unhideWhenUsed/>
    <w:qFormat/>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Ttulo3">
    <w:name w:val="heading 3"/>
    <w:basedOn w:val="Normal"/>
    <w:next w:val="Normal"/>
    <w:link w:val="Ttulo3Car"/>
    <w:uiPriority w:val="9"/>
    <w:semiHidden/>
    <w:unhideWhenUsed/>
    <w:qFormat/>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Ttulo4">
    <w:name w:val="heading 4"/>
    <w:basedOn w:val="Normal"/>
    <w:next w:val="Normal"/>
    <w:link w:val="Ttulo4Car"/>
    <w:uiPriority w:val="9"/>
    <w:semiHidden/>
    <w:unhideWhenUsed/>
    <w:qFormat/>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Ttulo5">
    <w:name w:val="heading 5"/>
    <w:basedOn w:val="Normal"/>
    <w:next w:val="Normal"/>
    <w:link w:val="Ttulo5Car"/>
    <w:uiPriority w:val="9"/>
    <w:semiHidden/>
    <w:unhideWhenUsed/>
    <w:qFormat/>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Ttulo6">
    <w:name w:val="heading 6"/>
    <w:basedOn w:val="Normal"/>
    <w:next w:val="Normal"/>
    <w:link w:val="Ttulo6Car"/>
    <w:uiPriority w:val="9"/>
    <w:semiHidden/>
    <w:unhideWhenUsed/>
    <w:qFormat/>
    <w:pPr>
      <w:keepNext/>
      <w:keepLines/>
      <w:spacing w:before="40" w:after="0"/>
      <w:outlineLvl w:val="5"/>
    </w:pPr>
    <w:rPr>
      <w:rFonts w:asciiTheme="majorHAnsi" w:eastAsiaTheme="majorEastAsia" w:hAnsiTheme="majorHAnsi" w:cstheme="majorBidi"/>
      <w:color w:val="70AD47" w:themeColor="accent6"/>
    </w:rPr>
  </w:style>
  <w:style w:type="paragraph" w:styleId="Ttulo7">
    <w:name w:val="heading 7"/>
    <w:basedOn w:val="Normal"/>
    <w:next w:val="Normal"/>
    <w:link w:val="Ttulo7Car"/>
    <w:uiPriority w:val="9"/>
    <w:semiHidden/>
    <w:unhideWhenUsed/>
    <w:qFormat/>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
    <w:basedOn w:val="Normal"/>
    <w:link w:val="PrrafodelistaCar"/>
    <w:uiPriority w:val="1"/>
    <w:qFormat/>
    <w:pPr>
      <w:ind w:left="720"/>
      <w:contextualSpacing/>
    </w:pPr>
  </w:style>
  <w:style w:type="paragraph" w:styleId="Encabezado">
    <w:name w:val="header"/>
    <w:basedOn w:val="Normal"/>
    <w:link w:val="EncabezadoCar"/>
    <w:uiPriority w:val="99"/>
    <w:unhideWhenUsed/>
    <w:pPr>
      <w:tabs>
        <w:tab w:val="center" w:pos="4419"/>
        <w:tab w:val="right" w:pos="8838"/>
      </w:tabs>
    </w:pPr>
  </w:style>
  <w:style w:type="character" w:customStyle="1" w:styleId="EncabezadoCar">
    <w:name w:val="Encabezado Car"/>
    <w:basedOn w:val="Fuentedeprrafopredeter"/>
    <w:link w:val="Encabezado"/>
    <w:uiPriority w:val="99"/>
    <w:rPr>
      <w:rFonts w:ascii="Calibri" w:eastAsia="Calibri" w:hAnsi="Calibri" w:cs="Times New Roman"/>
    </w:rPr>
  </w:style>
  <w:style w:type="paragraph" w:styleId="Piedepgina">
    <w:name w:val="footer"/>
    <w:basedOn w:val="Normal"/>
    <w:link w:val="PiedepginaCar"/>
    <w:uiPriority w:val="99"/>
    <w:unhideWhenUsed/>
    <w:pPr>
      <w:tabs>
        <w:tab w:val="center" w:pos="4419"/>
        <w:tab w:val="right" w:pos="8838"/>
      </w:tabs>
    </w:pPr>
  </w:style>
  <w:style w:type="character" w:customStyle="1" w:styleId="PiedepginaCar">
    <w:name w:val="Pie de página Car"/>
    <w:basedOn w:val="Fuentedeprrafopredeter"/>
    <w:link w:val="Piedepgina"/>
    <w:uiPriority w:val="99"/>
    <w:rPr>
      <w:rFonts w:ascii="Calibri" w:eastAsia="Calibri" w:hAnsi="Calibri" w:cs="Times New Roman"/>
    </w:rPr>
  </w:style>
  <w:style w:type="table" w:styleId="Tablaconcuadrcula">
    <w:name w:val="Table Grid"/>
    <w:basedOn w:val="Tablanormal"/>
    <w:uiPriority w:val="3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Pr>
      <w:rFonts w:ascii="Times New Roman" w:eastAsia="Times New Roman" w:hAnsi="Times New Roman" w:cs="Times New Roman"/>
      <w:sz w:val="24"/>
      <w:szCs w:val="24"/>
      <w:lang w:eastAsia="es-MX"/>
    </w:rPr>
  </w:style>
  <w:style w:type="character" w:customStyle="1" w:styleId="Ttulo1Car">
    <w:name w:val="Título 1 Car"/>
    <w:basedOn w:val="Fuentedeprrafopredeter"/>
    <w:link w:val="Ttulo1"/>
    <w:uiPriority w:val="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link w:val="Ttulo2"/>
    <w:uiPriority w:val="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link w:val="Ttulo3"/>
    <w:uiPriority w:val="9"/>
    <w:semiHidden/>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link w:val="Ttulo4"/>
    <w:uiPriority w:val="9"/>
    <w:semiHidden/>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link w:val="Ttulo5"/>
    <w:uiPriority w:val="9"/>
    <w:semiHidden/>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link w:val="Ttulo6"/>
    <w:uiPriority w:val="9"/>
    <w:semiHidden/>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pPr>
      <w:spacing w:line="240" w:lineRule="auto"/>
    </w:pPr>
    <w:rPr>
      <w:b/>
      <w:bCs/>
      <w:smallCaps/>
      <w:color w:val="595959" w:themeColor="text1" w:themeTint="A6"/>
    </w:rPr>
  </w:style>
  <w:style w:type="paragraph" w:styleId="Ttulo">
    <w:name w:val="Title"/>
    <w:basedOn w:val="Normal"/>
    <w:next w:val="Normal"/>
    <w:link w:val="TtuloCar"/>
    <w:uiPriority w:val="10"/>
    <w:qFormat/>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tuloCar">
    <w:name w:val="Título Car"/>
    <w:basedOn w:val="Fuentedeprrafopredeter"/>
    <w:link w:val="Ttulo"/>
    <w:uiPriority w:val="10"/>
    <w:rPr>
      <w:rFonts w:asciiTheme="majorHAnsi" w:eastAsiaTheme="majorEastAsia" w:hAnsiTheme="majorHAnsi" w:cstheme="majorBidi"/>
      <w:color w:val="262626" w:themeColor="text1" w:themeTint="D9"/>
      <w:spacing w:val="-15"/>
      <w:sz w:val="96"/>
      <w:szCs w:val="96"/>
    </w:rPr>
  </w:style>
  <w:style w:type="paragraph" w:styleId="Subttulo">
    <w:name w:val="Subtitle"/>
    <w:basedOn w:val="Normal"/>
    <w:next w:val="Normal"/>
    <w:link w:val="SubttuloCar"/>
    <w:uiPriority w:val="11"/>
    <w:qFormat/>
    <w:pPr>
      <w:numPr>
        <w:ilvl w:val="1"/>
      </w:numPr>
      <w:spacing w:line="240" w:lineRule="auto"/>
    </w:pPr>
    <w:rPr>
      <w:rFonts w:asciiTheme="majorHAnsi" w:eastAsiaTheme="majorEastAsia" w:hAnsiTheme="majorHAnsi" w:cstheme="majorBidi"/>
      <w:sz w:val="30"/>
      <w:szCs w:val="30"/>
    </w:rPr>
  </w:style>
  <w:style w:type="character" w:customStyle="1" w:styleId="SubttuloCar">
    <w:name w:val="Subtítulo Car"/>
    <w:basedOn w:val="Fuentedeprrafopredeter"/>
    <w:link w:val="Subttulo"/>
    <w:uiPriority w:val="11"/>
    <w:rPr>
      <w:rFonts w:asciiTheme="majorHAnsi" w:eastAsiaTheme="majorEastAsia" w:hAnsiTheme="majorHAnsi" w:cstheme="majorBidi"/>
      <w:sz w:val="30"/>
      <w:szCs w:val="30"/>
    </w:rPr>
  </w:style>
  <w:style w:type="character" w:styleId="Textoennegrita">
    <w:name w:val="Strong"/>
    <w:basedOn w:val="Fuentedeprrafopredeter"/>
    <w:uiPriority w:val="22"/>
    <w:qFormat/>
    <w:rPr>
      <w:b/>
      <w:bCs/>
    </w:rPr>
  </w:style>
  <w:style w:type="character" w:styleId="nfasis">
    <w:name w:val="Emphasis"/>
    <w:basedOn w:val="Fuentedeprrafopredeter"/>
    <w:uiPriority w:val="20"/>
    <w:qFormat/>
    <w:rPr>
      <w:i/>
      <w:iCs/>
      <w:color w:val="70AD47" w:themeColor="accent6"/>
    </w:rPr>
  </w:style>
  <w:style w:type="paragraph" w:styleId="Sinespaciado">
    <w:name w:val="No Spacing"/>
    <w:link w:val="SinespaciadoCar"/>
    <w:uiPriority w:val="1"/>
    <w:qFormat/>
    <w:pPr>
      <w:spacing w:after="0" w:line="240" w:lineRule="auto"/>
    </w:pPr>
  </w:style>
  <w:style w:type="paragraph" w:styleId="Cita">
    <w:name w:val="Quote"/>
    <w:basedOn w:val="Normal"/>
    <w:next w:val="Normal"/>
    <w:link w:val="CitaCar"/>
    <w:uiPriority w:val="29"/>
    <w:qFormat/>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Pr>
      <w:i/>
      <w:iCs/>
      <w:color w:val="262626" w:themeColor="text1" w:themeTint="D9"/>
    </w:rPr>
  </w:style>
  <w:style w:type="paragraph" w:styleId="Citadestacada">
    <w:name w:val="Intense Quote"/>
    <w:basedOn w:val="Normal"/>
    <w:next w:val="Normal"/>
    <w:link w:val="CitadestacadaCar"/>
    <w:uiPriority w:val="30"/>
    <w:qFormat/>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Pr>
      <w:i/>
      <w:iCs/>
    </w:rPr>
  </w:style>
  <w:style w:type="character" w:styleId="nfasisintenso">
    <w:name w:val="Intense Emphasis"/>
    <w:basedOn w:val="Fuentedeprrafopredeter"/>
    <w:uiPriority w:val="21"/>
    <w:qFormat/>
    <w:rPr>
      <w:b/>
      <w:bCs/>
      <w:i/>
      <w:iCs/>
    </w:rPr>
  </w:style>
  <w:style w:type="character" w:styleId="Referenciasutil">
    <w:name w:val="Subtle Reference"/>
    <w:basedOn w:val="Fuentedeprrafopredeter"/>
    <w:uiPriority w:val="31"/>
    <w:qFormat/>
    <w:rPr>
      <w:smallCaps/>
      <w:color w:val="595959" w:themeColor="text1" w:themeTint="A6"/>
    </w:rPr>
  </w:style>
  <w:style w:type="character" w:styleId="Referenciaintensa">
    <w:name w:val="Intense Reference"/>
    <w:basedOn w:val="Fuentedeprrafopredeter"/>
    <w:uiPriority w:val="32"/>
    <w:qFormat/>
    <w:rPr>
      <w:b/>
      <w:bCs/>
      <w:smallCaps/>
      <w:color w:val="70AD47" w:themeColor="accent6"/>
    </w:rPr>
  </w:style>
  <w:style w:type="character" w:styleId="Ttulodellibro">
    <w:name w:val="Book Title"/>
    <w:basedOn w:val="Fuentedeprrafopredeter"/>
    <w:uiPriority w:val="33"/>
    <w:qFormat/>
    <w:rPr>
      <w:b/>
      <w:bCs/>
      <w:caps w:val="0"/>
      <w:smallCaps/>
      <w:spacing w:val="7"/>
      <w:sz w:val="21"/>
      <w:szCs w:val="21"/>
    </w:rPr>
  </w:style>
  <w:style w:type="paragraph" w:styleId="TtuloTDC">
    <w:name w:val="TOC Heading"/>
    <w:basedOn w:val="Ttulo1"/>
    <w:next w:val="Normal"/>
    <w:uiPriority w:val="39"/>
    <w:unhideWhenUsed/>
    <w:qFormat/>
    <w:pPr>
      <w:outlineLvl w:val="9"/>
    </w:p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1"/>
    <w:qFormat/>
    <w:locked/>
  </w:style>
  <w:style w:type="paragraph" w:styleId="Sangradetextonormal">
    <w:name w:val="Body Text Indent"/>
    <w:basedOn w:val="Normal"/>
    <w:link w:val="SangradetextonormalCar"/>
    <w:uiPriority w:val="99"/>
    <w:unhideWhenUsed/>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Pr>
      <w:rFonts w:eastAsiaTheme="minorHAnsi"/>
      <w:sz w:val="22"/>
      <w:szCs w:val="22"/>
    </w:rPr>
  </w:style>
  <w:style w:type="character" w:customStyle="1" w:styleId="A3">
    <w:name w:val="A3"/>
    <w:uiPriority w:val="99"/>
    <w:rPr>
      <w:rFonts w:cs="Legacy Serif ITC Std Book"/>
      <w:color w:val="000000"/>
      <w:sz w:val="20"/>
      <w:szCs w:val="20"/>
    </w:rPr>
  </w:style>
  <w:style w:type="paragraph" w:styleId="TDC1">
    <w:name w:val="toc 1"/>
    <w:basedOn w:val="Normal"/>
    <w:next w:val="Normal"/>
    <w:autoRedefine/>
    <w:uiPriority w:val="39"/>
    <w:unhideWhenUsed/>
    <w:pPr>
      <w:spacing w:after="100"/>
    </w:pPr>
  </w:style>
  <w:style w:type="character" w:styleId="Hipervnculo">
    <w:name w:val="Hyperlink"/>
    <w:basedOn w:val="Fuentedeprrafopredeter"/>
    <w:uiPriority w:val="99"/>
    <w:unhideWhenUsed/>
    <w:rPr>
      <w:color w:val="0563C1" w:themeColor="hyperlink"/>
      <w:u w:val="single"/>
    </w:rPr>
  </w:style>
  <w:style w:type="paragraph" w:customStyle="1" w:styleId="Default">
    <w:name w:val="Default"/>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TDC3">
    <w:name w:val="toc 3"/>
    <w:basedOn w:val="Normal"/>
    <w:next w:val="Normal"/>
    <w:autoRedefine/>
    <w:uiPriority w:val="39"/>
    <w:unhideWhenUsed/>
    <w:pPr>
      <w:tabs>
        <w:tab w:val="right" w:leader="dot" w:pos="8544"/>
      </w:tabs>
      <w:spacing w:after="100"/>
    </w:pPr>
  </w:style>
  <w:style w:type="paragraph" w:styleId="TDC2">
    <w:name w:val="toc 2"/>
    <w:basedOn w:val="Normal"/>
    <w:next w:val="Normal"/>
    <w:autoRedefine/>
    <w:uiPriority w:val="39"/>
    <w:unhideWhenUsed/>
    <w:pPr>
      <w:spacing w:after="100"/>
      <w:ind w:left="210"/>
    </w:pPr>
  </w:style>
  <w:style w:type="paragraph" w:styleId="Textoindependiente">
    <w:name w:val="Body Text"/>
    <w:basedOn w:val="Normal"/>
    <w:link w:val="TextoindependienteCar"/>
    <w:uiPriority w:val="99"/>
    <w:semiHidden/>
    <w:unhideWhenUsed/>
    <w:pPr>
      <w:spacing w:after="120"/>
    </w:pPr>
  </w:style>
  <w:style w:type="character" w:customStyle="1" w:styleId="TextoindependienteCar">
    <w:name w:val="Texto independiente Car"/>
    <w:basedOn w:val="Fuentedeprrafopredeter"/>
    <w:link w:val="Textoindependiente"/>
    <w:uiPriority w:val="99"/>
    <w:semiHidden/>
  </w:style>
  <w:style w:type="paragraph" w:styleId="Textodeglobo">
    <w:name w:val="Balloon Text"/>
    <w:basedOn w:val="Normal"/>
    <w:link w:val="TextodegloboCar"/>
    <w:uiPriority w:val="99"/>
    <w:semiHidden/>
    <w:unhideWhenUse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Pr>
      <w:rFonts w:ascii="Segoe UI" w:hAnsi="Segoe UI" w:cs="Segoe UI"/>
      <w:sz w:val="18"/>
      <w:szCs w:val="18"/>
    </w:rPr>
  </w:style>
  <w:style w:type="character" w:customStyle="1" w:styleId="SinespaciadoCar">
    <w:name w:val="Sin espaciado Car"/>
    <w:basedOn w:val="Fuentedeprrafopredeter"/>
    <w:link w:val="Sinespaciado"/>
    <w:uiPriority w:val="1"/>
  </w:style>
  <w:style w:type="table" w:styleId="Tablaconcuadrcula5oscura-nfasis3">
    <w:name w:val="Grid Table 5 Dark Accent 3"/>
    <w:basedOn w:val="Tablanormal"/>
    <w:uiPriority w:val="50"/>
    <w:pPr>
      <w:spacing w:after="0" w:line="240" w:lineRule="auto"/>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Mencinsinresolver">
    <w:name w:val="Unresolved Mention"/>
    <w:basedOn w:val="Fuentedeprrafopredeter"/>
    <w:uiPriority w:val="99"/>
    <w:semiHidden/>
    <w:unhideWhenUsed/>
    <w:rPr>
      <w:color w:val="605E5C"/>
      <w:shd w:val="clear" w:color="auto" w:fill="E1DFDD"/>
    </w:rPr>
  </w:style>
  <w:style w:type="character" w:styleId="Refdecomentario">
    <w:name w:val="annotation reference"/>
    <w:basedOn w:val="Fuentedeprrafopredeter"/>
    <w:uiPriority w:val="99"/>
    <w:semiHidden/>
    <w:unhideWhenUsed/>
    <w:rPr>
      <w:sz w:val="16"/>
      <w:szCs w:val="16"/>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paragraph" w:styleId="Asuntodelcomentario">
    <w:name w:val="annotation subject"/>
    <w:basedOn w:val="Textocomentario"/>
    <w:next w:val="Textocomentario"/>
    <w:link w:val="AsuntodelcomentarioCar"/>
    <w:uiPriority w:val="99"/>
    <w:semiHidden/>
    <w:unhideWhenUsed/>
    <w:rPr>
      <w:b/>
      <w:bCs/>
    </w:rPr>
  </w:style>
  <w:style w:type="character" w:customStyle="1" w:styleId="AsuntodelcomentarioCar">
    <w:name w:val="Asunto del comentario Car"/>
    <w:basedOn w:val="TextocomentarioCar"/>
    <w:link w:val="Asuntodelcomentario"/>
    <w:uiPriority w:val="99"/>
    <w:semiHidden/>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99441">
      <w:bodyDiv w:val="1"/>
      <w:marLeft w:val="0"/>
      <w:marRight w:val="0"/>
      <w:marTop w:val="0"/>
      <w:marBottom w:val="0"/>
      <w:divBdr>
        <w:top w:val="none" w:sz="0" w:space="0" w:color="auto"/>
        <w:left w:val="none" w:sz="0" w:space="0" w:color="auto"/>
        <w:bottom w:val="none" w:sz="0" w:space="0" w:color="auto"/>
        <w:right w:val="none" w:sz="0" w:space="0" w:color="auto"/>
      </w:divBdr>
    </w:div>
    <w:div w:id="23675602">
      <w:bodyDiv w:val="1"/>
      <w:marLeft w:val="0"/>
      <w:marRight w:val="0"/>
      <w:marTop w:val="0"/>
      <w:marBottom w:val="0"/>
      <w:divBdr>
        <w:top w:val="none" w:sz="0" w:space="0" w:color="auto"/>
        <w:left w:val="none" w:sz="0" w:space="0" w:color="auto"/>
        <w:bottom w:val="none" w:sz="0" w:space="0" w:color="auto"/>
        <w:right w:val="none" w:sz="0" w:space="0" w:color="auto"/>
      </w:divBdr>
    </w:div>
    <w:div w:id="99837143">
      <w:bodyDiv w:val="1"/>
      <w:marLeft w:val="0"/>
      <w:marRight w:val="0"/>
      <w:marTop w:val="0"/>
      <w:marBottom w:val="0"/>
      <w:divBdr>
        <w:top w:val="none" w:sz="0" w:space="0" w:color="auto"/>
        <w:left w:val="none" w:sz="0" w:space="0" w:color="auto"/>
        <w:bottom w:val="none" w:sz="0" w:space="0" w:color="auto"/>
        <w:right w:val="none" w:sz="0" w:space="0" w:color="auto"/>
      </w:divBdr>
    </w:div>
    <w:div w:id="152264337">
      <w:bodyDiv w:val="1"/>
      <w:marLeft w:val="0"/>
      <w:marRight w:val="0"/>
      <w:marTop w:val="0"/>
      <w:marBottom w:val="0"/>
      <w:divBdr>
        <w:top w:val="none" w:sz="0" w:space="0" w:color="auto"/>
        <w:left w:val="none" w:sz="0" w:space="0" w:color="auto"/>
        <w:bottom w:val="none" w:sz="0" w:space="0" w:color="auto"/>
        <w:right w:val="none" w:sz="0" w:space="0" w:color="auto"/>
      </w:divBdr>
    </w:div>
    <w:div w:id="175921539">
      <w:bodyDiv w:val="1"/>
      <w:marLeft w:val="0"/>
      <w:marRight w:val="0"/>
      <w:marTop w:val="0"/>
      <w:marBottom w:val="0"/>
      <w:divBdr>
        <w:top w:val="none" w:sz="0" w:space="0" w:color="auto"/>
        <w:left w:val="none" w:sz="0" w:space="0" w:color="auto"/>
        <w:bottom w:val="none" w:sz="0" w:space="0" w:color="auto"/>
        <w:right w:val="none" w:sz="0" w:space="0" w:color="auto"/>
      </w:divBdr>
    </w:div>
    <w:div w:id="267977167">
      <w:bodyDiv w:val="1"/>
      <w:marLeft w:val="0"/>
      <w:marRight w:val="0"/>
      <w:marTop w:val="0"/>
      <w:marBottom w:val="0"/>
      <w:divBdr>
        <w:top w:val="none" w:sz="0" w:space="0" w:color="auto"/>
        <w:left w:val="none" w:sz="0" w:space="0" w:color="auto"/>
        <w:bottom w:val="none" w:sz="0" w:space="0" w:color="auto"/>
        <w:right w:val="none" w:sz="0" w:space="0" w:color="auto"/>
      </w:divBdr>
    </w:div>
    <w:div w:id="384183406">
      <w:bodyDiv w:val="1"/>
      <w:marLeft w:val="0"/>
      <w:marRight w:val="0"/>
      <w:marTop w:val="0"/>
      <w:marBottom w:val="0"/>
      <w:divBdr>
        <w:top w:val="none" w:sz="0" w:space="0" w:color="auto"/>
        <w:left w:val="none" w:sz="0" w:space="0" w:color="auto"/>
        <w:bottom w:val="none" w:sz="0" w:space="0" w:color="auto"/>
        <w:right w:val="none" w:sz="0" w:space="0" w:color="auto"/>
      </w:divBdr>
    </w:div>
    <w:div w:id="449668403">
      <w:bodyDiv w:val="1"/>
      <w:marLeft w:val="0"/>
      <w:marRight w:val="0"/>
      <w:marTop w:val="0"/>
      <w:marBottom w:val="0"/>
      <w:divBdr>
        <w:top w:val="none" w:sz="0" w:space="0" w:color="auto"/>
        <w:left w:val="none" w:sz="0" w:space="0" w:color="auto"/>
        <w:bottom w:val="none" w:sz="0" w:space="0" w:color="auto"/>
        <w:right w:val="none" w:sz="0" w:space="0" w:color="auto"/>
      </w:divBdr>
    </w:div>
    <w:div w:id="466583318">
      <w:bodyDiv w:val="1"/>
      <w:marLeft w:val="0"/>
      <w:marRight w:val="0"/>
      <w:marTop w:val="0"/>
      <w:marBottom w:val="0"/>
      <w:divBdr>
        <w:top w:val="none" w:sz="0" w:space="0" w:color="auto"/>
        <w:left w:val="none" w:sz="0" w:space="0" w:color="auto"/>
        <w:bottom w:val="none" w:sz="0" w:space="0" w:color="auto"/>
        <w:right w:val="none" w:sz="0" w:space="0" w:color="auto"/>
      </w:divBdr>
    </w:div>
    <w:div w:id="549656619">
      <w:bodyDiv w:val="1"/>
      <w:marLeft w:val="0"/>
      <w:marRight w:val="0"/>
      <w:marTop w:val="0"/>
      <w:marBottom w:val="0"/>
      <w:divBdr>
        <w:top w:val="none" w:sz="0" w:space="0" w:color="auto"/>
        <w:left w:val="none" w:sz="0" w:space="0" w:color="auto"/>
        <w:bottom w:val="none" w:sz="0" w:space="0" w:color="auto"/>
        <w:right w:val="none" w:sz="0" w:space="0" w:color="auto"/>
      </w:divBdr>
    </w:div>
    <w:div w:id="681399201">
      <w:bodyDiv w:val="1"/>
      <w:marLeft w:val="0"/>
      <w:marRight w:val="0"/>
      <w:marTop w:val="0"/>
      <w:marBottom w:val="0"/>
      <w:divBdr>
        <w:top w:val="none" w:sz="0" w:space="0" w:color="auto"/>
        <w:left w:val="none" w:sz="0" w:space="0" w:color="auto"/>
        <w:bottom w:val="none" w:sz="0" w:space="0" w:color="auto"/>
        <w:right w:val="none" w:sz="0" w:space="0" w:color="auto"/>
      </w:divBdr>
    </w:div>
    <w:div w:id="697510441">
      <w:bodyDiv w:val="1"/>
      <w:marLeft w:val="0"/>
      <w:marRight w:val="0"/>
      <w:marTop w:val="0"/>
      <w:marBottom w:val="0"/>
      <w:divBdr>
        <w:top w:val="none" w:sz="0" w:space="0" w:color="auto"/>
        <w:left w:val="none" w:sz="0" w:space="0" w:color="auto"/>
        <w:bottom w:val="none" w:sz="0" w:space="0" w:color="auto"/>
        <w:right w:val="none" w:sz="0" w:space="0" w:color="auto"/>
      </w:divBdr>
    </w:div>
    <w:div w:id="721710831">
      <w:bodyDiv w:val="1"/>
      <w:marLeft w:val="0"/>
      <w:marRight w:val="0"/>
      <w:marTop w:val="0"/>
      <w:marBottom w:val="0"/>
      <w:divBdr>
        <w:top w:val="none" w:sz="0" w:space="0" w:color="auto"/>
        <w:left w:val="none" w:sz="0" w:space="0" w:color="auto"/>
        <w:bottom w:val="none" w:sz="0" w:space="0" w:color="auto"/>
        <w:right w:val="none" w:sz="0" w:space="0" w:color="auto"/>
      </w:divBdr>
    </w:div>
    <w:div w:id="802190884">
      <w:bodyDiv w:val="1"/>
      <w:marLeft w:val="0"/>
      <w:marRight w:val="0"/>
      <w:marTop w:val="0"/>
      <w:marBottom w:val="0"/>
      <w:divBdr>
        <w:top w:val="none" w:sz="0" w:space="0" w:color="auto"/>
        <w:left w:val="none" w:sz="0" w:space="0" w:color="auto"/>
        <w:bottom w:val="none" w:sz="0" w:space="0" w:color="auto"/>
        <w:right w:val="none" w:sz="0" w:space="0" w:color="auto"/>
      </w:divBdr>
    </w:div>
    <w:div w:id="819155298">
      <w:bodyDiv w:val="1"/>
      <w:marLeft w:val="0"/>
      <w:marRight w:val="0"/>
      <w:marTop w:val="0"/>
      <w:marBottom w:val="0"/>
      <w:divBdr>
        <w:top w:val="none" w:sz="0" w:space="0" w:color="auto"/>
        <w:left w:val="none" w:sz="0" w:space="0" w:color="auto"/>
        <w:bottom w:val="none" w:sz="0" w:space="0" w:color="auto"/>
        <w:right w:val="none" w:sz="0" w:space="0" w:color="auto"/>
      </w:divBdr>
    </w:div>
    <w:div w:id="904606267">
      <w:bodyDiv w:val="1"/>
      <w:marLeft w:val="0"/>
      <w:marRight w:val="0"/>
      <w:marTop w:val="0"/>
      <w:marBottom w:val="0"/>
      <w:divBdr>
        <w:top w:val="none" w:sz="0" w:space="0" w:color="auto"/>
        <w:left w:val="none" w:sz="0" w:space="0" w:color="auto"/>
        <w:bottom w:val="none" w:sz="0" w:space="0" w:color="auto"/>
        <w:right w:val="none" w:sz="0" w:space="0" w:color="auto"/>
      </w:divBdr>
    </w:div>
    <w:div w:id="992294335">
      <w:bodyDiv w:val="1"/>
      <w:marLeft w:val="0"/>
      <w:marRight w:val="0"/>
      <w:marTop w:val="0"/>
      <w:marBottom w:val="0"/>
      <w:divBdr>
        <w:top w:val="none" w:sz="0" w:space="0" w:color="auto"/>
        <w:left w:val="none" w:sz="0" w:space="0" w:color="auto"/>
        <w:bottom w:val="none" w:sz="0" w:space="0" w:color="auto"/>
        <w:right w:val="none" w:sz="0" w:space="0" w:color="auto"/>
      </w:divBdr>
    </w:div>
    <w:div w:id="1074089421">
      <w:bodyDiv w:val="1"/>
      <w:marLeft w:val="0"/>
      <w:marRight w:val="0"/>
      <w:marTop w:val="0"/>
      <w:marBottom w:val="0"/>
      <w:divBdr>
        <w:top w:val="none" w:sz="0" w:space="0" w:color="auto"/>
        <w:left w:val="none" w:sz="0" w:space="0" w:color="auto"/>
        <w:bottom w:val="none" w:sz="0" w:space="0" w:color="auto"/>
        <w:right w:val="none" w:sz="0" w:space="0" w:color="auto"/>
      </w:divBdr>
    </w:div>
    <w:div w:id="1106467540">
      <w:bodyDiv w:val="1"/>
      <w:marLeft w:val="0"/>
      <w:marRight w:val="0"/>
      <w:marTop w:val="0"/>
      <w:marBottom w:val="0"/>
      <w:divBdr>
        <w:top w:val="none" w:sz="0" w:space="0" w:color="auto"/>
        <w:left w:val="none" w:sz="0" w:space="0" w:color="auto"/>
        <w:bottom w:val="none" w:sz="0" w:space="0" w:color="auto"/>
        <w:right w:val="none" w:sz="0" w:space="0" w:color="auto"/>
      </w:divBdr>
    </w:div>
    <w:div w:id="1169708549">
      <w:bodyDiv w:val="1"/>
      <w:marLeft w:val="0"/>
      <w:marRight w:val="0"/>
      <w:marTop w:val="0"/>
      <w:marBottom w:val="0"/>
      <w:divBdr>
        <w:top w:val="none" w:sz="0" w:space="0" w:color="auto"/>
        <w:left w:val="none" w:sz="0" w:space="0" w:color="auto"/>
        <w:bottom w:val="none" w:sz="0" w:space="0" w:color="auto"/>
        <w:right w:val="none" w:sz="0" w:space="0" w:color="auto"/>
      </w:divBdr>
    </w:div>
    <w:div w:id="1225414141">
      <w:bodyDiv w:val="1"/>
      <w:marLeft w:val="0"/>
      <w:marRight w:val="0"/>
      <w:marTop w:val="0"/>
      <w:marBottom w:val="0"/>
      <w:divBdr>
        <w:top w:val="none" w:sz="0" w:space="0" w:color="auto"/>
        <w:left w:val="none" w:sz="0" w:space="0" w:color="auto"/>
        <w:bottom w:val="none" w:sz="0" w:space="0" w:color="auto"/>
        <w:right w:val="none" w:sz="0" w:space="0" w:color="auto"/>
      </w:divBdr>
    </w:div>
    <w:div w:id="1229456224">
      <w:bodyDiv w:val="1"/>
      <w:marLeft w:val="0"/>
      <w:marRight w:val="0"/>
      <w:marTop w:val="0"/>
      <w:marBottom w:val="0"/>
      <w:divBdr>
        <w:top w:val="none" w:sz="0" w:space="0" w:color="auto"/>
        <w:left w:val="none" w:sz="0" w:space="0" w:color="auto"/>
        <w:bottom w:val="none" w:sz="0" w:space="0" w:color="auto"/>
        <w:right w:val="none" w:sz="0" w:space="0" w:color="auto"/>
      </w:divBdr>
    </w:div>
    <w:div w:id="1340230298">
      <w:bodyDiv w:val="1"/>
      <w:marLeft w:val="0"/>
      <w:marRight w:val="0"/>
      <w:marTop w:val="0"/>
      <w:marBottom w:val="0"/>
      <w:divBdr>
        <w:top w:val="none" w:sz="0" w:space="0" w:color="auto"/>
        <w:left w:val="none" w:sz="0" w:space="0" w:color="auto"/>
        <w:bottom w:val="none" w:sz="0" w:space="0" w:color="auto"/>
        <w:right w:val="none" w:sz="0" w:space="0" w:color="auto"/>
      </w:divBdr>
    </w:div>
    <w:div w:id="1341203517">
      <w:bodyDiv w:val="1"/>
      <w:marLeft w:val="0"/>
      <w:marRight w:val="0"/>
      <w:marTop w:val="0"/>
      <w:marBottom w:val="0"/>
      <w:divBdr>
        <w:top w:val="none" w:sz="0" w:space="0" w:color="auto"/>
        <w:left w:val="none" w:sz="0" w:space="0" w:color="auto"/>
        <w:bottom w:val="none" w:sz="0" w:space="0" w:color="auto"/>
        <w:right w:val="none" w:sz="0" w:space="0" w:color="auto"/>
      </w:divBdr>
    </w:div>
    <w:div w:id="1426614724">
      <w:bodyDiv w:val="1"/>
      <w:marLeft w:val="0"/>
      <w:marRight w:val="0"/>
      <w:marTop w:val="0"/>
      <w:marBottom w:val="0"/>
      <w:divBdr>
        <w:top w:val="none" w:sz="0" w:space="0" w:color="auto"/>
        <w:left w:val="none" w:sz="0" w:space="0" w:color="auto"/>
        <w:bottom w:val="none" w:sz="0" w:space="0" w:color="auto"/>
        <w:right w:val="none" w:sz="0" w:space="0" w:color="auto"/>
      </w:divBdr>
    </w:div>
    <w:div w:id="1441410353">
      <w:bodyDiv w:val="1"/>
      <w:marLeft w:val="0"/>
      <w:marRight w:val="0"/>
      <w:marTop w:val="0"/>
      <w:marBottom w:val="0"/>
      <w:divBdr>
        <w:top w:val="none" w:sz="0" w:space="0" w:color="auto"/>
        <w:left w:val="none" w:sz="0" w:space="0" w:color="auto"/>
        <w:bottom w:val="none" w:sz="0" w:space="0" w:color="auto"/>
        <w:right w:val="none" w:sz="0" w:space="0" w:color="auto"/>
      </w:divBdr>
    </w:div>
    <w:div w:id="1567764381">
      <w:bodyDiv w:val="1"/>
      <w:marLeft w:val="0"/>
      <w:marRight w:val="0"/>
      <w:marTop w:val="0"/>
      <w:marBottom w:val="0"/>
      <w:divBdr>
        <w:top w:val="none" w:sz="0" w:space="0" w:color="auto"/>
        <w:left w:val="none" w:sz="0" w:space="0" w:color="auto"/>
        <w:bottom w:val="none" w:sz="0" w:space="0" w:color="auto"/>
        <w:right w:val="none" w:sz="0" w:space="0" w:color="auto"/>
      </w:divBdr>
    </w:div>
    <w:div w:id="1661276423">
      <w:bodyDiv w:val="1"/>
      <w:marLeft w:val="0"/>
      <w:marRight w:val="0"/>
      <w:marTop w:val="0"/>
      <w:marBottom w:val="0"/>
      <w:divBdr>
        <w:top w:val="none" w:sz="0" w:space="0" w:color="auto"/>
        <w:left w:val="none" w:sz="0" w:space="0" w:color="auto"/>
        <w:bottom w:val="none" w:sz="0" w:space="0" w:color="auto"/>
        <w:right w:val="none" w:sz="0" w:space="0" w:color="auto"/>
      </w:divBdr>
    </w:div>
    <w:div w:id="1756633855">
      <w:bodyDiv w:val="1"/>
      <w:marLeft w:val="0"/>
      <w:marRight w:val="0"/>
      <w:marTop w:val="0"/>
      <w:marBottom w:val="0"/>
      <w:divBdr>
        <w:top w:val="none" w:sz="0" w:space="0" w:color="auto"/>
        <w:left w:val="none" w:sz="0" w:space="0" w:color="auto"/>
        <w:bottom w:val="none" w:sz="0" w:space="0" w:color="auto"/>
        <w:right w:val="none" w:sz="0" w:space="0" w:color="auto"/>
      </w:divBdr>
    </w:div>
    <w:div w:id="1826119625">
      <w:bodyDiv w:val="1"/>
      <w:marLeft w:val="0"/>
      <w:marRight w:val="0"/>
      <w:marTop w:val="0"/>
      <w:marBottom w:val="0"/>
      <w:divBdr>
        <w:top w:val="none" w:sz="0" w:space="0" w:color="auto"/>
        <w:left w:val="none" w:sz="0" w:space="0" w:color="auto"/>
        <w:bottom w:val="none" w:sz="0" w:space="0" w:color="auto"/>
        <w:right w:val="none" w:sz="0" w:space="0" w:color="auto"/>
      </w:divBdr>
    </w:div>
    <w:div w:id="1831754654">
      <w:bodyDiv w:val="1"/>
      <w:marLeft w:val="0"/>
      <w:marRight w:val="0"/>
      <w:marTop w:val="0"/>
      <w:marBottom w:val="0"/>
      <w:divBdr>
        <w:top w:val="none" w:sz="0" w:space="0" w:color="auto"/>
        <w:left w:val="none" w:sz="0" w:space="0" w:color="auto"/>
        <w:bottom w:val="none" w:sz="0" w:space="0" w:color="auto"/>
        <w:right w:val="none" w:sz="0" w:space="0" w:color="auto"/>
      </w:divBdr>
    </w:div>
    <w:div w:id="1848523666">
      <w:bodyDiv w:val="1"/>
      <w:marLeft w:val="0"/>
      <w:marRight w:val="0"/>
      <w:marTop w:val="0"/>
      <w:marBottom w:val="0"/>
      <w:divBdr>
        <w:top w:val="none" w:sz="0" w:space="0" w:color="auto"/>
        <w:left w:val="none" w:sz="0" w:space="0" w:color="auto"/>
        <w:bottom w:val="none" w:sz="0" w:space="0" w:color="auto"/>
        <w:right w:val="none" w:sz="0" w:space="0" w:color="auto"/>
      </w:divBdr>
    </w:div>
    <w:div w:id="1931768159">
      <w:bodyDiv w:val="1"/>
      <w:marLeft w:val="0"/>
      <w:marRight w:val="0"/>
      <w:marTop w:val="0"/>
      <w:marBottom w:val="0"/>
      <w:divBdr>
        <w:top w:val="none" w:sz="0" w:space="0" w:color="auto"/>
        <w:left w:val="none" w:sz="0" w:space="0" w:color="auto"/>
        <w:bottom w:val="none" w:sz="0" w:space="0" w:color="auto"/>
        <w:right w:val="none" w:sz="0" w:space="0" w:color="auto"/>
      </w:divBdr>
    </w:div>
    <w:div w:id="2017072603">
      <w:bodyDiv w:val="1"/>
      <w:marLeft w:val="0"/>
      <w:marRight w:val="0"/>
      <w:marTop w:val="0"/>
      <w:marBottom w:val="0"/>
      <w:divBdr>
        <w:top w:val="none" w:sz="0" w:space="0" w:color="auto"/>
        <w:left w:val="none" w:sz="0" w:space="0" w:color="auto"/>
        <w:bottom w:val="none" w:sz="0" w:space="0" w:color="auto"/>
        <w:right w:val="none" w:sz="0" w:space="0" w:color="auto"/>
      </w:divBdr>
    </w:div>
    <w:div w:id="2045053742">
      <w:bodyDiv w:val="1"/>
      <w:marLeft w:val="0"/>
      <w:marRight w:val="0"/>
      <w:marTop w:val="0"/>
      <w:marBottom w:val="0"/>
      <w:divBdr>
        <w:top w:val="none" w:sz="0" w:space="0" w:color="auto"/>
        <w:left w:val="none" w:sz="0" w:space="0" w:color="auto"/>
        <w:bottom w:val="none" w:sz="0" w:space="0" w:color="auto"/>
        <w:right w:val="none" w:sz="0" w:space="0" w:color="auto"/>
      </w:divBdr>
    </w:div>
    <w:div w:id="21364378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teemich.org.mx/wp-content/uploads/2025/01/TEEM-AP-03-202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4" ma:contentTypeDescription="Crear nuevo documento." ma:contentTypeScope="" ma:versionID="b4f45f6c92f65d1665640f19ee2c9c40">
  <xsd:schema xmlns:xsd="http://www.w3.org/2001/XMLSchema" xmlns:xs="http://www.w3.org/2001/XMLSchema" xmlns:p="http://schemas.microsoft.com/office/2006/metadata/properties" xmlns:ns2="6d3da5a9-855d-4ba1-80f5-cf1644f7a7a6" targetNamespace="http://schemas.microsoft.com/office/2006/metadata/properties" ma:root="true" ma:fieldsID="ea543bcdc3d21314f30ac3aba439ad06" ns2:_="">
    <xsd:import namespace="6d3da5a9-855d-4ba1-80f5-cf1644f7a7a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08E623-42B4-4293-BF38-7E92DB0212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1EC24D-0B57-4D07-839B-E2208FFBBBD8}">
  <ds:schemaRefs>
    <ds:schemaRef ds:uri="http://schemas.microsoft.com/sharepoint/v3/contenttype/forms"/>
  </ds:schemaRefs>
</ds:datastoreItem>
</file>

<file path=customXml/itemProps3.xml><?xml version="1.0" encoding="utf-8"?>
<ds:datastoreItem xmlns:ds="http://schemas.openxmlformats.org/officeDocument/2006/customXml" ds:itemID="{FBEB9117-ABCA-4CF9-B7A3-DB3B60D62B4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90EDBEC-5B92-4579-AC33-255B0BE789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421</TotalTime>
  <Pages>27</Pages>
  <Words>7152</Words>
  <Characters>39341</Characters>
  <Application>Microsoft Office Word</Application>
  <DocSecurity>0</DocSecurity>
  <Lines>327</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Yepez Carranza</dc:creator>
  <cp:keywords/>
  <dc:description/>
  <cp:lastModifiedBy>SGA Gerardo Maldonado Tadeo</cp:lastModifiedBy>
  <cp:revision>34</cp:revision>
  <cp:lastPrinted>2025-03-20T21:46:00Z</cp:lastPrinted>
  <dcterms:created xsi:type="dcterms:W3CDTF">2025-03-17T19:23:00Z</dcterms:created>
  <dcterms:modified xsi:type="dcterms:W3CDTF">2025-03-20T21:47:00Z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ies>
</file>