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0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779109" cy="553783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109" cy="55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79"/>
        <w:ind w:left="4898"/>
      </w:pPr>
      <w:r>
        <w:rPr/>
        <w:t>ACLARACIÓN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SENTENCIA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1"/>
        <w:ind w:left="4312" w:right="109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JUICIO PARA LA PROTECCIÓN DE LOS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DERECHOS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POLÍTICO-ELECTORALES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CIUDADANO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1"/>
        <w:ind w:left="4312" w:right="0" w:firstLine="0"/>
        <w:jc w:val="both"/>
        <w:rPr>
          <w:sz w:val="24"/>
        </w:rPr>
      </w:pPr>
      <w:r>
        <w:rPr>
          <w:rFonts w:ascii="Arial"/>
          <w:b/>
          <w:sz w:val="24"/>
        </w:rPr>
        <w:t>EXPEDIENTE:</w:t>
      </w:r>
      <w:r>
        <w:rPr>
          <w:rFonts w:ascii="Arial"/>
          <w:b/>
          <w:spacing w:val="-4"/>
          <w:sz w:val="24"/>
        </w:rPr>
        <w:t> </w:t>
      </w:r>
      <w:r>
        <w:rPr>
          <w:sz w:val="24"/>
        </w:rPr>
        <w:t>TEEM-JDC-328/2021</w:t>
      </w:r>
    </w:p>
    <w:p>
      <w:pPr>
        <w:pStyle w:val="BodyText"/>
        <w:spacing w:before="2"/>
      </w:pPr>
    </w:p>
    <w:p>
      <w:pPr>
        <w:spacing w:before="0"/>
        <w:ind w:left="4312" w:right="11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PARTE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ACTORA: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BALBINO</w:t>
      </w:r>
      <w:r>
        <w:rPr>
          <w:spacing w:val="1"/>
          <w:sz w:val="24"/>
        </w:rPr>
        <w:t> </w:t>
      </w:r>
      <w:r>
        <w:rPr>
          <w:sz w:val="24"/>
        </w:rPr>
        <w:t>MERCADO</w:t>
      </w:r>
      <w:r>
        <w:rPr>
          <w:spacing w:val="-64"/>
          <w:sz w:val="24"/>
        </w:rPr>
        <w:t> </w:t>
      </w:r>
      <w:r>
        <w:rPr>
          <w:sz w:val="24"/>
        </w:rPr>
        <w:t>GARCÍA Y</w:t>
      </w:r>
      <w:r>
        <w:rPr>
          <w:spacing w:val="-1"/>
          <w:sz w:val="24"/>
        </w:rPr>
        <w:t> </w:t>
      </w:r>
      <w:r>
        <w:rPr>
          <w:sz w:val="24"/>
        </w:rPr>
        <w:t>OTROS</w:t>
      </w:r>
    </w:p>
    <w:p>
      <w:pPr>
        <w:pStyle w:val="BodyText"/>
        <w:spacing w:before="5"/>
      </w:pPr>
    </w:p>
    <w:p>
      <w:pPr>
        <w:tabs>
          <w:tab w:pos="6383" w:val="left" w:leader="none"/>
          <w:tab w:pos="7041" w:val="left" w:leader="none"/>
          <w:tab w:pos="8613" w:val="left" w:leader="none"/>
        </w:tabs>
        <w:spacing w:before="0"/>
        <w:ind w:left="4312" w:right="11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AUTORIDAD</w:t>
        <w:tab/>
        <w:tab/>
        <w:t>RESPONSABLE:</w:t>
      </w:r>
      <w:r>
        <w:rPr>
          <w:rFonts w:ascii="Arial" w:hAnsi="Arial"/>
          <w:b/>
          <w:spacing w:val="-65"/>
          <w:sz w:val="24"/>
        </w:rPr>
        <w:t> </w:t>
      </w:r>
      <w:r>
        <w:rPr>
          <w:sz w:val="24"/>
        </w:rPr>
        <w:t>COMISIÓN</w:t>
      </w:r>
      <w:r>
        <w:rPr>
          <w:spacing w:val="1"/>
          <w:sz w:val="24"/>
        </w:rPr>
        <w:t> </w:t>
      </w:r>
      <w:r>
        <w:rPr>
          <w:sz w:val="24"/>
        </w:rPr>
        <w:t>ELECTORAL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sz w:val="24"/>
        </w:rPr>
        <w:t>ATENCIÓN A PUEBLOS INDÍGENAS DEL</w:t>
      </w:r>
      <w:r>
        <w:rPr>
          <w:spacing w:val="-64"/>
          <w:sz w:val="24"/>
        </w:rPr>
        <w:t> </w:t>
      </w:r>
      <w:r>
        <w:rPr>
          <w:sz w:val="24"/>
        </w:rPr>
        <w:t>INSTITUTO</w:t>
        <w:tab/>
        <w:t>ELECTORAL</w:t>
        <w:tab/>
        <w:t>DE</w:t>
      </w:r>
      <w:r>
        <w:rPr>
          <w:spacing w:val="-65"/>
          <w:sz w:val="24"/>
        </w:rPr>
        <w:t> </w:t>
      </w:r>
      <w:r>
        <w:rPr>
          <w:sz w:val="24"/>
        </w:rPr>
        <w:t>MICHOACÁN</w:t>
      </w:r>
    </w:p>
    <w:p>
      <w:pPr>
        <w:pStyle w:val="BodyText"/>
        <w:spacing w:before="5"/>
      </w:pPr>
    </w:p>
    <w:p>
      <w:pPr>
        <w:spacing w:before="0"/>
        <w:ind w:left="4312" w:right="110" w:firstLine="0"/>
        <w:jc w:val="both"/>
        <w:rPr>
          <w:sz w:val="24"/>
        </w:rPr>
      </w:pPr>
      <w:r>
        <w:rPr>
          <w:rFonts w:ascii="Arial"/>
          <w:b/>
          <w:sz w:val="24"/>
        </w:rPr>
        <w:t>MAGISTRADA: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ALMA</w:t>
      </w:r>
      <w:r>
        <w:rPr>
          <w:spacing w:val="1"/>
          <w:sz w:val="24"/>
        </w:rPr>
        <w:t> </w:t>
      </w:r>
      <w:r>
        <w:rPr>
          <w:sz w:val="24"/>
        </w:rPr>
        <w:t>ROSA</w:t>
      </w:r>
      <w:r>
        <w:rPr>
          <w:spacing w:val="1"/>
          <w:sz w:val="24"/>
        </w:rPr>
        <w:t> </w:t>
      </w:r>
      <w:r>
        <w:rPr>
          <w:sz w:val="24"/>
        </w:rPr>
        <w:t>BAHENA</w:t>
      </w:r>
      <w:r>
        <w:rPr>
          <w:spacing w:val="1"/>
          <w:sz w:val="24"/>
        </w:rPr>
        <w:t> </w:t>
      </w:r>
      <w:r>
        <w:rPr>
          <w:sz w:val="24"/>
        </w:rPr>
        <w:t>VILLALOBOS</w:t>
      </w:r>
    </w:p>
    <w:p>
      <w:pPr>
        <w:pStyle w:val="BodyText"/>
        <w:spacing w:before="3"/>
      </w:pPr>
    </w:p>
    <w:p>
      <w:pPr>
        <w:spacing w:before="0"/>
        <w:ind w:left="4312" w:right="108" w:firstLine="0"/>
        <w:jc w:val="both"/>
        <w:rPr>
          <w:sz w:val="24"/>
        </w:rPr>
      </w:pPr>
      <w:r>
        <w:rPr>
          <w:rFonts w:ascii="Arial"/>
          <w:b/>
          <w:sz w:val="24"/>
        </w:rPr>
        <w:t>SECRETARIOS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INSTRUCTORES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PROYECTISTAS: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ROXANA</w:t>
      </w:r>
      <w:r>
        <w:rPr>
          <w:spacing w:val="1"/>
          <w:sz w:val="24"/>
        </w:rPr>
        <w:t> </w:t>
      </w:r>
      <w:r>
        <w:rPr>
          <w:sz w:val="24"/>
        </w:rPr>
        <w:t>SOTO</w:t>
      </w:r>
      <w:r>
        <w:rPr>
          <w:spacing w:val="1"/>
          <w:sz w:val="24"/>
        </w:rPr>
        <w:t> </w:t>
      </w:r>
      <w:r>
        <w:rPr>
          <w:sz w:val="24"/>
        </w:rPr>
        <w:t>TORRES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EVERARDO</w:t>
      </w:r>
      <w:r>
        <w:rPr>
          <w:spacing w:val="-2"/>
          <w:sz w:val="24"/>
        </w:rPr>
        <w:t> </w:t>
      </w:r>
      <w:r>
        <w:rPr>
          <w:sz w:val="24"/>
        </w:rPr>
        <w:t>TOVAR</w:t>
      </w:r>
      <w:r>
        <w:rPr>
          <w:spacing w:val="-4"/>
          <w:sz w:val="24"/>
        </w:rPr>
        <w:t> </w:t>
      </w:r>
      <w:r>
        <w:rPr>
          <w:sz w:val="24"/>
        </w:rPr>
        <w:t>VALDEZ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95"/>
        <w:ind w:left="2344"/>
      </w:pPr>
      <w:r>
        <w:rPr/>
        <w:t>Morelia,</w:t>
      </w:r>
      <w:r>
        <w:rPr>
          <w:spacing w:val="-2"/>
        </w:rPr>
        <w:t> </w:t>
      </w:r>
      <w:r>
        <w:rPr/>
        <w:t>Michoacán,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tres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dos</w:t>
      </w:r>
      <w:r>
        <w:rPr>
          <w:spacing w:val="-2"/>
        </w:rPr>
        <w:t> </w:t>
      </w:r>
      <w:r>
        <w:rPr/>
        <w:t>mil</w:t>
      </w:r>
      <w:r>
        <w:rPr>
          <w:spacing w:val="-3"/>
        </w:rPr>
        <w:t> </w:t>
      </w:r>
      <w:r>
        <w:rPr/>
        <w:t>veintiuno</w:t>
      </w:r>
      <w:r>
        <w:rPr>
          <w:position w:val="8"/>
          <w:sz w:val="16"/>
        </w:rPr>
        <w:t>1</w:t>
      </w:r>
      <w:r>
        <w:rPr/>
        <w:t>.</w:t>
      </w:r>
    </w:p>
    <w:p>
      <w:pPr>
        <w:pStyle w:val="BodyText"/>
        <w:spacing w:before="4"/>
        <w:rPr>
          <w:sz w:val="26"/>
        </w:rPr>
      </w:pPr>
    </w:p>
    <w:p>
      <w:pPr>
        <w:spacing w:line="360" w:lineRule="auto" w:before="0"/>
        <w:ind w:left="1234" w:right="11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Resolución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declara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improcedente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aclaración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sentencia </w:t>
      </w:r>
      <w:r>
        <w:rPr>
          <w:sz w:val="24"/>
        </w:rPr>
        <w:t>solicitada por Balbino Mercado García y otros, en su calidad</w:t>
      </w:r>
      <w:r>
        <w:rPr>
          <w:spacing w:val="1"/>
          <w:sz w:val="24"/>
        </w:rPr>
        <w:t> </w:t>
      </w:r>
      <w:r>
        <w:rPr>
          <w:sz w:val="24"/>
        </w:rPr>
        <w:t>de parte actora en el juicio principal, respecto de la resolución dictada el</w:t>
      </w:r>
      <w:r>
        <w:rPr>
          <w:spacing w:val="-64"/>
          <w:sz w:val="24"/>
        </w:rPr>
        <w:t> </w:t>
      </w:r>
      <w:r>
        <w:rPr>
          <w:sz w:val="24"/>
        </w:rPr>
        <w:t>veintidós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noviembre.</w:t>
      </w:r>
    </w:p>
    <w:p>
      <w:pPr>
        <w:pStyle w:val="BodyText"/>
        <w:spacing w:before="5"/>
      </w:pPr>
    </w:p>
    <w:p>
      <w:pPr>
        <w:pStyle w:val="Heading1"/>
        <w:ind w:left="1250" w:right="135"/>
        <w:jc w:val="center"/>
      </w:pPr>
      <w:r>
        <w:rPr/>
        <w:t>GLOSARIO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6"/>
        </w:rPr>
      </w:pPr>
    </w:p>
    <w:tbl>
      <w:tblPr>
        <w:tblW w:w="0" w:type="auto"/>
        <w:jc w:val="left"/>
        <w:tblInd w:w="16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8"/>
        <w:gridCol w:w="4488"/>
      </w:tblGrid>
      <w:tr>
        <w:trPr>
          <w:trHeight w:val="852" w:hRule="atLeast"/>
        </w:trPr>
        <w:tc>
          <w:tcPr>
            <w:tcW w:w="2498" w:type="dxa"/>
          </w:tcPr>
          <w:p>
            <w:pPr>
              <w:pStyle w:val="TableParagraph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w w:val="80"/>
                <w:sz w:val="22"/>
              </w:rPr>
              <w:t>Ley</w:t>
            </w:r>
            <w:r>
              <w:rPr>
                <w:rFonts w:ascii="Arial"/>
                <w:b/>
                <w:i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i/>
                <w:w w:val="80"/>
                <w:sz w:val="22"/>
              </w:rPr>
              <w:t>de</w:t>
            </w:r>
            <w:r>
              <w:rPr>
                <w:rFonts w:ascii="Arial"/>
                <w:b/>
                <w:i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i/>
                <w:w w:val="80"/>
                <w:sz w:val="22"/>
              </w:rPr>
              <w:t>Justicia</w:t>
            </w:r>
            <w:r>
              <w:rPr>
                <w:rFonts w:ascii="Arial"/>
                <w:b/>
                <w:i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i/>
                <w:w w:val="80"/>
                <w:sz w:val="22"/>
              </w:rPr>
              <w:t>Electoral:</w:t>
            </w:r>
          </w:p>
        </w:tc>
        <w:tc>
          <w:tcPr>
            <w:tcW w:w="4488" w:type="dxa"/>
          </w:tcPr>
          <w:p>
            <w:pPr>
              <w:pStyle w:val="TableParagraph"/>
              <w:spacing w:line="276" w:lineRule="auto"/>
              <w:rPr>
                <w:sz w:val="22"/>
              </w:rPr>
            </w:pPr>
            <w:r>
              <w:rPr>
                <w:w w:val="90"/>
                <w:sz w:val="22"/>
              </w:rPr>
              <w:t>Ley</w:t>
            </w:r>
            <w:r>
              <w:rPr>
                <w:spacing w:val="3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</w:t>
            </w:r>
            <w:r>
              <w:rPr>
                <w:spacing w:val="3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Justicia</w:t>
            </w:r>
            <w:r>
              <w:rPr>
                <w:spacing w:val="3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en</w:t>
            </w:r>
            <w:r>
              <w:rPr>
                <w:spacing w:val="3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Materia</w:t>
            </w:r>
            <w:r>
              <w:rPr>
                <w:spacing w:val="3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Electoral</w:t>
            </w:r>
            <w:r>
              <w:rPr>
                <w:spacing w:val="3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</w:t>
            </w:r>
            <w:r>
              <w:rPr>
                <w:spacing w:val="3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</w:t>
            </w:r>
            <w:r>
              <w:rPr>
                <w:spacing w:val="-53"/>
                <w:w w:val="90"/>
                <w:sz w:val="22"/>
              </w:rPr>
              <w:t> </w:t>
            </w:r>
            <w:r>
              <w:rPr>
                <w:spacing w:val="-1"/>
                <w:w w:val="85"/>
                <w:sz w:val="22"/>
              </w:rPr>
              <w:t>Participación</w:t>
            </w:r>
            <w:r>
              <w:rPr>
                <w:w w:val="85"/>
                <w:sz w:val="22"/>
              </w:rPr>
              <w:t> </w:t>
            </w:r>
            <w:r>
              <w:rPr>
                <w:spacing w:val="-1"/>
                <w:w w:val="85"/>
                <w:sz w:val="22"/>
              </w:rPr>
              <w:t>Ciudadana</w:t>
            </w:r>
            <w:r>
              <w:rPr>
                <w:spacing w:val="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del Estado</w:t>
            </w:r>
            <w:r>
              <w:rPr>
                <w:spacing w:val="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de</w:t>
            </w:r>
            <w:r>
              <w:rPr>
                <w:spacing w:val="-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Michoacán</w:t>
            </w:r>
          </w:p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w w:val="80"/>
                <w:sz w:val="22"/>
              </w:rPr>
              <w:t>de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Ocampo.</w:t>
            </w:r>
          </w:p>
        </w:tc>
      </w:tr>
      <w:tr>
        <w:trPr>
          <w:trHeight w:val="581" w:hRule="atLeast"/>
        </w:trPr>
        <w:tc>
          <w:tcPr>
            <w:tcW w:w="2498" w:type="dxa"/>
          </w:tcPr>
          <w:p>
            <w:pPr>
              <w:pStyle w:val="TableParagraph"/>
              <w:spacing w:before="19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w w:val="80"/>
                <w:sz w:val="22"/>
              </w:rPr>
              <w:t>Órgano</w:t>
            </w:r>
            <w:r>
              <w:rPr>
                <w:rFonts w:ascii="Arial" w:hAnsi="Arial"/>
                <w:b/>
                <w:i/>
                <w:spacing w:val="25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2"/>
              </w:rPr>
              <w:t>jurisdiccional</w:t>
            </w:r>
            <w:r>
              <w:rPr>
                <w:rFonts w:ascii="Arial" w:hAnsi="Arial"/>
                <w:b/>
                <w:i/>
                <w:spacing w:val="24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2"/>
              </w:rPr>
              <w:t>y/o</w:t>
            </w:r>
          </w:p>
          <w:p>
            <w:pPr>
              <w:pStyle w:val="TableParagraph"/>
              <w:spacing w:line="252" w:lineRule="exact" w:before="37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w w:val="80"/>
                <w:sz w:val="22"/>
              </w:rPr>
              <w:t>Tribunal</w:t>
            </w:r>
            <w:r>
              <w:rPr>
                <w:rFonts w:ascii="Arial"/>
                <w:b/>
                <w:i/>
                <w:spacing w:val="13"/>
                <w:w w:val="80"/>
                <w:sz w:val="22"/>
              </w:rPr>
              <w:t> </w:t>
            </w:r>
            <w:r>
              <w:rPr>
                <w:rFonts w:ascii="Arial"/>
                <w:b/>
                <w:i/>
                <w:w w:val="80"/>
                <w:sz w:val="22"/>
              </w:rPr>
              <w:t>Electoral:</w:t>
            </w:r>
          </w:p>
        </w:tc>
        <w:tc>
          <w:tcPr>
            <w:tcW w:w="448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w w:val="80"/>
                <w:sz w:val="22"/>
              </w:rPr>
              <w:t>Tribunal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Electoral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del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Estado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de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Michoacán.</w:t>
            </w:r>
          </w:p>
        </w:tc>
      </w:tr>
      <w:tr>
        <w:trPr>
          <w:trHeight w:val="580" w:hRule="atLeast"/>
        </w:trPr>
        <w:tc>
          <w:tcPr>
            <w:tcW w:w="2498" w:type="dxa"/>
          </w:tcPr>
          <w:p>
            <w:pPr>
              <w:pStyle w:val="TableParagraph"/>
              <w:spacing w:before="18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w w:val="80"/>
                <w:sz w:val="22"/>
              </w:rPr>
              <w:t>Reglamento</w:t>
            </w:r>
            <w:r>
              <w:rPr>
                <w:rFonts w:ascii="Arial"/>
                <w:b/>
                <w:i/>
                <w:spacing w:val="14"/>
                <w:w w:val="80"/>
                <w:sz w:val="22"/>
              </w:rPr>
              <w:t> </w:t>
            </w:r>
            <w:r>
              <w:rPr>
                <w:rFonts w:ascii="Arial"/>
                <w:b/>
                <w:i/>
                <w:w w:val="80"/>
                <w:sz w:val="22"/>
              </w:rPr>
              <w:t>Interno:</w:t>
            </w:r>
          </w:p>
        </w:tc>
        <w:tc>
          <w:tcPr>
            <w:tcW w:w="448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w w:val="80"/>
                <w:sz w:val="22"/>
              </w:rPr>
              <w:t>Reglamento Interno</w:t>
            </w:r>
            <w:r>
              <w:rPr>
                <w:spacing w:val="-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del</w:t>
            </w:r>
            <w:r>
              <w:rPr>
                <w:spacing w:val="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Tribunal</w:t>
            </w:r>
            <w:r>
              <w:rPr>
                <w:spacing w:val="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Electoral</w:t>
            </w:r>
            <w:r>
              <w:rPr>
                <w:spacing w:val="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del</w:t>
            </w:r>
            <w:r>
              <w:rPr>
                <w:spacing w:val="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Estado</w:t>
            </w:r>
          </w:p>
          <w:p>
            <w:pPr>
              <w:pStyle w:val="TableParagraph"/>
              <w:spacing w:line="252" w:lineRule="exact" w:before="38"/>
              <w:rPr>
                <w:sz w:val="22"/>
              </w:rPr>
            </w:pPr>
            <w:r>
              <w:rPr>
                <w:w w:val="80"/>
                <w:sz w:val="22"/>
              </w:rPr>
              <w:t>de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Michoacán.</w:t>
            </w:r>
          </w:p>
        </w:tc>
      </w:tr>
      <w:tr>
        <w:trPr>
          <w:trHeight w:val="1159" w:hRule="atLeast"/>
        </w:trPr>
        <w:tc>
          <w:tcPr>
            <w:tcW w:w="2498" w:type="dxa"/>
          </w:tcPr>
          <w:p>
            <w:pPr>
              <w:pStyle w:val="TableParagraph"/>
              <w:spacing w:before="18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w w:val="90"/>
                <w:sz w:val="22"/>
              </w:rPr>
              <w:t>Sentencia:</w:t>
            </w:r>
          </w:p>
        </w:tc>
        <w:tc>
          <w:tcPr>
            <w:tcW w:w="4488" w:type="dxa"/>
          </w:tcPr>
          <w:p>
            <w:pPr>
              <w:pStyle w:val="TableParagraph"/>
              <w:spacing w:line="273" w:lineRule="auto" w:before="18"/>
              <w:ind w:right="198"/>
              <w:jc w:val="both"/>
              <w:rPr>
                <w:sz w:val="22"/>
              </w:rPr>
            </w:pPr>
            <w:r>
              <w:rPr>
                <w:w w:val="80"/>
                <w:sz w:val="22"/>
              </w:rPr>
              <w:t>Sentencia dictada el veintidós de noviembre dentro</w:t>
            </w:r>
            <w:r>
              <w:rPr>
                <w:spacing w:val="1"/>
                <w:w w:val="80"/>
                <w:sz w:val="22"/>
              </w:rPr>
              <w:t> </w:t>
            </w:r>
            <w:r>
              <w:rPr>
                <w:spacing w:val="-1"/>
                <w:w w:val="90"/>
                <w:sz w:val="22"/>
              </w:rPr>
              <w:t>del Juicio </w:t>
            </w:r>
            <w:r>
              <w:rPr>
                <w:w w:val="90"/>
                <w:sz w:val="22"/>
              </w:rPr>
              <w:t>para la Protección de los Derechos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85"/>
                <w:sz w:val="22"/>
              </w:rPr>
              <w:t>Político-Electorales</w:t>
            </w:r>
            <w:r>
              <w:rPr>
                <w:spacing w:val="3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del</w:t>
            </w:r>
            <w:r>
              <w:rPr>
                <w:spacing w:val="3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Ciudadano</w:t>
            </w:r>
            <w:r>
              <w:rPr>
                <w:spacing w:val="3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TEEM-JDC-</w:t>
            </w:r>
          </w:p>
          <w:p>
            <w:pPr>
              <w:pStyle w:val="TableParagraph"/>
              <w:spacing w:line="252" w:lineRule="exact" w:before="4"/>
              <w:rPr>
                <w:sz w:val="22"/>
              </w:rPr>
            </w:pPr>
            <w:r>
              <w:rPr>
                <w:w w:val="90"/>
                <w:sz w:val="22"/>
              </w:rPr>
              <w:t>328/2021.</w:t>
            </w:r>
          </w:p>
        </w:tc>
      </w:tr>
      <w:tr>
        <w:trPr>
          <w:trHeight w:val="852" w:hRule="atLeast"/>
        </w:trPr>
        <w:tc>
          <w:tcPr>
            <w:tcW w:w="2498" w:type="dxa"/>
          </w:tcPr>
          <w:p>
            <w:pPr>
              <w:pStyle w:val="TableParagraph"/>
              <w:spacing w:before="18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w w:val="90"/>
                <w:sz w:val="22"/>
              </w:rPr>
              <w:t>Solicitantes:</w:t>
            </w:r>
          </w:p>
        </w:tc>
        <w:tc>
          <w:tcPr>
            <w:tcW w:w="4488" w:type="dxa"/>
          </w:tcPr>
          <w:p>
            <w:pPr>
              <w:pStyle w:val="TableParagraph"/>
              <w:spacing w:line="276" w:lineRule="auto" w:before="18"/>
              <w:rPr>
                <w:sz w:val="22"/>
              </w:rPr>
            </w:pPr>
            <w:r>
              <w:rPr>
                <w:w w:val="85"/>
                <w:sz w:val="22"/>
              </w:rPr>
              <w:t>Balbino</w:t>
            </w:r>
            <w:r>
              <w:rPr>
                <w:spacing w:val="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Mercado</w:t>
            </w:r>
            <w:r>
              <w:rPr>
                <w:spacing w:val="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García,</w:t>
            </w:r>
            <w:r>
              <w:rPr>
                <w:spacing w:val="5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Miguel</w:t>
            </w:r>
            <w:r>
              <w:rPr>
                <w:spacing w:val="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Ángel</w:t>
            </w:r>
            <w:r>
              <w:rPr>
                <w:spacing w:val="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Manuel</w:t>
            </w:r>
            <w:r>
              <w:rPr>
                <w:spacing w:val="-49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García,</w:t>
            </w:r>
            <w:r>
              <w:rPr>
                <w:spacing w:val="4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Rocío</w:t>
            </w:r>
            <w:r>
              <w:rPr>
                <w:spacing w:val="4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Medina</w:t>
            </w:r>
            <w:r>
              <w:rPr>
                <w:spacing w:val="44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Mercado,</w:t>
            </w:r>
            <w:r>
              <w:rPr>
                <w:spacing w:val="4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Violeta</w:t>
            </w:r>
            <w:r>
              <w:rPr>
                <w:spacing w:val="43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Garván</w:t>
            </w:r>
          </w:p>
          <w:p>
            <w:pPr>
              <w:pStyle w:val="TableParagraph"/>
              <w:spacing w:line="232" w:lineRule="exact"/>
              <w:rPr>
                <w:sz w:val="22"/>
              </w:rPr>
            </w:pPr>
            <w:r>
              <w:rPr>
                <w:w w:val="80"/>
                <w:sz w:val="22"/>
              </w:rPr>
              <w:t>Mondragón</w:t>
            </w:r>
            <w:r>
              <w:rPr>
                <w:spacing w:val="1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y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Marisol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Medina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Figueroa.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</w:rPr>
      </w:pPr>
      <w:r>
        <w:rPr/>
        <w:pict>
          <v:rect style="position:absolute;margin-left:141.740005pt;margin-top:16.025381pt;width:144.020pt;height:.71997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672" w:right="939" w:firstLine="0"/>
        <w:jc w:val="center"/>
        <w:rPr>
          <w:sz w:val="20"/>
        </w:rPr>
      </w:pPr>
      <w:r>
        <w:rPr>
          <w:w w:val="80"/>
          <w:position w:val="5"/>
          <w:sz w:val="13"/>
        </w:rPr>
        <w:t>1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Todas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las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fechas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corresponden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año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veintiuno,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salvo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señalamiento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expreso.</w:t>
      </w:r>
    </w:p>
    <w:p>
      <w:pPr>
        <w:spacing w:after="0"/>
        <w:jc w:val="center"/>
        <w:rPr>
          <w:sz w:val="20"/>
        </w:rPr>
        <w:sectPr>
          <w:type w:val="continuous"/>
          <w:pgSz w:w="12250" w:h="19300"/>
          <w:pgMar w:top="1080" w:bottom="280" w:left="1600" w:right="1580"/>
        </w:sectPr>
      </w:pPr>
    </w:p>
    <w:p>
      <w:pPr>
        <w:pStyle w:val="BodyText"/>
        <w:rPr>
          <w:sz w:val="14"/>
        </w:rPr>
      </w:pPr>
    </w:p>
    <w:p>
      <w:pPr>
        <w:pStyle w:val="Heading1"/>
        <w:numPr>
          <w:ilvl w:val="0"/>
          <w:numId w:val="1"/>
        </w:numPr>
        <w:tabs>
          <w:tab w:pos="3077" w:val="left" w:leader="none"/>
        </w:tabs>
        <w:spacing w:line="240" w:lineRule="auto" w:before="93" w:after="0"/>
        <w:ind w:left="3076" w:right="0" w:hanging="203"/>
        <w:jc w:val="left"/>
      </w:pPr>
      <w:r>
        <w:rPr/>
        <w:t>ANTECEDENTES</w:t>
      </w:r>
    </w:p>
    <w:p>
      <w:pPr>
        <w:pStyle w:val="BodyText"/>
        <w:spacing w:before="3"/>
        <w:rPr>
          <w:rFonts w:ascii="Arial"/>
          <w:b/>
          <w:sz w:val="36"/>
        </w:rPr>
      </w:pPr>
    </w:p>
    <w:p>
      <w:pPr>
        <w:pStyle w:val="ListParagraph"/>
        <w:numPr>
          <w:ilvl w:val="1"/>
          <w:numId w:val="2"/>
        </w:numPr>
        <w:tabs>
          <w:tab w:pos="518" w:val="left" w:leader="none"/>
        </w:tabs>
        <w:spacing w:line="360" w:lineRule="auto" w:before="0" w:after="0"/>
        <w:ind w:left="102" w:right="1249" w:firstLine="0"/>
        <w:jc w:val="both"/>
        <w:rPr>
          <w:sz w:val="24"/>
        </w:rPr>
      </w:pPr>
      <w:r>
        <w:rPr>
          <w:rFonts w:ascii="Arial" w:hAnsi="Arial"/>
          <w:b/>
          <w:i/>
          <w:sz w:val="24"/>
        </w:rPr>
        <w:t>Sentencia</w:t>
      </w:r>
      <w:r>
        <w:rPr>
          <w:rFonts w:ascii="Arial" w:hAnsi="Arial"/>
          <w:b/>
          <w:sz w:val="24"/>
        </w:rPr>
        <w:t>. </w:t>
      </w:r>
      <w:r>
        <w:rPr>
          <w:sz w:val="24"/>
        </w:rPr>
        <w:t>El veintidós de noviembre el </w:t>
      </w:r>
      <w:r>
        <w:rPr>
          <w:rFonts w:ascii="Arial" w:hAnsi="Arial"/>
          <w:i/>
          <w:sz w:val="24"/>
        </w:rPr>
        <w:t>Tribunal Electoral </w:t>
      </w:r>
      <w:r>
        <w:rPr>
          <w:sz w:val="24"/>
        </w:rPr>
        <w:t>emitió 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Sentencia</w:t>
      </w:r>
      <w:r>
        <w:rPr>
          <w:rFonts w:ascii="Arial" w:hAnsi="Arial"/>
          <w:i/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determinó,</w:t>
      </w:r>
      <w:r>
        <w:rPr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esencia,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incompetencia</w:t>
      </w:r>
      <w:r>
        <w:rPr>
          <w:spacing w:val="-6"/>
          <w:sz w:val="24"/>
        </w:rPr>
        <w:t> </w:t>
      </w:r>
      <w:r>
        <w:rPr>
          <w:sz w:val="24"/>
        </w:rPr>
        <w:t>material</w:t>
      </w:r>
      <w:r>
        <w:rPr>
          <w:spacing w:val="-64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conocer de</w:t>
      </w:r>
      <w:r>
        <w:rPr>
          <w:spacing w:val="-2"/>
          <w:sz w:val="24"/>
        </w:rPr>
        <w:t> </w:t>
      </w:r>
      <w:r>
        <w:rPr>
          <w:sz w:val="24"/>
        </w:rPr>
        <w:t>dicho</w:t>
      </w:r>
      <w:r>
        <w:rPr>
          <w:spacing w:val="-3"/>
          <w:sz w:val="24"/>
        </w:rPr>
        <w:t> </w:t>
      </w:r>
      <w:r>
        <w:rPr>
          <w:sz w:val="24"/>
        </w:rPr>
        <w:t>asunto</w:t>
      </w:r>
      <w:r>
        <w:rPr>
          <w:rFonts w:ascii="Arial" w:hAnsi="Arial"/>
          <w:i/>
          <w:position w:val="7"/>
          <w:sz w:val="16"/>
        </w:rPr>
        <w:t>2</w:t>
      </w:r>
      <w:r>
        <w:rPr>
          <w:sz w:val="24"/>
        </w:rPr>
        <w:t>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2"/>
        </w:numPr>
        <w:tabs>
          <w:tab w:pos="575" w:val="left" w:leader="none"/>
        </w:tabs>
        <w:spacing w:line="357" w:lineRule="auto" w:before="0" w:after="0"/>
        <w:ind w:left="102" w:right="1252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Notificación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Sentencia</w:t>
      </w:r>
      <w:r>
        <w:rPr>
          <w:rFonts w:ascii="Arial" w:hAnsi="Arial"/>
          <w:b/>
          <w:sz w:val="24"/>
        </w:rPr>
        <w:t>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veinticuatro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noviembre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64"/>
          <w:sz w:val="24"/>
        </w:rPr>
        <w:t> </w:t>
      </w:r>
      <w:r>
        <w:rPr>
          <w:sz w:val="24"/>
        </w:rPr>
        <w:t>notificó la citada resolución a la parte actora, en la que se incluyen los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Solicitantes </w:t>
      </w:r>
      <w:r>
        <w:rPr>
          <w:sz w:val="24"/>
        </w:rPr>
        <w:t>de la</w:t>
      </w:r>
      <w:r>
        <w:rPr>
          <w:spacing w:val="-2"/>
          <w:sz w:val="24"/>
        </w:rPr>
        <w:t> </w:t>
      </w:r>
      <w:r>
        <w:rPr>
          <w:sz w:val="24"/>
        </w:rPr>
        <w:t>aclaración</w:t>
      </w:r>
      <w:r>
        <w:rPr>
          <w:spacing w:val="-1"/>
          <w:sz w:val="24"/>
        </w:rPr>
        <w:t> </w:t>
      </w:r>
      <w:r>
        <w:rPr>
          <w:sz w:val="24"/>
        </w:rPr>
        <w:t>de sentencia</w:t>
      </w:r>
      <w:r>
        <w:rPr>
          <w:position w:val="8"/>
          <w:sz w:val="16"/>
        </w:rPr>
        <w:t>3</w:t>
      </w:r>
      <w:r>
        <w:rPr>
          <w:rFonts w:ascii="Arial" w:hAnsi="Arial"/>
          <w:i/>
          <w:sz w:val="24"/>
        </w:rPr>
        <w:t>.</w:t>
      </w:r>
    </w:p>
    <w:p>
      <w:pPr>
        <w:pStyle w:val="BodyText"/>
        <w:spacing w:before="10"/>
        <w:rPr>
          <w:rFonts w:ascii="Arial"/>
          <w:i/>
        </w:rPr>
      </w:pPr>
    </w:p>
    <w:p>
      <w:pPr>
        <w:pStyle w:val="ListParagraph"/>
        <w:numPr>
          <w:ilvl w:val="1"/>
          <w:numId w:val="2"/>
        </w:numPr>
        <w:tabs>
          <w:tab w:pos="508" w:val="left" w:leader="none"/>
        </w:tabs>
        <w:spacing w:line="357" w:lineRule="auto" w:before="0" w:after="0"/>
        <w:ind w:left="102" w:right="125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Solicitud de aclaración de sentencia. </w:t>
      </w:r>
      <w:r>
        <w:rPr>
          <w:sz w:val="24"/>
        </w:rPr>
        <w:t>El veintinueve de noviembre</w:t>
      </w:r>
      <w:r>
        <w:rPr>
          <w:spacing w:val="-64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Solicitantes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presentaron</w:t>
      </w:r>
      <w:r>
        <w:rPr>
          <w:spacing w:val="1"/>
          <w:sz w:val="24"/>
        </w:rPr>
        <w:t> </w:t>
      </w:r>
      <w:r>
        <w:rPr>
          <w:sz w:val="24"/>
        </w:rPr>
        <w:t>ante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Órgano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Jurisdiccional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solicitando</w:t>
      </w:r>
      <w:r>
        <w:rPr>
          <w:spacing w:val="-3"/>
          <w:sz w:val="24"/>
        </w:rPr>
        <w:t> </w:t>
      </w:r>
      <w:r>
        <w:rPr>
          <w:sz w:val="24"/>
        </w:rPr>
        <w:t>aclaración</w:t>
      </w:r>
      <w:r>
        <w:rPr>
          <w:spacing w:val="-2"/>
          <w:sz w:val="24"/>
        </w:rPr>
        <w:t> </w:t>
      </w:r>
      <w:r>
        <w:rPr>
          <w:sz w:val="24"/>
        </w:rPr>
        <w:t>de sentencia</w:t>
      </w:r>
      <w:r>
        <w:rPr>
          <w:position w:val="8"/>
          <w:sz w:val="16"/>
        </w:rPr>
        <w:t>4</w:t>
      </w:r>
      <w:r>
        <w:rPr>
          <w:sz w:val="24"/>
        </w:rPr>
        <w:t>.</w:t>
      </w:r>
    </w:p>
    <w:p>
      <w:pPr>
        <w:pStyle w:val="BodyText"/>
        <w:spacing w:before="7"/>
      </w:pPr>
    </w:p>
    <w:p>
      <w:pPr>
        <w:pStyle w:val="BodyText"/>
        <w:spacing w:line="355" w:lineRule="auto"/>
        <w:ind w:left="102" w:right="1258"/>
        <w:jc w:val="both"/>
      </w:pPr>
      <w:r>
        <w:rPr/>
        <w:t>Dicho escrito fue remitido a la Ponencia Instructora el uno de diciembre</w:t>
      </w:r>
      <w:r>
        <w:rPr>
          <w:spacing w:val="1"/>
        </w:rPr>
        <w:t> </w:t>
      </w:r>
      <w:r>
        <w:rPr/>
        <w:t>siguiente</w:t>
      </w:r>
      <w:r>
        <w:rPr>
          <w:position w:val="8"/>
          <w:sz w:val="16"/>
        </w:rPr>
        <w:t>5</w:t>
      </w:r>
      <w:r>
        <w:rPr/>
        <w:t>.</w:t>
      </w:r>
    </w:p>
    <w:p>
      <w:pPr>
        <w:pStyle w:val="BodyText"/>
        <w:spacing w:before="9"/>
      </w:pPr>
    </w:p>
    <w:p>
      <w:pPr>
        <w:pStyle w:val="Heading1"/>
        <w:numPr>
          <w:ilvl w:val="0"/>
          <w:numId w:val="1"/>
        </w:numPr>
        <w:tabs>
          <w:tab w:pos="2911" w:val="left" w:leader="none"/>
        </w:tabs>
        <w:spacing w:line="240" w:lineRule="auto" w:before="0" w:after="0"/>
        <w:ind w:left="2910" w:right="0" w:hanging="270"/>
        <w:jc w:val="left"/>
      </w:pPr>
      <w:r>
        <w:rPr/>
        <w:t>CONSIDERACIONES</w:t>
      </w:r>
    </w:p>
    <w:p>
      <w:pPr>
        <w:pStyle w:val="BodyText"/>
        <w:spacing w:before="4"/>
        <w:rPr>
          <w:rFonts w:ascii="Arial"/>
          <w:b/>
          <w:sz w:val="36"/>
        </w:rPr>
      </w:pPr>
    </w:p>
    <w:p>
      <w:pPr>
        <w:pStyle w:val="ListParagraph"/>
        <w:numPr>
          <w:ilvl w:val="1"/>
          <w:numId w:val="3"/>
        </w:numPr>
        <w:tabs>
          <w:tab w:pos="506" w:val="left" w:leader="none"/>
        </w:tabs>
        <w:spacing w:line="240" w:lineRule="auto" w:before="0" w:after="0"/>
        <w:ind w:left="505" w:right="0" w:hanging="404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Competencia</w:t>
      </w:r>
    </w:p>
    <w:p>
      <w:pPr>
        <w:pStyle w:val="BodyText"/>
        <w:spacing w:before="6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102" w:right="1248"/>
        <w:jc w:val="both"/>
      </w:pPr>
      <w:r>
        <w:rPr/>
        <w:t>Este </w:t>
      </w:r>
      <w:r>
        <w:rPr>
          <w:rFonts w:ascii="Arial" w:hAnsi="Arial"/>
          <w:i/>
        </w:rPr>
        <w:t>Tribunal Electoral </w:t>
      </w:r>
      <w:r>
        <w:rPr/>
        <w:t>tiene competencia para aclarar sus sentencias,</w:t>
      </w:r>
      <w:r>
        <w:rPr>
          <w:spacing w:val="1"/>
        </w:rPr>
        <w:t> </w:t>
      </w:r>
      <w:r>
        <w:rPr/>
        <w:t>de conformidad con lo previsto en los artículos 17 y 41, párrafo tercero,</w:t>
      </w:r>
      <w:r>
        <w:rPr>
          <w:spacing w:val="1"/>
        </w:rPr>
        <w:t> </w:t>
      </w:r>
      <w:r>
        <w:rPr/>
        <w:t>Base</w:t>
      </w:r>
      <w:r>
        <w:rPr>
          <w:spacing w:val="-12"/>
        </w:rPr>
        <w:t> </w:t>
      </w:r>
      <w:r>
        <w:rPr/>
        <w:t>VI,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Constitución</w:t>
      </w:r>
      <w:r>
        <w:rPr>
          <w:spacing w:val="-10"/>
        </w:rPr>
        <w:t> </w:t>
      </w:r>
      <w:r>
        <w:rPr/>
        <w:t>Política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los</w:t>
      </w:r>
      <w:r>
        <w:rPr>
          <w:spacing w:val="-15"/>
        </w:rPr>
        <w:t> </w:t>
      </w:r>
      <w:r>
        <w:rPr/>
        <w:t>Estados</w:t>
      </w:r>
      <w:r>
        <w:rPr>
          <w:spacing w:val="-12"/>
        </w:rPr>
        <w:t> </w:t>
      </w:r>
      <w:r>
        <w:rPr/>
        <w:t>Unidos</w:t>
      </w:r>
      <w:r>
        <w:rPr>
          <w:spacing w:val="-12"/>
        </w:rPr>
        <w:t> </w:t>
      </w:r>
      <w:r>
        <w:rPr/>
        <w:t>Mexicanos;</w:t>
      </w:r>
      <w:r>
        <w:rPr>
          <w:spacing w:val="-11"/>
        </w:rPr>
        <w:t> </w:t>
      </w:r>
      <w:r>
        <w:rPr/>
        <w:t>98</w:t>
      </w:r>
      <w:r>
        <w:rPr>
          <w:spacing w:val="-64"/>
        </w:rPr>
        <w:t> </w:t>
      </w:r>
      <w:r>
        <w:rPr/>
        <w:t>A de la Constitución Política del Estado Libre y Soberano de Michoacán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Ocampo;</w:t>
      </w:r>
      <w:r>
        <w:rPr>
          <w:spacing w:val="-12"/>
        </w:rPr>
        <w:t> </w:t>
      </w:r>
      <w:r>
        <w:rPr/>
        <w:t>60</w:t>
      </w:r>
      <w:r>
        <w:rPr>
          <w:spacing w:val="-13"/>
        </w:rPr>
        <w:t> </w:t>
      </w:r>
      <w:r>
        <w:rPr/>
        <w:t>y</w:t>
      </w:r>
      <w:r>
        <w:rPr>
          <w:spacing w:val="-15"/>
        </w:rPr>
        <w:t> </w:t>
      </w:r>
      <w:r>
        <w:rPr/>
        <w:t>64,</w:t>
      </w:r>
      <w:r>
        <w:rPr>
          <w:spacing w:val="-12"/>
        </w:rPr>
        <w:t> </w:t>
      </w:r>
      <w:r>
        <w:rPr/>
        <w:t>fracciones</w:t>
      </w:r>
      <w:r>
        <w:rPr>
          <w:spacing w:val="-15"/>
        </w:rPr>
        <w:t> </w:t>
      </w:r>
      <w:r>
        <w:rPr/>
        <w:t>XIII</w:t>
      </w:r>
      <w:r>
        <w:rPr>
          <w:spacing w:val="-13"/>
        </w:rPr>
        <w:t> </w:t>
      </w:r>
      <w:r>
        <w:rPr/>
        <w:t>y</w:t>
      </w:r>
      <w:r>
        <w:rPr>
          <w:spacing w:val="-14"/>
        </w:rPr>
        <w:t> </w:t>
      </w:r>
      <w:r>
        <w:rPr/>
        <w:t>XV,</w:t>
      </w:r>
      <w:r>
        <w:rPr>
          <w:spacing w:val="-12"/>
        </w:rPr>
        <w:t> </w:t>
      </w:r>
      <w:r>
        <w:rPr/>
        <w:t>del</w:t>
      </w:r>
      <w:r>
        <w:rPr>
          <w:spacing w:val="-17"/>
        </w:rPr>
        <w:t> </w:t>
      </w:r>
      <w:r>
        <w:rPr/>
        <w:t>Código</w:t>
      </w:r>
      <w:r>
        <w:rPr>
          <w:spacing w:val="-14"/>
        </w:rPr>
        <w:t> </w:t>
      </w:r>
      <w:r>
        <w:rPr/>
        <w:t>Electoral</w:t>
      </w:r>
      <w:r>
        <w:rPr>
          <w:spacing w:val="-13"/>
        </w:rPr>
        <w:t> </w:t>
      </w:r>
      <w:r>
        <w:rPr/>
        <w:t>del</w:t>
      </w:r>
      <w:r>
        <w:rPr>
          <w:spacing w:val="-15"/>
        </w:rPr>
        <w:t> </w:t>
      </w:r>
      <w:r>
        <w:rPr/>
        <w:t>Estado</w:t>
      </w:r>
      <w:r>
        <w:rPr>
          <w:spacing w:val="-64"/>
        </w:rPr>
        <w:t> </w:t>
      </w:r>
      <w:r>
        <w:rPr/>
        <w:t>de Michoacán de Ocampo; así como 73 y 74 de la </w:t>
      </w:r>
      <w:r>
        <w:rPr>
          <w:rFonts w:ascii="Arial" w:hAnsi="Arial"/>
          <w:i/>
        </w:rPr>
        <w:t>Ley de 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.</w:t>
      </w:r>
    </w:p>
    <w:p>
      <w:pPr>
        <w:pStyle w:val="BodyText"/>
        <w:spacing w:before="4"/>
      </w:pPr>
    </w:p>
    <w:p>
      <w:pPr>
        <w:pStyle w:val="BodyText"/>
        <w:spacing w:line="360" w:lineRule="auto" w:before="1"/>
        <w:ind w:left="102" w:right="1252"/>
        <w:jc w:val="both"/>
      </w:pPr>
      <w:r>
        <w:rPr/>
        <w:t>Lo anterior, porque si los preceptos citados sirven de fundamento para</w:t>
      </w:r>
      <w:r>
        <w:rPr>
          <w:spacing w:val="1"/>
        </w:rPr>
        <w:t> </w:t>
      </w:r>
      <w:r>
        <w:rPr/>
        <w:t>resolver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juicio</w:t>
      </w:r>
      <w:r>
        <w:rPr>
          <w:spacing w:val="-7"/>
        </w:rPr>
        <w:t> </w:t>
      </w:r>
      <w:r>
        <w:rPr/>
        <w:t>principal,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mismas</w:t>
      </w:r>
      <w:r>
        <w:rPr>
          <w:spacing w:val="-8"/>
        </w:rPr>
        <w:t> </w:t>
      </w:r>
      <w:r>
        <w:rPr/>
        <w:t>disposiciones</w:t>
      </w:r>
      <w:r>
        <w:rPr>
          <w:spacing w:val="-8"/>
        </w:rPr>
        <w:t> </w:t>
      </w:r>
      <w:r>
        <w:rPr/>
        <w:t>son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sustento</w:t>
      </w:r>
      <w:r>
        <w:rPr>
          <w:spacing w:val="-8"/>
        </w:rPr>
        <w:t> </w:t>
      </w:r>
      <w:r>
        <w:rPr/>
        <w:t>para</w:t>
      </w:r>
      <w:r>
        <w:rPr>
          <w:spacing w:val="-65"/>
        </w:rPr>
        <w:t> </w:t>
      </w:r>
      <w:r>
        <w:rPr/>
        <w:t>resolver cualquier cuestión relacionada con ese medio de impugnación,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lo es</w:t>
      </w:r>
      <w:r>
        <w:rPr>
          <w:spacing w:val="-3"/>
        </w:rPr>
        <w:t> </w:t>
      </w:r>
      <w:r>
        <w:rPr/>
        <w:t>una aclaración</w:t>
      </w:r>
      <w:r>
        <w:rPr>
          <w:spacing w:val="1"/>
        </w:rPr>
        <w:t> </w:t>
      </w:r>
      <w:r>
        <w:rPr/>
        <w:t>de sentencia.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  <w:r>
        <w:rPr/>
        <w:pict>
          <v:rect style="position:absolute;margin-left:85.103996pt;margin-top:10.164580pt;width:144.020pt;height:.71997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0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2</w:t>
      </w:r>
      <w:r>
        <w:rPr>
          <w:spacing w:val="20"/>
          <w:w w:val="80"/>
          <w:position w:val="5"/>
          <w:sz w:val="13"/>
        </w:rPr>
        <w:t> </w:t>
      </w:r>
      <w:r>
        <w:rPr>
          <w:w w:val="80"/>
          <w:sz w:val="20"/>
        </w:rPr>
        <w:t>Fojas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812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823.</w:t>
      </w:r>
    </w:p>
    <w:p>
      <w:pPr>
        <w:spacing w:line="229" w:lineRule="exact" w:before="0"/>
        <w:ind w:left="10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3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Foja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824.</w:t>
      </w:r>
    </w:p>
    <w:p>
      <w:pPr>
        <w:spacing w:line="229" w:lineRule="exact" w:before="0"/>
        <w:ind w:left="10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4</w:t>
      </w:r>
      <w:r>
        <w:rPr>
          <w:spacing w:val="20"/>
          <w:w w:val="80"/>
          <w:position w:val="5"/>
          <w:sz w:val="13"/>
        </w:rPr>
        <w:t> </w:t>
      </w:r>
      <w:r>
        <w:rPr>
          <w:w w:val="80"/>
          <w:sz w:val="20"/>
        </w:rPr>
        <w:t>Fojas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833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838.</w:t>
      </w:r>
    </w:p>
    <w:p>
      <w:pPr>
        <w:spacing w:before="1"/>
        <w:ind w:left="102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5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Fojas</w:t>
      </w:r>
      <w:r>
        <w:rPr>
          <w:spacing w:val="3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828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831.</w:t>
      </w:r>
    </w:p>
    <w:p>
      <w:pPr>
        <w:spacing w:after="0"/>
        <w:jc w:val="left"/>
        <w:rPr>
          <w:sz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300"/>
          <w:pgMar w:header="1191" w:footer="1544" w:top="1640" w:bottom="1740" w:left="1600" w:right="1580"/>
          <w:pgNumType w:start="2"/>
        </w:sectPr>
      </w:pPr>
    </w:p>
    <w:p>
      <w:pPr>
        <w:pStyle w:val="BodyText"/>
        <w:rPr>
          <w:sz w:val="14"/>
        </w:rPr>
      </w:pPr>
    </w:p>
    <w:p>
      <w:pPr>
        <w:pStyle w:val="ListParagraph"/>
        <w:numPr>
          <w:ilvl w:val="1"/>
          <w:numId w:val="3"/>
        </w:numPr>
        <w:tabs>
          <w:tab w:pos="1638" w:val="left" w:leader="none"/>
        </w:tabs>
        <w:spacing w:line="240" w:lineRule="auto" w:before="93" w:after="0"/>
        <w:ind w:left="1637" w:right="0" w:hanging="404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sz w:val="24"/>
        </w:rPr>
        <w:t>Precisión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Solicitantes</w:t>
      </w:r>
    </w:p>
    <w:p>
      <w:pPr>
        <w:pStyle w:val="BodyText"/>
        <w:spacing w:before="3"/>
        <w:rPr>
          <w:rFonts w:ascii="Arial"/>
          <w:b/>
          <w:i/>
          <w:sz w:val="36"/>
        </w:rPr>
      </w:pPr>
    </w:p>
    <w:p>
      <w:pPr>
        <w:pStyle w:val="BodyText"/>
        <w:spacing w:line="360" w:lineRule="auto"/>
        <w:ind w:left="1234" w:right="115"/>
        <w:jc w:val="both"/>
      </w:pPr>
      <w:r>
        <w:rPr/>
        <w:t>Previo al análisis de las cuestiones planteadas por los </w:t>
      </w:r>
      <w:r>
        <w:rPr>
          <w:rFonts w:ascii="Arial" w:hAnsi="Arial"/>
          <w:i/>
        </w:rPr>
        <w:t>Solicitantes</w:t>
      </w:r>
      <w:r>
        <w:rPr/>
        <w:t>, es</w:t>
      </w:r>
      <w:r>
        <w:rPr>
          <w:spacing w:val="1"/>
        </w:rPr>
        <w:t> </w:t>
      </w:r>
      <w:r>
        <w:rPr/>
        <w:t>importante</w:t>
      </w:r>
      <w:r>
        <w:rPr>
          <w:spacing w:val="1"/>
        </w:rPr>
        <w:t> </w:t>
      </w:r>
      <w:r>
        <w:rPr/>
        <w:t>señalar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aclaración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realizará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solicitantes a Balbino Mercado García, Miguel Ángel Manuel García,</w:t>
      </w:r>
      <w:r>
        <w:rPr>
          <w:spacing w:val="1"/>
        </w:rPr>
        <w:t> </w:t>
      </w:r>
      <w:r>
        <w:rPr/>
        <w:t>Violeta Galván Mondragón, Marisol Medina Figueroa y Adán Montiel</w:t>
      </w:r>
      <w:r>
        <w:rPr>
          <w:spacing w:val="1"/>
        </w:rPr>
        <w:t> </w:t>
      </w:r>
      <w:r>
        <w:rPr/>
        <w:t>Villegas,</w:t>
      </w:r>
      <w:r>
        <w:rPr>
          <w:spacing w:val="-5"/>
        </w:rPr>
        <w:t> </w:t>
      </w:r>
      <w:r>
        <w:rPr/>
        <w:t>ya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son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firmaron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escrito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solicitud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aclaración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sentencia.</w:t>
      </w:r>
    </w:p>
    <w:p>
      <w:pPr>
        <w:pStyle w:val="BodyText"/>
        <w:spacing w:before="6"/>
      </w:pPr>
    </w:p>
    <w:p>
      <w:pPr>
        <w:pStyle w:val="BodyText"/>
        <w:spacing w:line="360" w:lineRule="auto"/>
        <w:ind w:left="1234" w:right="114"/>
        <w:jc w:val="both"/>
      </w:pPr>
      <w:r>
        <w:rPr/>
        <w:t>Por otro lado, no se tiene a la actora Rocío Medina Mercado como</w:t>
      </w:r>
      <w:r>
        <w:rPr>
          <w:spacing w:val="1"/>
        </w:rPr>
        <w:t> </w:t>
      </w:r>
      <w:r>
        <w:rPr/>
        <w:t>solicitante, ya que no se advierte que la misma haya firmado el escrito</w:t>
      </w:r>
      <w:r>
        <w:rPr>
          <w:spacing w:val="1"/>
        </w:rPr>
        <w:t> </w:t>
      </w:r>
      <w:r>
        <w:rPr>
          <w:spacing w:val="-1"/>
        </w:rPr>
        <w:t>respectivo,</w:t>
      </w:r>
      <w:r>
        <w:rPr>
          <w:spacing w:val="-16"/>
        </w:rPr>
        <w:t> </w:t>
      </w:r>
      <w:r>
        <w:rPr>
          <w:spacing w:val="-1"/>
        </w:rPr>
        <w:t>sin</w:t>
      </w:r>
      <w:r>
        <w:rPr>
          <w:spacing w:val="-15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sea</w:t>
      </w:r>
      <w:r>
        <w:rPr>
          <w:spacing w:val="-17"/>
        </w:rPr>
        <w:t> </w:t>
      </w:r>
      <w:r>
        <w:rPr>
          <w:spacing w:val="-1"/>
        </w:rPr>
        <w:t>necesario</w:t>
      </w:r>
      <w:r>
        <w:rPr>
          <w:spacing w:val="-16"/>
        </w:rPr>
        <w:t> </w:t>
      </w:r>
      <w:r>
        <w:rPr/>
        <w:t>llevar</w:t>
      </w:r>
      <w:r>
        <w:rPr>
          <w:spacing w:val="-16"/>
        </w:rPr>
        <w:t> </w:t>
      </w:r>
      <w:r>
        <w:rPr/>
        <w:t>a</w:t>
      </w:r>
      <w:r>
        <w:rPr>
          <w:spacing w:val="-15"/>
        </w:rPr>
        <w:t> </w:t>
      </w:r>
      <w:r>
        <w:rPr/>
        <w:t>cabo</w:t>
      </w:r>
      <w:r>
        <w:rPr>
          <w:spacing w:val="-16"/>
        </w:rPr>
        <w:t> </w:t>
      </w:r>
      <w:r>
        <w:rPr/>
        <w:t>ningún</w:t>
      </w:r>
      <w:r>
        <w:rPr>
          <w:spacing w:val="-15"/>
        </w:rPr>
        <w:t> </w:t>
      </w:r>
      <w:r>
        <w:rPr/>
        <w:t>trámite</w:t>
      </w:r>
      <w:r>
        <w:rPr>
          <w:spacing w:val="-18"/>
        </w:rPr>
        <w:t> </w:t>
      </w:r>
      <w:r>
        <w:rPr/>
        <w:t>al</w:t>
      </w:r>
      <w:r>
        <w:rPr>
          <w:spacing w:val="-16"/>
        </w:rPr>
        <w:t> </w:t>
      </w:r>
      <w:r>
        <w:rPr/>
        <w:t>respecto,</w:t>
      </w:r>
      <w:r>
        <w:rPr>
          <w:spacing w:val="-64"/>
        </w:rPr>
        <w:t> </w:t>
      </w:r>
      <w:r>
        <w:rPr/>
        <w:t>ya que, si su voluntad fuera que se analice la petición, esto se llevará a</w:t>
      </w:r>
      <w:r>
        <w:rPr>
          <w:spacing w:val="1"/>
        </w:rPr>
        <w:t> </w:t>
      </w:r>
      <w:r>
        <w:rPr/>
        <w:t>cabo con entera independencia de que falte su firma autógrafa, ya que</w:t>
      </w:r>
      <w:r>
        <w:rPr>
          <w:spacing w:val="1"/>
        </w:rPr>
        <w:t> </w:t>
      </w:r>
      <w:r>
        <w:rPr/>
        <w:t>se trata de un único escrito. De ahí que lo determinado no le genere un</w:t>
      </w:r>
      <w:r>
        <w:rPr>
          <w:spacing w:val="1"/>
        </w:rPr>
        <w:t> </w:t>
      </w:r>
      <w:r>
        <w:rPr/>
        <w:t>perjuicio.</w:t>
      </w:r>
    </w:p>
    <w:p>
      <w:pPr>
        <w:pStyle w:val="BodyText"/>
        <w:spacing w:before="4"/>
      </w:pPr>
    </w:p>
    <w:p>
      <w:pPr>
        <w:pStyle w:val="Heading1"/>
        <w:numPr>
          <w:ilvl w:val="1"/>
          <w:numId w:val="3"/>
        </w:numPr>
        <w:tabs>
          <w:tab w:pos="1638" w:val="left" w:leader="none"/>
        </w:tabs>
        <w:spacing w:line="240" w:lineRule="auto" w:before="0" w:after="0"/>
        <w:ind w:left="1638" w:right="0" w:hanging="404"/>
        <w:jc w:val="left"/>
      </w:pPr>
      <w:r>
        <w:rPr/>
        <w:t>Aclaración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sentencia</w:t>
      </w:r>
    </w:p>
    <w:p>
      <w:pPr>
        <w:pStyle w:val="BodyText"/>
        <w:spacing w:before="4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1234" w:right="118"/>
        <w:jc w:val="both"/>
      </w:pP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11"/>
        </w:rPr>
        <w:t> </w:t>
      </w:r>
      <w:r>
        <w:rPr/>
        <w:t>62</w:t>
      </w:r>
      <w:r>
        <w:rPr>
          <w:spacing w:val="-11"/>
        </w:rPr>
        <w:t> </w:t>
      </w:r>
      <w:r>
        <w:rPr/>
        <w:t>del</w:t>
      </w:r>
      <w:r>
        <w:rPr>
          <w:spacing w:val="-8"/>
        </w:rPr>
        <w:t> </w:t>
      </w:r>
      <w:r>
        <w:rPr>
          <w:rFonts w:ascii="Arial" w:hAnsi="Arial"/>
          <w:i/>
        </w:rPr>
        <w:t>Reglamento</w:t>
      </w:r>
      <w:r>
        <w:rPr>
          <w:rFonts w:ascii="Arial" w:hAnsi="Arial"/>
          <w:i/>
          <w:spacing w:val="-9"/>
        </w:rPr>
        <w:t> </w:t>
      </w:r>
      <w:r>
        <w:rPr>
          <w:rFonts w:ascii="Arial" w:hAnsi="Arial"/>
          <w:i/>
        </w:rPr>
        <w:t>Interno</w:t>
      </w:r>
      <w:r>
        <w:rPr/>
        <w:t>,</w:t>
      </w:r>
      <w:r>
        <w:rPr>
          <w:spacing w:val="-11"/>
        </w:rPr>
        <w:t> </w:t>
      </w:r>
      <w:r>
        <w:rPr/>
        <w:t>establece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el</w:t>
      </w:r>
      <w:r>
        <w:rPr>
          <w:spacing w:val="-8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12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64"/>
        </w:rPr>
        <w:t> </w:t>
      </w:r>
      <w:r>
        <w:rPr/>
        <w:t>podrá, cuando lo juzgue necesario, aclarar un término o expresión, o</w:t>
      </w:r>
      <w:r>
        <w:rPr>
          <w:spacing w:val="1"/>
        </w:rPr>
        <w:t> </w:t>
      </w:r>
      <w:r>
        <w:rPr/>
        <w:t>precisar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/>
        <w:t>efectos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una</w:t>
      </w:r>
      <w:r>
        <w:rPr>
          <w:spacing w:val="-6"/>
        </w:rPr>
        <w:t> </w:t>
      </w:r>
      <w:r>
        <w:rPr/>
        <w:t>sentencia,</w:t>
      </w:r>
      <w:r>
        <w:rPr>
          <w:spacing w:val="-6"/>
        </w:rPr>
        <w:t> </w:t>
      </w:r>
      <w:r>
        <w:rPr/>
        <w:t>siempre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cuando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implique</w:t>
      </w:r>
      <w:r>
        <w:rPr>
          <w:spacing w:val="-7"/>
        </w:rPr>
        <w:t> </w:t>
      </w:r>
      <w:r>
        <w:rPr/>
        <w:t>una</w:t>
      </w:r>
      <w:r>
        <w:rPr>
          <w:spacing w:val="-65"/>
        </w:rPr>
        <w:t> </w:t>
      </w:r>
      <w:r>
        <w:rPr/>
        <w:t>alteración</w:t>
      </w:r>
      <w:r>
        <w:rPr>
          <w:spacing w:val="-3"/>
        </w:rPr>
        <w:t> </w:t>
      </w:r>
      <w:r>
        <w:rPr/>
        <w:t>sustancial de</w:t>
      </w:r>
      <w:r>
        <w:rPr>
          <w:spacing w:val="-1"/>
        </w:rPr>
        <w:t> </w:t>
      </w:r>
      <w:r>
        <w:rPr/>
        <w:t>puntos</w:t>
      </w:r>
      <w:r>
        <w:rPr>
          <w:spacing w:val="-3"/>
        </w:rPr>
        <w:t> </w:t>
      </w:r>
      <w:r>
        <w:rPr/>
        <w:t>resolutivos o</w:t>
      </w:r>
      <w:r>
        <w:rPr>
          <w:spacing w:val="-2"/>
        </w:rPr>
        <w:t> </w:t>
      </w:r>
      <w:r>
        <w:rPr/>
        <w:t>de su</w:t>
      </w:r>
      <w:r>
        <w:rPr>
          <w:spacing w:val="-1"/>
        </w:rPr>
        <w:t> </w:t>
      </w:r>
      <w:r>
        <w:rPr/>
        <w:t>sentido.</w:t>
      </w:r>
    </w:p>
    <w:p>
      <w:pPr>
        <w:pStyle w:val="BodyText"/>
        <w:spacing w:before="5"/>
      </w:pPr>
    </w:p>
    <w:p>
      <w:pPr>
        <w:pStyle w:val="BodyText"/>
        <w:spacing w:line="360" w:lineRule="auto"/>
        <w:ind w:left="1234" w:right="124"/>
        <w:jc w:val="both"/>
      </w:pPr>
      <w:r>
        <w:rPr/>
        <w:t>Por su</w:t>
      </w:r>
      <w:r>
        <w:rPr>
          <w:spacing w:val="1"/>
        </w:rPr>
        <w:t> </w:t>
      </w:r>
      <w:r>
        <w:rPr/>
        <w:t>parte, el artículo</w:t>
      </w:r>
      <w:r>
        <w:rPr>
          <w:spacing w:val="1"/>
        </w:rPr>
        <w:t> </w:t>
      </w:r>
      <w:r>
        <w:rPr/>
        <w:t>63 del citado</w:t>
      </w:r>
      <w:r>
        <w:rPr>
          <w:spacing w:val="1"/>
        </w:rPr>
        <w:t> </w:t>
      </w:r>
      <w:r>
        <w:rPr/>
        <w:t>reglamento establece 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aclaración procederá de oficio o a petición de parte y se ajustará a 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2138" w:val="left" w:leader="none"/>
        </w:tabs>
        <w:spacing w:line="360" w:lineRule="auto" w:before="0" w:after="0"/>
        <w:ind w:left="1801" w:right="125" w:firstLine="0"/>
        <w:jc w:val="left"/>
        <w:rPr>
          <w:sz w:val="24"/>
        </w:rPr>
      </w:pPr>
      <w:r>
        <w:rPr>
          <w:sz w:val="24"/>
        </w:rPr>
        <w:t>Resolver</w:t>
      </w:r>
      <w:r>
        <w:rPr>
          <w:spacing w:val="49"/>
          <w:sz w:val="24"/>
        </w:rPr>
        <w:t> </w:t>
      </w:r>
      <w:r>
        <w:rPr>
          <w:sz w:val="24"/>
        </w:rPr>
        <w:t>la</w:t>
      </w:r>
      <w:r>
        <w:rPr>
          <w:spacing w:val="51"/>
          <w:sz w:val="24"/>
        </w:rPr>
        <w:t> </w:t>
      </w:r>
      <w:r>
        <w:rPr>
          <w:sz w:val="24"/>
        </w:rPr>
        <w:t>contradicción,</w:t>
      </w:r>
      <w:r>
        <w:rPr>
          <w:spacing w:val="51"/>
          <w:sz w:val="24"/>
        </w:rPr>
        <w:t> </w:t>
      </w:r>
      <w:r>
        <w:rPr>
          <w:sz w:val="24"/>
        </w:rPr>
        <w:t>ambigüedad,</w:t>
      </w:r>
      <w:r>
        <w:rPr>
          <w:spacing w:val="48"/>
          <w:sz w:val="24"/>
        </w:rPr>
        <w:t> </w:t>
      </w:r>
      <w:r>
        <w:rPr>
          <w:sz w:val="24"/>
        </w:rPr>
        <w:t>oscuridad,</w:t>
      </w:r>
      <w:r>
        <w:rPr>
          <w:spacing w:val="51"/>
          <w:sz w:val="24"/>
        </w:rPr>
        <w:t> </w:t>
      </w:r>
      <w:r>
        <w:rPr>
          <w:sz w:val="24"/>
        </w:rPr>
        <w:t>omisión</w:t>
      </w:r>
      <w:r>
        <w:rPr>
          <w:spacing w:val="49"/>
          <w:sz w:val="24"/>
        </w:rPr>
        <w:t> </w:t>
      </w:r>
      <w:r>
        <w:rPr>
          <w:sz w:val="24"/>
        </w:rPr>
        <w:t>o</w:t>
      </w:r>
      <w:r>
        <w:rPr>
          <w:spacing w:val="-64"/>
          <w:sz w:val="24"/>
        </w:rPr>
        <w:t> </w:t>
      </w:r>
      <w:r>
        <w:rPr>
          <w:sz w:val="24"/>
        </w:rPr>
        <w:t>errores</w:t>
      </w:r>
      <w:r>
        <w:rPr>
          <w:spacing w:val="-1"/>
          <w:sz w:val="24"/>
        </w:rPr>
        <w:t> </w:t>
      </w:r>
      <w:r>
        <w:rPr>
          <w:sz w:val="24"/>
        </w:rPr>
        <w:t>simples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de redacción</w:t>
      </w:r>
      <w:r>
        <w:rPr>
          <w:spacing w:val="-1"/>
          <w:sz w:val="24"/>
        </w:rPr>
        <w:t> </w:t>
      </w:r>
      <w:r>
        <w:rPr>
          <w:sz w:val="24"/>
        </w:rPr>
        <w:t>en la</w:t>
      </w:r>
      <w:r>
        <w:rPr>
          <w:spacing w:val="-1"/>
          <w:sz w:val="24"/>
        </w:rPr>
        <w:t> </w:t>
      </w:r>
      <w:r>
        <w:rPr>
          <w:sz w:val="24"/>
        </w:rPr>
        <w:t>sentencia.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3"/>
        </w:numPr>
        <w:tabs>
          <w:tab w:pos="2095" w:val="left" w:leader="none"/>
        </w:tabs>
        <w:spacing w:line="240" w:lineRule="auto" w:before="0" w:after="0"/>
        <w:ind w:left="2094" w:right="0" w:hanging="294"/>
        <w:jc w:val="left"/>
        <w:rPr>
          <w:sz w:val="24"/>
        </w:rPr>
      </w:pPr>
      <w:r>
        <w:rPr>
          <w:sz w:val="24"/>
        </w:rPr>
        <w:t>Deberá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4"/>
          <w:sz w:val="24"/>
        </w:rPr>
        <w:t> </w:t>
      </w:r>
      <w:r>
        <w:rPr>
          <w:sz w:val="24"/>
        </w:rPr>
        <w:t>propuesta al</w:t>
      </w:r>
      <w:r>
        <w:rPr>
          <w:spacing w:val="-2"/>
          <w:sz w:val="24"/>
        </w:rPr>
        <w:t> </w:t>
      </w:r>
      <w:r>
        <w:rPr>
          <w:sz w:val="24"/>
        </w:rPr>
        <w:t>Pleno.</w:t>
      </w:r>
    </w:p>
    <w:p>
      <w:pPr>
        <w:pStyle w:val="BodyText"/>
        <w:spacing w:before="3"/>
        <w:rPr>
          <w:sz w:val="36"/>
        </w:rPr>
      </w:pPr>
    </w:p>
    <w:p>
      <w:pPr>
        <w:pStyle w:val="ListParagraph"/>
        <w:numPr>
          <w:ilvl w:val="2"/>
          <w:numId w:val="3"/>
        </w:numPr>
        <w:tabs>
          <w:tab w:pos="2085" w:val="left" w:leader="none"/>
        </w:tabs>
        <w:spacing w:line="360" w:lineRule="auto" w:before="1" w:after="0"/>
        <w:ind w:left="1801" w:right="123" w:firstLine="0"/>
        <w:jc w:val="left"/>
        <w:rPr>
          <w:sz w:val="24"/>
        </w:rPr>
      </w:pPr>
      <w:r>
        <w:rPr>
          <w:sz w:val="24"/>
        </w:rPr>
        <w:t>Solo podrá llevarse a cabo respecto de cuestiones discutidas en</w:t>
      </w:r>
      <w:r>
        <w:rPr>
          <w:spacing w:val="-64"/>
          <w:sz w:val="24"/>
        </w:rPr>
        <w:t> </w:t>
      </w:r>
      <w:r>
        <w:rPr>
          <w:sz w:val="24"/>
        </w:rPr>
        <w:t>litigio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tomadas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cuenta</w:t>
      </w:r>
      <w:r>
        <w:rPr>
          <w:spacing w:val="-1"/>
          <w:sz w:val="24"/>
        </w:rPr>
        <w:t> </w:t>
      </w:r>
      <w:r>
        <w:rPr>
          <w:sz w:val="24"/>
        </w:rPr>
        <w:t>al</w:t>
      </w:r>
      <w:r>
        <w:rPr>
          <w:spacing w:val="-2"/>
          <w:sz w:val="24"/>
        </w:rPr>
        <w:t> </w:t>
      </w:r>
      <w:r>
        <w:rPr>
          <w:sz w:val="24"/>
        </w:rPr>
        <w:t>emitirse la</w:t>
      </w:r>
      <w:r>
        <w:rPr>
          <w:spacing w:val="2"/>
          <w:sz w:val="24"/>
        </w:rPr>
        <w:t> </w:t>
      </w:r>
      <w:r>
        <w:rPr>
          <w:sz w:val="24"/>
        </w:rPr>
        <w:t>decisión,</w:t>
      </w:r>
      <w:r>
        <w:rPr>
          <w:spacing w:val="2"/>
          <w:sz w:val="24"/>
        </w:rPr>
        <w:t> </w:t>
      </w:r>
      <w:r>
        <w:rPr>
          <w:sz w:val="24"/>
        </w:rPr>
        <w:t>y,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3"/>
        </w:numPr>
        <w:tabs>
          <w:tab w:pos="2095" w:val="left" w:leader="none"/>
        </w:tabs>
        <w:spacing w:line="240" w:lineRule="auto" w:before="0" w:after="0"/>
        <w:ind w:left="2094" w:right="0" w:hanging="294"/>
        <w:jc w:val="left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podrá</w:t>
      </w:r>
      <w:r>
        <w:rPr>
          <w:spacing w:val="-3"/>
          <w:sz w:val="24"/>
        </w:rPr>
        <w:t> </w:t>
      </w:r>
      <w:r>
        <w:rPr>
          <w:sz w:val="24"/>
        </w:rPr>
        <w:t>modificar</w:t>
      </w:r>
      <w:r>
        <w:rPr>
          <w:spacing w:val="-1"/>
          <w:sz w:val="24"/>
        </w:rPr>
        <w:t> </w:t>
      </w:r>
      <w:r>
        <w:rPr>
          <w:sz w:val="24"/>
        </w:rPr>
        <w:t>lo</w:t>
      </w:r>
      <w:r>
        <w:rPr>
          <w:spacing w:val="-2"/>
          <w:sz w:val="24"/>
        </w:rPr>
        <w:t> </w:t>
      </w:r>
      <w:r>
        <w:rPr>
          <w:sz w:val="24"/>
        </w:rPr>
        <w:t>resuelto</w:t>
      </w:r>
      <w:r>
        <w:rPr>
          <w:spacing w:val="-1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fondo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asunto.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360" w:lineRule="auto"/>
        <w:ind w:left="1234" w:right="118"/>
        <w:jc w:val="both"/>
      </w:pPr>
      <w:r>
        <w:rPr/>
        <w:t>De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advierte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aclaración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sentencia</w:t>
      </w:r>
      <w:r>
        <w:rPr>
          <w:spacing w:val="-9"/>
        </w:rPr>
        <w:t> </w:t>
      </w:r>
      <w:r>
        <w:rPr/>
        <w:t>tiene</w:t>
      </w:r>
      <w:r>
        <w:rPr>
          <w:spacing w:val="-7"/>
        </w:rPr>
        <w:t> </w:t>
      </w:r>
      <w:r>
        <w:rPr/>
        <w:t>como</w:t>
      </w:r>
      <w:r>
        <w:rPr>
          <w:spacing w:val="-8"/>
        </w:rPr>
        <w:t> </w:t>
      </w:r>
      <w:r>
        <w:rPr/>
        <w:t>finalidad</w:t>
      </w:r>
      <w:r>
        <w:rPr>
          <w:spacing w:val="-64"/>
        </w:rPr>
        <w:t> </w:t>
      </w:r>
      <w:r>
        <w:rPr/>
        <w:t>proporcionar</w:t>
      </w:r>
      <w:r>
        <w:rPr>
          <w:spacing w:val="-13"/>
        </w:rPr>
        <w:t> </w:t>
      </w:r>
      <w:r>
        <w:rPr/>
        <w:t>mayor</w:t>
      </w:r>
      <w:r>
        <w:rPr>
          <w:spacing w:val="-12"/>
        </w:rPr>
        <w:t> </w:t>
      </w:r>
      <w:r>
        <w:rPr/>
        <w:t>claridad,</w:t>
      </w:r>
      <w:r>
        <w:rPr>
          <w:spacing w:val="-12"/>
        </w:rPr>
        <w:t> </w:t>
      </w:r>
      <w:r>
        <w:rPr/>
        <w:t>precisión</w:t>
      </w:r>
      <w:r>
        <w:rPr>
          <w:spacing w:val="-11"/>
        </w:rPr>
        <w:t> </w:t>
      </w:r>
      <w:r>
        <w:rPr/>
        <w:t>y</w:t>
      </w:r>
      <w:r>
        <w:rPr>
          <w:spacing w:val="-9"/>
        </w:rPr>
        <w:t> </w:t>
      </w:r>
      <w:r>
        <w:rPr/>
        <w:t>explicites</w:t>
      </w:r>
      <w:r>
        <w:rPr>
          <w:spacing w:val="-13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4"/>
        </w:rPr>
        <w:t> </w:t>
      </w:r>
      <w:r>
        <w:rPr/>
        <w:t>decisión</w:t>
      </w:r>
      <w:r>
        <w:rPr>
          <w:spacing w:val="-14"/>
        </w:rPr>
        <w:t> </w:t>
      </w:r>
      <w:r>
        <w:rPr/>
        <w:t>adoptada</w:t>
      </w:r>
    </w:p>
    <w:p>
      <w:pPr>
        <w:spacing w:after="0" w:line="360" w:lineRule="auto"/>
        <w:jc w:val="both"/>
        <w:sectPr>
          <w:pgSz w:w="12250" w:h="19300"/>
          <w:pgMar w:header="1191" w:footer="1544" w:top="1640" w:bottom="1740" w:left="1600" w:right="1580"/>
        </w:sectPr>
      </w:pPr>
    </w:p>
    <w:p>
      <w:pPr>
        <w:pStyle w:val="BodyText"/>
        <w:rPr>
          <w:sz w:val="14"/>
        </w:rPr>
      </w:pPr>
    </w:p>
    <w:p>
      <w:pPr>
        <w:pStyle w:val="BodyText"/>
        <w:spacing w:line="360" w:lineRule="auto" w:before="93"/>
        <w:ind w:left="102" w:right="1252"/>
        <w:jc w:val="both"/>
      </w:pPr>
      <w:r>
        <w:rPr/>
        <w:t>por este </w:t>
      </w:r>
      <w:r>
        <w:rPr>
          <w:rFonts w:ascii="Arial" w:hAnsi="Arial"/>
          <w:i/>
        </w:rPr>
        <w:t>Órgano Jurisdiccional</w:t>
      </w:r>
      <w:r>
        <w:rPr/>
        <w:t>, lo que permite tener certeza sobre el</w:t>
      </w:r>
      <w:r>
        <w:rPr>
          <w:spacing w:val="1"/>
        </w:rPr>
        <w:t> </w:t>
      </w:r>
      <w:r>
        <w:rPr/>
        <w:t>contenido y</w:t>
      </w:r>
      <w:r>
        <w:rPr>
          <w:spacing w:val="-3"/>
        </w:rPr>
        <w:t> </w:t>
      </w:r>
      <w:r>
        <w:rPr/>
        <w:t>límites,</w:t>
      </w:r>
      <w:r>
        <w:rPr>
          <w:spacing w:val="-2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 los</w:t>
      </w:r>
      <w:r>
        <w:rPr>
          <w:spacing w:val="-3"/>
        </w:rPr>
        <w:t> </w:t>
      </w:r>
      <w:r>
        <w:rPr/>
        <w:t>derechos declarados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ella.</w:t>
      </w:r>
    </w:p>
    <w:p>
      <w:pPr>
        <w:pStyle w:val="BodyText"/>
        <w:spacing w:before="4"/>
      </w:pPr>
    </w:p>
    <w:p>
      <w:pPr>
        <w:pStyle w:val="BodyText"/>
        <w:spacing w:line="357" w:lineRule="auto"/>
        <w:ind w:left="102" w:right="1248"/>
        <w:jc w:val="both"/>
      </w:pPr>
      <w:r>
        <w:rPr/>
        <w:t>Bajo</w:t>
      </w:r>
      <w:r>
        <w:rPr>
          <w:spacing w:val="-14"/>
        </w:rPr>
        <w:t> </w:t>
      </w:r>
      <w:r>
        <w:rPr/>
        <w:t>este</w:t>
      </w:r>
      <w:r>
        <w:rPr>
          <w:spacing w:val="-12"/>
        </w:rPr>
        <w:t> </w:t>
      </w:r>
      <w:r>
        <w:rPr/>
        <w:t>contexto,</w:t>
      </w:r>
      <w:r>
        <w:rPr>
          <w:spacing w:val="-10"/>
        </w:rPr>
        <w:t> </w:t>
      </w:r>
      <w:r>
        <w:rPr/>
        <w:t>la</w:t>
      </w:r>
      <w:r>
        <w:rPr>
          <w:spacing w:val="-13"/>
        </w:rPr>
        <w:t> </w:t>
      </w:r>
      <w:r>
        <w:rPr/>
        <w:t>aclaración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sentencia</w:t>
      </w:r>
      <w:r>
        <w:rPr>
          <w:spacing w:val="-11"/>
        </w:rPr>
        <w:t> </w:t>
      </w:r>
      <w:r>
        <w:rPr/>
        <w:t>formará</w:t>
      </w:r>
      <w:r>
        <w:rPr>
          <w:spacing w:val="-13"/>
        </w:rPr>
        <w:t> </w:t>
      </w:r>
      <w:r>
        <w:rPr/>
        <w:t>parte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misma,</w:t>
      </w:r>
      <w:r>
        <w:rPr>
          <w:spacing w:val="-64"/>
        </w:rPr>
        <w:t> </w:t>
      </w:r>
      <w:r>
        <w:rPr/>
        <w:t>siempre y cuando no trascienda en el resultado del fondo del asunto ni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decisión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sí</w:t>
      </w:r>
      <w:r>
        <w:rPr>
          <w:spacing w:val="-2"/>
        </w:rPr>
        <w:t> </w:t>
      </w:r>
      <w:r>
        <w:rPr/>
        <w:t>mismo considerada</w:t>
      </w:r>
      <w:r>
        <w:rPr>
          <w:position w:val="8"/>
          <w:sz w:val="16"/>
        </w:rPr>
        <w:t>6</w:t>
      </w:r>
      <w:r>
        <w:rPr/>
        <w:t>.</w:t>
      </w:r>
    </w:p>
    <w:p>
      <w:pPr>
        <w:pStyle w:val="BodyText"/>
        <w:spacing w:before="7"/>
      </w:pPr>
    </w:p>
    <w:p>
      <w:pPr>
        <w:spacing w:line="360" w:lineRule="auto" w:before="1"/>
        <w:ind w:left="102" w:right="1250" w:firstLine="0"/>
        <w:jc w:val="both"/>
        <w:rPr>
          <w:sz w:val="24"/>
        </w:rPr>
      </w:pP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base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anterior,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Tribunal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estima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improcedente la aclaración </w:t>
      </w:r>
      <w:r>
        <w:rPr>
          <w:sz w:val="24"/>
        </w:rPr>
        <w:t>pedida por los </w:t>
      </w:r>
      <w:r>
        <w:rPr>
          <w:rFonts w:ascii="Arial" w:hAnsi="Arial"/>
          <w:i/>
          <w:sz w:val="24"/>
        </w:rPr>
        <w:t>Solicitantes, </w:t>
      </w:r>
      <w:r>
        <w:rPr>
          <w:sz w:val="24"/>
        </w:rPr>
        <w:t>conforme a las</w:t>
      </w:r>
      <w:r>
        <w:rPr>
          <w:spacing w:val="-64"/>
          <w:sz w:val="24"/>
        </w:rPr>
        <w:t> </w:t>
      </w:r>
      <w:r>
        <w:rPr>
          <w:sz w:val="24"/>
        </w:rPr>
        <w:t>razones</w:t>
      </w:r>
      <w:r>
        <w:rPr>
          <w:spacing w:val="-3"/>
          <w:sz w:val="24"/>
        </w:rPr>
        <w:t> </w:t>
      </w:r>
      <w:r>
        <w:rPr>
          <w:sz w:val="24"/>
        </w:rPr>
        <w:t>que se</w:t>
      </w:r>
      <w:r>
        <w:rPr>
          <w:spacing w:val="1"/>
          <w:sz w:val="24"/>
        </w:rPr>
        <w:t> </w:t>
      </w:r>
      <w:r>
        <w:rPr>
          <w:sz w:val="24"/>
        </w:rPr>
        <w:t>indican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continuación.</w:t>
      </w:r>
    </w:p>
    <w:p>
      <w:pPr>
        <w:pStyle w:val="BodyText"/>
        <w:spacing w:before="4"/>
      </w:pPr>
    </w:p>
    <w:p>
      <w:pPr>
        <w:pStyle w:val="BodyText"/>
        <w:spacing w:line="360" w:lineRule="auto"/>
        <w:ind w:left="102" w:right="1248"/>
        <w:jc w:val="both"/>
      </w:pPr>
      <w:r>
        <w:rPr/>
        <w:t>Son dos los aspectos que, desde la óptica de los </w:t>
      </w:r>
      <w:r>
        <w:rPr>
          <w:rFonts w:ascii="Arial" w:hAnsi="Arial"/>
          <w:i/>
        </w:rPr>
        <w:t>Solicitantes</w:t>
      </w:r>
      <w:r>
        <w:rPr/>
        <w:t>, deben ser</w:t>
      </w:r>
      <w:r>
        <w:rPr>
          <w:spacing w:val="-64"/>
        </w:rPr>
        <w:t> </w:t>
      </w:r>
      <w:r>
        <w:rPr/>
        <w:t>aclarados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Órgano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Jurisdiccional</w:t>
      </w:r>
      <w:r>
        <w:rPr/>
        <w:t>,</w:t>
      </w:r>
      <w:r>
        <w:rPr>
          <w:spacing w:val="1"/>
        </w:rPr>
        <w:t> </w:t>
      </w:r>
      <w:r>
        <w:rPr/>
        <w:t>mismos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esencia,</w:t>
      </w:r>
      <w:r>
        <w:rPr>
          <w:spacing w:val="-64"/>
        </w:rPr>
        <w:t> </w:t>
      </w:r>
      <w:r>
        <w:rPr/>
        <w:t>consisten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 siguiente: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4"/>
        </w:numPr>
        <w:tabs>
          <w:tab w:pos="954" w:val="left" w:leader="none"/>
        </w:tabs>
        <w:spacing w:line="360" w:lineRule="auto" w:before="1" w:after="0"/>
        <w:ind w:left="954" w:right="1248" w:hanging="286"/>
        <w:jc w:val="both"/>
        <w:rPr>
          <w:sz w:val="24"/>
        </w:rPr>
      </w:pPr>
      <w:r>
        <w:rPr>
          <w:sz w:val="24"/>
        </w:rPr>
        <w:t>En las consideraciones y en el resolutivo segundo se determinó</w:t>
      </w:r>
      <w:r>
        <w:rPr>
          <w:spacing w:val="1"/>
          <w:sz w:val="24"/>
        </w:rPr>
        <w:t> </w:t>
      </w:r>
      <w:r>
        <w:rPr>
          <w:sz w:val="24"/>
        </w:rPr>
        <w:t>dejar a salvo los derechos de la parte actora para que acuda a</w:t>
      </w:r>
      <w:r>
        <w:rPr>
          <w:spacing w:val="1"/>
          <w:sz w:val="24"/>
        </w:rPr>
        <w:t> </w:t>
      </w:r>
      <w:r>
        <w:rPr>
          <w:sz w:val="24"/>
        </w:rPr>
        <w:t>defender sus intereses en la vía y forma que resulte procedente,</w:t>
      </w:r>
      <w:r>
        <w:rPr>
          <w:spacing w:val="-64"/>
          <w:sz w:val="24"/>
        </w:rPr>
        <w:t> </w:t>
      </w:r>
      <w:r>
        <w:rPr>
          <w:sz w:val="24"/>
        </w:rPr>
        <w:t>lo cual, en su opinión, constituye un impedimento al acceso a la</w:t>
      </w:r>
      <w:r>
        <w:rPr>
          <w:spacing w:val="1"/>
          <w:sz w:val="24"/>
        </w:rPr>
        <w:t> </w:t>
      </w:r>
      <w:r>
        <w:rPr>
          <w:sz w:val="24"/>
        </w:rPr>
        <w:t>justicia y a la tutela judicial efectiva; ello, porque el </w:t>
      </w:r>
      <w:r>
        <w:rPr>
          <w:rFonts w:ascii="Arial" w:hAnsi="Arial"/>
          <w:i/>
          <w:sz w:val="24"/>
        </w:rPr>
        <w:t>Tribunal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 </w:t>
      </w:r>
      <w:r>
        <w:rPr>
          <w:sz w:val="24"/>
        </w:rPr>
        <w:t>debió reencauzar el asunto, remitiéndolo a la autoridad</w:t>
      </w:r>
      <w:r>
        <w:rPr>
          <w:spacing w:val="-64"/>
          <w:sz w:val="24"/>
        </w:rPr>
        <w:t> </w:t>
      </w:r>
      <w:r>
        <w:rPr>
          <w:spacing w:val="-1"/>
          <w:sz w:val="24"/>
        </w:rPr>
        <w:t>que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cuente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con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competencia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legal</w:t>
      </w:r>
      <w:r>
        <w:rPr>
          <w:spacing w:val="-14"/>
          <w:sz w:val="24"/>
        </w:rPr>
        <w:t> </w:t>
      </w:r>
      <w:r>
        <w:rPr>
          <w:sz w:val="24"/>
        </w:rPr>
        <w:t>para</w:t>
      </w:r>
      <w:r>
        <w:rPr>
          <w:spacing w:val="-17"/>
          <w:sz w:val="24"/>
        </w:rPr>
        <w:t> </w:t>
      </w:r>
      <w:r>
        <w:rPr>
          <w:sz w:val="24"/>
        </w:rPr>
        <w:t>avocarse</w:t>
      </w:r>
      <w:r>
        <w:rPr>
          <w:spacing w:val="-13"/>
          <w:sz w:val="24"/>
        </w:rPr>
        <w:t> </w:t>
      </w:r>
      <w:r>
        <w:rPr>
          <w:sz w:val="24"/>
        </w:rPr>
        <w:t>al</w:t>
      </w:r>
      <w:r>
        <w:rPr>
          <w:spacing w:val="-15"/>
          <w:sz w:val="24"/>
        </w:rPr>
        <w:t> </w:t>
      </w:r>
      <w:r>
        <w:rPr>
          <w:sz w:val="24"/>
        </w:rPr>
        <w:t>conocimiento</w:t>
      </w:r>
      <w:r>
        <w:rPr>
          <w:spacing w:val="-64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resolución</w:t>
      </w:r>
      <w:r>
        <w:rPr>
          <w:spacing w:val="-2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asunto.</w:t>
      </w:r>
    </w:p>
    <w:p>
      <w:pPr>
        <w:pStyle w:val="ListParagraph"/>
        <w:numPr>
          <w:ilvl w:val="0"/>
          <w:numId w:val="4"/>
        </w:numPr>
        <w:tabs>
          <w:tab w:pos="954" w:val="left" w:leader="none"/>
        </w:tabs>
        <w:spacing w:line="360" w:lineRule="auto" w:before="0" w:after="0"/>
        <w:ind w:left="954" w:right="1248" w:hanging="286"/>
        <w:jc w:val="both"/>
        <w:rPr>
          <w:sz w:val="24"/>
        </w:rPr>
      </w:pPr>
      <w:r>
        <w:rPr>
          <w:sz w:val="24"/>
        </w:rPr>
        <w:t>Que en el apartado denominado vista y en el resolutivo tercero</w:t>
      </w:r>
      <w:r>
        <w:rPr>
          <w:spacing w:val="1"/>
          <w:sz w:val="24"/>
        </w:rPr>
        <w:t> </w:t>
      </w:r>
      <w:r>
        <w:rPr>
          <w:sz w:val="24"/>
        </w:rPr>
        <w:t>se establece dar vista al Congreso del Estado, no se precisa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qué</w:t>
      </w:r>
      <w:r>
        <w:rPr>
          <w:spacing w:val="1"/>
          <w:sz w:val="24"/>
        </w:rPr>
        <w:t> </w:t>
      </w:r>
      <w:r>
        <w:rPr>
          <w:sz w:val="24"/>
        </w:rPr>
        <w:t>cuestiones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aspectos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asunto,</w:t>
      </w:r>
      <w:r>
        <w:rPr>
          <w:spacing w:val="1"/>
          <w:sz w:val="24"/>
        </w:rPr>
        <w:t> </w:t>
      </w:r>
      <w:r>
        <w:rPr>
          <w:sz w:val="24"/>
        </w:rPr>
        <w:t>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consecuencias</w:t>
      </w:r>
      <w:r>
        <w:rPr>
          <w:spacing w:val="-3"/>
          <w:sz w:val="24"/>
        </w:rPr>
        <w:t> </w:t>
      </w:r>
      <w:r>
        <w:rPr>
          <w:sz w:val="24"/>
        </w:rPr>
        <w:t>directas que</w:t>
      </w:r>
      <w:r>
        <w:rPr>
          <w:spacing w:val="-3"/>
          <w:sz w:val="24"/>
        </w:rPr>
        <w:t> </w:t>
      </w:r>
      <w:r>
        <w:rPr>
          <w:sz w:val="24"/>
        </w:rPr>
        <w:t>ello</w:t>
      </w:r>
      <w:r>
        <w:rPr>
          <w:spacing w:val="-1"/>
          <w:sz w:val="24"/>
        </w:rPr>
        <w:t> </w:t>
      </w:r>
      <w:r>
        <w:rPr>
          <w:sz w:val="24"/>
        </w:rPr>
        <w:t>implica</w:t>
      </w:r>
      <w:r>
        <w:rPr>
          <w:spacing w:val="2"/>
          <w:sz w:val="24"/>
        </w:rPr>
        <w:t> </w:t>
      </w:r>
      <w:r>
        <w:rPr>
          <w:sz w:val="24"/>
        </w:rPr>
        <w:t>para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parte</w:t>
      </w:r>
      <w:r>
        <w:rPr>
          <w:spacing w:val="-3"/>
          <w:sz w:val="24"/>
        </w:rPr>
        <w:t> </w:t>
      </w:r>
      <w:r>
        <w:rPr>
          <w:sz w:val="24"/>
        </w:rPr>
        <w:t>actora.</w:t>
      </w:r>
    </w:p>
    <w:p>
      <w:pPr>
        <w:pStyle w:val="BodyText"/>
        <w:spacing w:before="6"/>
      </w:pPr>
    </w:p>
    <w:p>
      <w:pPr>
        <w:pStyle w:val="BodyText"/>
        <w:ind w:left="102"/>
        <w:jc w:val="both"/>
      </w:pPr>
      <w:r>
        <w:rPr/>
        <w:t>El</w:t>
      </w:r>
      <w:r>
        <w:rPr>
          <w:spacing w:val="15"/>
        </w:rPr>
        <w:t> </w:t>
      </w:r>
      <w:r>
        <w:rPr/>
        <w:t>primero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los</w:t>
      </w:r>
      <w:r>
        <w:rPr>
          <w:spacing w:val="15"/>
        </w:rPr>
        <w:t> </w:t>
      </w:r>
      <w:r>
        <w:rPr/>
        <w:t>aspectos</w:t>
      </w:r>
      <w:r>
        <w:rPr>
          <w:spacing w:val="17"/>
        </w:rPr>
        <w:t> </w:t>
      </w:r>
      <w:r>
        <w:rPr/>
        <w:t>sobre</w:t>
      </w:r>
      <w:r>
        <w:rPr>
          <w:spacing w:val="15"/>
        </w:rPr>
        <w:t> </w:t>
      </w:r>
      <w:r>
        <w:rPr/>
        <w:t>los</w:t>
      </w:r>
      <w:r>
        <w:rPr>
          <w:spacing w:val="16"/>
        </w:rPr>
        <w:t> </w:t>
      </w:r>
      <w:r>
        <w:rPr/>
        <w:t>cuales</w:t>
      </w:r>
      <w:r>
        <w:rPr>
          <w:spacing w:val="15"/>
        </w:rPr>
        <w:t> </w:t>
      </w:r>
      <w:r>
        <w:rPr/>
        <w:t>se</w:t>
      </w:r>
      <w:r>
        <w:rPr>
          <w:spacing w:val="18"/>
        </w:rPr>
        <w:t> </w:t>
      </w:r>
      <w:r>
        <w:rPr/>
        <w:t>solicita</w:t>
      </w:r>
      <w:r>
        <w:rPr>
          <w:spacing w:val="17"/>
        </w:rPr>
        <w:t> </w:t>
      </w:r>
      <w:r>
        <w:rPr/>
        <w:t>la</w:t>
      </w:r>
      <w:r>
        <w:rPr>
          <w:spacing w:val="15"/>
        </w:rPr>
        <w:t> </w:t>
      </w:r>
      <w:r>
        <w:rPr/>
        <w:t>aclaración</w:t>
      </w:r>
      <w:r>
        <w:rPr>
          <w:spacing w:val="15"/>
        </w:rPr>
        <w:t> </w:t>
      </w:r>
      <w:r>
        <w:rPr/>
        <w:t>es</w:t>
      </w:r>
    </w:p>
    <w:p>
      <w:pPr>
        <w:pStyle w:val="Heading1"/>
        <w:spacing w:before="137"/>
        <w:rPr>
          <w:rFonts w:ascii="Arial MT"/>
          <w:b w:val="0"/>
        </w:rPr>
      </w:pPr>
      <w:r>
        <w:rPr/>
        <w:t>improcedente</w:t>
      </w:r>
      <w:r>
        <w:rPr>
          <w:rFonts w:ascii="Arial MT"/>
          <w:b w:val="0"/>
        </w:rPr>
        <w:t>.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spacing w:line="360" w:lineRule="auto"/>
        <w:ind w:left="102" w:right="1248"/>
        <w:jc w:val="both"/>
      </w:pPr>
      <w:r>
        <w:rPr/>
        <w:t>Los</w:t>
      </w:r>
      <w:r>
        <w:rPr>
          <w:spacing w:val="1"/>
        </w:rPr>
        <w:t> </w:t>
      </w:r>
      <w:r>
        <w:rPr>
          <w:rFonts w:ascii="Arial" w:hAnsi="Arial"/>
          <w:i/>
        </w:rPr>
        <w:t>Solicitantes</w:t>
      </w:r>
      <w:r>
        <w:rPr>
          <w:rFonts w:ascii="Arial" w:hAnsi="Arial"/>
          <w:i/>
          <w:spacing w:val="1"/>
        </w:rPr>
        <w:t> </w:t>
      </w:r>
      <w:r>
        <w:rPr/>
        <w:t>indican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dejar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sus</w:t>
      </w:r>
      <w:r>
        <w:rPr>
          <w:spacing w:val="-64"/>
        </w:rPr>
        <w:t> </w:t>
      </w:r>
      <w:r>
        <w:rPr/>
        <w:t>derechos</w:t>
      </w:r>
      <w:r>
        <w:rPr>
          <w:spacing w:val="-4"/>
        </w:rPr>
        <w:t> </w:t>
      </w:r>
      <w:r>
        <w:rPr/>
        <w:t>debe</w:t>
      </w:r>
      <w:r>
        <w:rPr>
          <w:spacing w:val="-4"/>
        </w:rPr>
        <w:t> </w:t>
      </w:r>
      <w:r>
        <w:rPr/>
        <w:t>ser</w:t>
      </w:r>
      <w:r>
        <w:rPr>
          <w:spacing w:val="-4"/>
        </w:rPr>
        <w:t> </w:t>
      </w:r>
      <w:r>
        <w:rPr/>
        <w:t>aclarada,</w:t>
      </w:r>
      <w:r>
        <w:rPr>
          <w:spacing w:val="-3"/>
        </w:rPr>
        <w:t> </w:t>
      </w:r>
      <w:r>
        <w:rPr/>
        <w:t>debido</w:t>
      </w:r>
      <w:r>
        <w:rPr>
          <w:spacing w:val="-2"/>
        </w:rPr>
        <w:t> </w:t>
      </w:r>
      <w:r>
        <w:rPr/>
        <w:t>a</w:t>
      </w:r>
      <w:r>
        <w:rPr>
          <w:spacing w:val="-6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7"/>
        </w:rPr>
        <w:t> </w:t>
      </w:r>
      <w:r>
        <w:rPr/>
        <w:t>asunto</w:t>
      </w:r>
      <w:r>
        <w:rPr>
          <w:spacing w:val="-3"/>
        </w:rPr>
        <w:t> </w:t>
      </w:r>
      <w:r>
        <w:rPr/>
        <w:t>no</w:t>
      </w:r>
      <w:r>
        <w:rPr>
          <w:spacing w:val="-6"/>
        </w:rPr>
        <w:t> </w:t>
      </w:r>
      <w:r>
        <w:rPr/>
        <w:t>fue</w:t>
      </w:r>
      <w:r>
        <w:rPr>
          <w:spacing w:val="-4"/>
        </w:rPr>
        <w:t> </w:t>
      </w:r>
      <w:r>
        <w:rPr/>
        <w:t>reencauzado</w:t>
      </w:r>
      <w:r>
        <w:rPr>
          <w:spacing w:val="-64"/>
        </w:rPr>
        <w:t> </w:t>
      </w:r>
      <w:r>
        <w:rPr/>
        <w:t>a la autoridad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considere</w:t>
      </w:r>
      <w:r>
        <w:rPr>
          <w:spacing w:val="-4"/>
        </w:rPr>
        <w:t> </w:t>
      </w:r>
      <w:r>
        <w:rPr/>
        <w:t>competente.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rPr/>
        <w:pict>
          <v:rect style="position:absolute;margin-left:85.103996pt;margin-top:17.2945pt;width:144.020pt;height:.7200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02" w:right="1251" w:firstLine="0"/>
        <w:jc w:val="both"/>
        <w:rPr>
          <w:rFonts w:ascii="Arial" w:hAnsi="Arial"/>
          <w:i/>
          <w:sz w:val="20"/>
        </w:rPr>
      </w:pPr>
      <w:r>
        <w:rPr>
          <w:w w:val="80"/>
          <w:position w:val="5"/>
          <w:sz w:val="13"/>
        </w:rPr>
        <w:t>6</w:t>
      </w:r>
      <w:r>
        <w:rPr>
          <w:spacing w:val="1"/>
          <w:w w:val="80"/>
          <w:position w:val="5"/>
          <w:sz w:val="13"/>
        </w:rPr>
        <w:t> </w:t>
      </w:r>
      <w:r>
        <w:rPr>
          <w:w w:val="80"/>
          <w:sz w:val="20"/>
        </w:rPr>
        <w:t>Tal circunstancia tiene sustento en la jurisprudencia 11/2005, emitida por la Sala Superior del Tribunal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Electoral del Poder Judicial de la Federación, de rubro: </w:t>
      </w:r>
      <w:r>
        <w:rPr>
          <w:rFonts w:ascii="Arial" w:hAnsi="Arial"/>
          <w:b/>
          <w:i/>
          <w:w w:val="80"/>
          <w:sz w:val="20"/>
        </w:rPr>
        <w:t>ACLARACIÓN DE SENTENCIA. FORMA PARTE</w:t>
      </w:r>
      <w:r>
        <w:rPr>
          <w:rFonts w:ascii="Arial" w:hAnsi="Arial"/>
          <w:b/>
          <w:i/>
          <w:spacing w:val="1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DEL</w:t>
      </w:r>
      <w:r>
        <w:rPr>
          <w:rFonts w:ascii="Arial" w:hAnsi="Arial"/>
          <w:b/>
          <w:i/>
          <w:spacing w:val="5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SISTEMA</w:t>
      </w:r>
      <w:r>
        <w:rPr>
          <w:rFonts w:ascii="Arial" w:hAnsi="Arial"/>
          <w:b/>
          <w:i/>
          <w:spacing w:val="7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PROCESAL</w:t>
      </w:r>
      <w:r>
        <w:rPr>
          <w:rFonts w:ascii="Arial" w:hAnsi="Arial"/>
          <w:b/>
          <w:i/>
          <w:spacing w:val="10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ELECTORAL,</w:t>
      </w:r>
      <w:r>
        <w:rPr>
          <w:rFonts w:ascii="Arial" w:hAnsi="Arial"/>
          <w:b/>
          <w:i/>
          <w:spacing w:val="6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AUNQUE</w:t>
      </w:r>
      <w:r>
        <w:rPr>
          <w:rFonts w:ascii="Arial" w:hAnsi="Arial"/>
          <w:b/>
          <w:i/>
          <w:spacing w:val="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NO</w:t>
      </w:r>
      <w:r>
        <w:rPr>
          <w:rFonts w:ascii="Arial" w:hAnsi="Arial"/>
          <w:b/>
          <w:i/>
          <w:spacing w:val="8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SE</w:t>
      </w:r>
      <w:r>
        <w:rPr>
          <w:rFonts w:ascii="Arial" w:hAnsi="Arial"/>
          <w:b/>
          <w:i/>
          <w:spacing w:val="6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DISPONGA</w:t>
      </w:r>
      <w:r>
        <w:rPr>
          <w:rFonts w:ascii="Arial" w:hAnsi="Arial"/>
          <w:b/>
          <w:i/>
          <w:spacing w:val="5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EXPRESAMENTE</w:t>
      </w:r>
      <w:r>
        <w:rPr>
          <w:rFonts w:ascii="Arial" w:hAnsi="Arial"/>
          <w:i/>
          <w:w w:val="80"/>
          <w:sz w:val="20"/>
        </w:rPr>
        <w:t>.</w:t>
      </w:r>
    </w:p>
    <w:p>
      <w:pPr>
        <w:spacing w:after="0"/>
        <w:jc w:val="both"/>
        <w:rPr>
          <w:rFonts w:ascii="Arial" w:hAnsi="Arial"/>
          <w:sz w:val="20"/>
        </w:rPr>
        <w:sectPr>
          <w:pgSz w:w="12250" w:h="19300"/>
          <w:pgMar w:header="1191" w:footer="1544" w:top="1640" w:bottom="1740" w:left="1600" w:right="1580"/>
        </w:sectPr>
      </w:pPr>
    </w:p>
    <w:p>
      <w:pPr>
        <w:pStyle w:val="BodyText"/>
        <w:rPr>
          <w:rFonts w:ascii="Arial"/>
          <w:i/>
          <w:sz w:val="14"/>
        </w:rPr>
      </w:pPr>
    </w:p>
    <w:p>
      <w:pPr>
        <w:pStyle w:val="BodyText"/>
        <w:spacing w:line="360" w:lineRule="auto" w:before="93"/>
        <w:ind w:left="1234" w:right="118"/>
        <w:jc w:val="both"/>
      </w:pPr>
      <w:r>
        <w:rPr/>
        <w:t>Así pues, la razón de la improcedencia de la aclaración radica en que lo</w:t>
      </w:r>
      <w:r>
        <w:rPr>
          <w:spacing w:val="-64"/>
        </w:rPr>
        <w:t> </w:t>
      </w:r>
      <w:r>
        <w:rPr/>
        <w:t>señalado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aclaración</w:t>
      </w:r>
      <w:r>
        <w:rPr>
          <w:spacing w:val="1"/>
        </w:rPr>
        <w:t> </w:t>
      </w:r>
      <w:r>
        <w:rPr/>
        <w:t>implicaría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modificación</w:t>
      </w:r>
      <w:r>
        <w:rPr>
          <w:spacing w:val="1"/>
        </w:rPr>
        <w:t> </w:t>
      </w:r>
      <w:r>
        <w:rPr/>
        <w:t>sustancial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asunto,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traería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consecuencia</w:t>
      </w:r>
      <w:r>
        <w:rPr>
          <w:spacing w:val="-1"/>
        </w:rPr>
        <w:t> </w:t>
      </w:r>
      <w:r>
        <w:rPr/>
        <w:t>cambiar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sentido de lo</w:t>
      </w:r>
      <w:r>
        <w:rPr>
          <w:spacing w:val="-1"/>
        </w:rPr>
        <w:t> </w:t>
      </w:r>
      <w:r>
        <w:rPr/>
        <w:t>resuelto.</w:t>
      </w:r>
    </w:p>
    <w:p>
      <w:pPr>
        <w:pStyle w:val="BodyText"/>
        <w:spacing w:before="4"/>
      </w:pPr>
    </w:p>
    <w:p>
      <w:pPr>
        <w:pStyle w:val="BodyText"/>
        <w:spacing w:line="360" w:lineRule="auto" w:before="1"/>
        <w:ind w:left="1234" w:right="115"/>
        <w:jc w:val="both"/>
      </w:pPr>
      <w:r>
        <w:rPr/>
        <w:t>Tal conclusión, tiene sustento en lo que establece el artículo 63 del</w:t>
      </w:r>
      <w:r>
        <w:rPr>
          <w:spacing w:val="1"/>
        </w:rPr>
        <w:t> </w:t>
      </w:r>
      <w:r>
        <w:rPr>
          <w:rFonts w:ascii="Arial" w:hAnsi="Arial"/>
          <w:i/>
          <w:spacing w:val="-1"/>
        </w:rPr>
        <w:t>Reglamento</w:t>
      </w:r>
      <w:r>
        <w:rPr>
          <w:rFonts w:ascii="Arial" w:hAnsi="Arial"/>
          <w:i/>
          <w:spacing w:val="-14"/>
        </w:rPr>
        <w:t> </w:t>
      </w:r>
      <w:r>
        <w:rPr>
          <w:rFonts w:ascii="Arial" w:hAnsi="Arial"/>
          <w:i/>
          <w:spacing w:val="-1"/>
        </w:rPr>
        <w:t>Interno</w:t>
      </w:r>
      <w:r>
        <w:rPr>
          <w:spacing w:val="-1"/>
        </w:rPr>
        <w:t>,</w:t>
      </w:r>
      <w:r>
        <w:rPr>
          <w:spacing w:val="-14"/>
        </w:rPr>
        <w:t> </w:t>
      </w:r>
      <w:r>
        <w:rPr>
          <w:spacing w:val="-1"/>
        </w:rPr>
        <w:t>el</w:t>
      </w:r>
      <w:r>
        <w:rPr>
          <w:spacing w:val="-17"/>
        </w:rPr>
        <w:t> </w:t>
      </w:r>
      <w:r>
        <w:rPr>
          <w:spacing w:val="-1"/>
        </w:rPr>
        <w:t>cual</w:t>
      </w:r>
      <w:r>
        <w:rPr>
          <w:spacing w:val="-14"/>
        </w:rPr>
        <w:t> </w:t>
      </w:r>
      <w:r>
        <w:rPr/>
        <w:t>dispone</w:t>
      </w:r>
      <w:r>
        <w:rPr>
          <w:spacing w:val="-16"/>
        </w:rPr>
        <w:t> </w:t>
      </w:r>
      <w:r>
        <w:rPr/>
        <w:t>que</w:t>
      </w:r>
      <w:r>
        <w:rPr>
          <w:spacing w:val="-15"/>
        </w:rPr>
        <w:t> </w:t>
      </w:r>
      <w:r>
        <w:rPr/>
        <w:t>no</w:t>
      </w:r>
      <w:r>
        <w:rPr>
          <w:spacing w:val="-14"/>
        </w:rPr>
        <w:t> </w:t>
      </w:r>
      <w:r>
        <w:rPr/>
        <w:t>se</w:t>
      </w:r>
      <w:r>
        <w:rPr>
          <w:spacing w:val="-16"/>
        </w:rPr>
        <w:t> </w:t>
      </w:r>
      <w:r>
        <w:rPr/>
        <w:t>podrá</w:t>
      </w:r>
      <w:r>
        <w:rPr>
          <w:spacing w:val="-17"/>
        </w:rPr>
        <w:t> </w:t>
      </w:r>
      <w:r>
        <w:rPr/>
        <w:t>modificar</w:t>
      </w:r>
      <w:r>
        <w:rPr>
          <w:spacing w:val="-15"/>
        </w:rPr>
        <w:t> </w:t>
      </w:r>
      <w:r>
        <w:rPr/>
        <w:t>lo</w:t>
      </w:r>
      <w:r>
        <w:rPr>
          <w:spacing w:val="-14"/>
        </w:rPr>
        <w:t> </w:t>
      </w:r>
      <w:r>
        <w:rPr/>
        <w:t>resuelto</w:t>
      </w:r>
      <w:r>
        <w:rPr>
          <w:spacing w:val="-64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asunto,</w:t>
      </w:r>
      <w:r>
        <w:rPr>
          <w:spacing w:val="-5"/>
        </w:rPr>
        <w:t> </w:t>
      </w:r>
      <w:r>
        <w:rPr/>
        <w:t>ya</w:t>
      </w:r>
      <w:r>
        <w:rPr>
          <w:spacing w:val="-7"/>
        </w:rPr>
        <w:t> </w:t>
      </w:r>
      <w:r>
        <w:rPr/>
        <w:t>que,</w:t>
      </w:r>
      <w:r>
        <w:rPr>
          <w:spacing w:val="-9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caso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análisis,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consecuencia</w:t>
      </w:r>
      <w:r>
        <w:rPr>
          <w:spacing w:val="-5"/>
        </w:rPr>
        <w:t> </w:t>
      </w:r>
      <w:r>
        <w:rPr/>
        <w:t>sería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64"/>
        </w:rPr>
        <w:t> </w:t>
      </w:r>
      <w:r>
        <w:rPr/>
        <w:t>vista</w:t>
      </w:r>
      <w:r>
        <w:rPr>
          <w:spacing w:val="-5"/>
        </w:rPr>
        <w:t> </w:t>
      </w:r>
      <w:r>
        <w:rPr/>
        <w:t>decretada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sentencia</w:t>
      </w:r>
      <w:r>
        <w:rPr>
          <w:spacing w:val="-1"/>
        </w:rPr>
        <w:t> </w:t>
      </w:r>
      <w:r>
        <w:rPr/>
        <w:t>se</w:t>
      </w:r>
      <w:r>
        <w:rPr>
          <w:spacing w:val="-5"/>
        </w:rPr>
        <w:t> </w:t>
      </w:r>
      <w:r>
        <w:rPr/>
        <w:t>cambiara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un</w:t>
      </w:r>
      <w:r>
        <w:rPr>
          <w:spacing w:val="-4"/>
        </w:rPr>
        <w:t> </w:t>
      </w:r>
      <w:r>
        <w:rPr/>
        <w:t>reencauzamiento</w:t>
      </w:r>
      <w:r>
        <w:rPr>
          <w:spacing w:val="-5"/>
        </w:rPr>
        <w:t> </w:t>
      </w:r>
      <w:r>
        <w:rPr/>
        <w:t>del</w:t>
      </w:r>
      <w:r>
        <w:rPr>
          <w:spacing w:val="-64"/>
        </w:rPr>
        <w:t> </w:t>
      </w:r>
      <w:r>
        <w:rPr/>
        <w:t>asunto,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ahí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1"/>
        </w:rPr>
        <w:t> </w:t>
      </w:r>
      <w:r>
        <w:rPr/>
        <w:t>pueda</w:t>
      </w:r>
      <w:r>
        <w:rPr>
          <w:spacing w:val="-3"/>
        </w:rPr>
        <w:t> </w:t>
      </w:r>
      <w:r>
        <w:rPr/>
        <w:t>acoger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pretensión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6"/>
        </w:rPr>
        <w:t> </w:t>
      </w:r>
      <w:r>
        <w:rPr>
          <w:rFonts w:ascii="Arial" w:hAnsi="Arial"/>
          <w:i/>
        </w:rPr>
        <w:t>Solicitantes</w:t>
      </w:r>
      <w:r>
        <w:rPr/>
        <w:t>.</w:t>
      </w:r>
    </w:p>
    <w:p>
      <w:pPr>
        <w:pStyle w:val="BodyText"/>
        <w:spacing w:before="4"/>
      </w:pPr>
    </w:p>
    <w:p>
      <w:pPr>
        <w:pStyle w:val="BodyText"/>
        <w:spacing w:line="360" w:lineRule="auto"/>
        <w:ind w:left="1234" w:right="118"/>
        <w:jc w:val="both"/>
      </w:pPr>
      <w:r>
        <w:rPr/>
        <w:t>Mismo</w:t>
      </w:r>
      <w:r>
        <w:rPr>
          <w:spacing w:val="1"/>
        </w:rPr>
        <w:t> </w:t>
      </w:r>
      <w:r>
        <w:rPr/>
        <w:t>calificativo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rFonts w:ascii="Arial" w:hAnsi="Arial"/>
          <w:b/>
        </w:rPr>
        <w:t>improcedente</w:t>
      </w:r>
      <w:r>
        <w:rPr>
          <w:rFonts w:ascii="Arial" w:hAnsi="Arial"/>
          <w:b/>
          <w:spacing w:val="1"/>
        </w:rPr>
        <w:t> </w:t>
      </w:r>
      <w:r>
        <w:rPr/>
        <w:t>merece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planteamientos hechos valer, puesto que, contrario a lo indicado por los</w:t>
      </w:r>
      <w:r>
        <w:rPr>
          <w:spacing w:val="1"/>
        </w:rPr>
        <w:t> </w:t>
      </w:r>
      <w:r>
        <w:rPr>
          <w:rFonts w:ascii="Arial" w:hAnsi="Arial"/>
          <w:i/>
        </w:rPr>
        <w:t>Solicitantes</w:t>
      </w:r>
      <w:r>
        <w:rPr/>
        <w:t>,</w:t>
      </w:r>
      <w:r>
        <w:rPr>
          <w:spacing w:val="-14"/>
        </w:rPr>
        <w:t> </w:t>
      </w:r>
      <w:r>
        <w:rPr/>
        <w:t>en</w:t>
      </w:r>
      <w:r>
        <w:rPr>
          <w:spacing w:val="-13"/>
        </w:rPr>
        <w:t> </w:t>
      </w:r>
      <w:r>
        <w:rPr/>
        <w:t>cuanto</w:t>
      </w:r>
      <w:r>
        <w:rPr>
          <w:spacing w:val="-16"/>
        </w:rPr>
        <w:t> </w:t>
      </w:r>
      <w:r>
        <w:rPr/>
        <w:t>a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no</w:t>
      </w:r>
      <w:r>
        <w:rPr>
          <w:spacing w:val="-13"/>
        </w:rPr>
        <w:t> </w:t>
      </w:r>
      <w:r>
        <w:rPr/>
        <w:t>se</w:t>
      </w:r>
      <w:r>
        <w:rPr>
          <w:spacing w:val="-14"/>
        </w:rPr>
        <w:t> </w:t>
      </w:r>
      <w:r>
        <w:rPr/>
        <w:t>especifican</w:t>
      </w:r>
      <w:r>
        <w:rPr>
          <w:spacing w:val="-13"/>
        </w:rPr>
        <w:t> </w:t>
      </w:r>
      <w:r>
        <w:rPr/>
        <w:t>las</w:t>
      </w:r>
      <w:r>
        <w:rPr>
          <w:spacing w:val="-14"/>
        </w:rPr>
        <w:t> </w:t>
      </w:r>
      <w:r>
        <w:rPr/>
        <w:t>razones</w:t>
      </w:r>
      <w:r>
        <w:rPr>
          <w:spacing w:val="-15"/>
        </w:rPr>
        <w:t> </w:t>
      </w:r>
      <w:r>
        <w:rPr/>
        <w:t>por</w:t>
      </w:r>
      <w:r>
        <w:rPr>
          <w:spacing w:val="-15"/>
        </w:rPr>
        <w:t> </w:t>
      </w:r>
      <w:r>
        <w:rPr/>
        <w:t>las</w:t>
      </w:r>
      <w:r>
        <w:rPr>
          <w:spacing w:val="-15"/>
        </w:rPr>
        <w:t> </w:t>
      </w:r>
      <w:r>
        <w:rPr/>
        <w:t>cuales</w:t>
      </w:r>
      <w:r>
        <w:rPr>
          <w:spacing w:val="-64"/>
        </w:rPr>
        <w:t> </w:t>
      </w:r>
      <w:r>
        <w:rPr/>
        <w:t>se</w:t>
      </w:r>
      <w:r>
        <w:rPr>
          <w:spacing w:val="-1"/>
        </w:rPr>
        <w:t> </w:t>
      </w:r>
      <w:r>
        <w:rPr/>
        <w:t>ordenó</w:t>
      </w:r>
      <w:r>
        <w:rPr>
          <w:spacing w:val="-2"/>
        </w:rPr>
        <w:t> </w:t>
      </w:r>
      <w:r>
        <w:rPr/>
        <w:t>dar vista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Michoacán.</w:t>
      </w:r>
    </w:p>
    <w:p>
      <w:pPr>
        <w:pStyle w:val="BodyText"/>
        <w:spacing w:before="5"/>
      </w:pPr>
    </w:p>
    <w:p>
      <w:pPr>
        <w:pStyle w:val="BodyText"/>
        <w:spacing w:line="360" w:lineRule="auto"/>
        <w:ind w:left="1234" w:right="115"/>
        <w:jc w:val="both"/>
      </w:pPr>
      <w:r>
        <w:rPr/>
        <w:t>Se</w:t>
      </w:r>
      <w:r>
        <w:rPr>
          <w:spacing w:val="1"/>
        </w:rPr>
        <w:t> </w:t>
      </w:r>
      <w:r>
        <w:rPr/>
        <w:t>estima</w:t>
      </w:r>
      <w:r>
        <w:rPr>
          <w:spacing w:val="1"/>
        </w:rPr>
        <w:t> </w:t>
      </w:r>
      <w:r>
        <w:rPr/>
        <w:t>así,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afirmado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>
          <w:rFonts w:ascii="Arial" w:hAnsi="Arial"/>
          <w:i/>
        </w:rPr>
        <w:t>Solicitantes</w:t>
      </w:r>
      <w:r>
        <w:rPr/>
        <w:t>, en la </w:t>
      </w:r>
      <w:r>
        <w:rPr>
          <w:rFonts w:ascii="Arial" w:hAnsi="Arial"/>
          <w:i/>
        </w:rPr>
        <w:t>Sentencia </w:t>
      </w:r>
      <w:r>
        <w:rPr/>
        <w:t>se especifica que se ordena dar vista al</w:t>
      </w:r>
      <w:r>
        <w:rPr>
          <w:spacing w:val="1"/>
        </w:rPr>
        <w:t> </w:t>
      </w:r>
      <w:r>
        <w:rPr/>
        <w:t>Congreso del Estado, debido a que en Michoacán no existe una Sala de</w:t>
      </w:r>
      <w:r>
        <w:rPr>
          <w:spacing w:val="-64"/>
        </w:rPr>
        <w:t> </w:t>
      </w:r>
      <w:r>
        <w:rPr/>
        <w:t>Justicia</w:t>
      </w:r>
      <w:r>
        <w:rPr>
          <w:spacing w:val="-6"/>
        </w:rPr>
        <w:t> </w:t>
      </w:r>
      <w:r>
        <w:rPr/>
        <w:t>Indígena,</w:t>
      </w:r>
      <w:r>
        <w:rPr>
          <w:spacing w:val="-6"/>
        </w:rPr>
        <w:t> </w:t>
      </w:r>
      <w:r>
        <w:rPr/>
        <w:t>como</w:t>
      </w:r>
      <w:r>
        <w:rPr>
          <w:spacing w:val="-6"/>
        </w:rPr>
        <w:t> </w:t>
      </w:r>
      <w:r>
        <w:rPr/>
        <w:t>sí</w:t>
      </w:r>
      <w:r>
        <w:rPr>
          <w:spacing w:val="-6"/>
        </w:rPr>
        <w:t> </w:t>
      </w:r>
      <w:r>
        <w:rPr/>
        <w:t>ocurre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otras</w:t>
      </w:r>
      <w:r>
        <w:rPr>
          <w:spacing w:val="-7"/>
        </w:rPr>
        <w:t> </w:t>
      </w:r>
      <w:r>
        <w:rPr/>
        <w:t>entidades</w:t>
      </w:r>
      <w:r>
        <w:rPr>
          <w:spacing w:val="-7"/>
        </w:rPr>
        <w:t> </w:t>
      </w:r>
      <w:r>
        <w:rPr/>
        <w:t>federativas</w:t>
      </w:r>
      <w:r>
        <w:rPr>
          <w:position w:val="8"/>
          <w:sz w:val="16"/>
        </w:rPr>
        <w:t>7</w:t>
      </w:r>
      <w:r>
        <w:rPr/>
        <w:t>,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es</w:t>
      </w:r>
      <w:r>
        <w:rPr>
          <w:spacing w:val="-64"/>
        </w:rPr>
        <w:t> </w:t>
      </w:r>
      <w:r>
        <w:rPr/>
        <w:t>la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cuenta</w:t>
      </w:r>
      <w:r>
        <w:rPr>
          <w:spacing w:val="-4"/>
        </w:rPr>
        <w:t> </w:t>
      </w:r>
      <w:r>
        <w:rPr/>
        <w:t>con</w:t>
      </w:r>
      <w:r>
        <w:rPr>
          <w:spacing w:val="-6"/>
        </w:rPr>
        <w:t> </w:t>
      </w:r>
      <w:r>
        <w:rPr/>
        <w:t>atribuciones</w:t>
      </w:r>
      <w:r>
        <w:rPr>
          <w:spacing w:val="-8"/>
        </w:rPr>
        <w:t> </w:t>
      </w:r>
      <w:r>
        <w:rPr/>
        <w:t>legales</w:t>
      </w:r>
      <w:r>
        <w:rPr>
          <w:spacing w:val="-6"/>
        </w:rPr>
        <w:t> </w:t>
      </w:r>
      <w:r>
        <w:rPr/>
        <w:t>para</w:t>
      </w:r>
      <w:r>
        <w:rPr>
          <w:spacing w:val="-5"/>
        </w:rPr>
        <w:t> </w:t>
      </w:r>
      <w:r>
        <w:rPr/>
        <w:t>resolver</w:t>
      </w:r>
      <w:r>
        <w:rPr>
          <w:spacing w:val="-5"/>
        </w:rPr>
        <w:t> </w:t>
      </w:r>
      <w:r>
        <w:rPr/>
        <w:t>los</w:t>
      </w:r>
      <w:r>
        <w:rPr>
          <w:spacing w:val="-7"/>
        </w:rPr>
        <w:t> </w:t>
      </w:r>
      <w:r>
        <w:rPr/>
        <w:t>asuntos</w:t>
      </w:r>
      <w:r>
        <w:rPr>
          <w:spacing w:val="-7"/>
        </w:rPr>
        <w:t> </w:t>
      </w:r>
      <w:r>
        <w:rPr/>
        <w:t>como</w:t>
      </w:r>
      <w:r>
        <w:rPr>
          <w:spacing w:val="-7"/>
        </w:rPr>
        <w:t> </w:t>
      </w:r>
      <w:r>
        <w:rPr/>
        <w:t>el</w:t>
      </w:r>
      <w:r>
        <w:rPr>
          <w:spacing w:val="-64"/>
        </w:rPr>
        <w:t> </w:t>
      </w:r>
      <w:r>
        <w:rPr/>
        <w:t>que aquí se plantea; esto es con la finalidad de que se les haga del</w:t>
      </w:r>
      <w:r>
        <w:rPr>
          <w:spacing w:val="1"/>
        </w:rPr>
        <w:t> </w:t>
      </w:r>
      <w:r>
        <w:rPr/>
        <w:t>conocimiento tal circunstancia, sin que ello implique que deba hacer un</w:t>
      </w:r>
      <w:r>
        <w:rPr>
          <w:spacing w:val="1"/>
        </w:rPr>
        <w:t> </w:t>
      </w:r>
      <w:r>
        <w:rPr/>
        <w:t>pronunciamiento</w:t>
      </w:r>
      <w:r>
        <w:rPr>
          <w:spacing w:val="-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caso</w:t>
      </w:r>
      <w:r>
        <w:rPr>
          <w:spacing w:val="-2"/>
        </w:rPr>
        <w:t> </w:t>
      </w:r>
      <w:r>
        <w:rPr/>
        <w:t>concreto.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360" w:lineRule="auto" w:before="1"/>
        <w:ind w:left="1234" w:right="119"/>
        <w:jc w:val="both"/>
      </w:pPr>
      <w:r>
        <w:rPr/>
        <w:t>De ahí que para este </w:t>
      </w:r>
      <w:r>
        <w:rPr>
          <w:rFonts w:ascii="Arial" w:hAnsi="Arial"/>
          <w:i/>
        </w:rPr>
        <w:t>Órgano jurisdiccional </w:t>
      </w:r>
      <w:r>
        <w:rPr/>
        <w:t>no exista ambigüedad u</w:t>
      </w:r>
      <w:r>
        <w:rPr>
          <w:spacing w:val="1"/>
        </w:rPr>
        <w:t> </w:t>
      </w:r>
      <w:r>
        <w:rPr/>
        <w:t>obscuridad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determinado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deba ser</w:t>
      </w:r>
      <w:r>
        <w:rPr>
          <w:spacing w:val="-4"/>
        </w:rPr>
        <w:t> </w:t>
      </w:r>
      <w:r>
        <w:rPr/>
        <w:t>motivo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aclaración.</w:t>
      </w:r>
    </w:p>
    <w:p>
      <w:pPr>
        <w:pStyle w:val="BodyText"/>
        <w:spacing w:before="5"/>
      </w:pPr>
    </w:p>
    <w:p>
      <w:pPr>
        <w:pStyle w:val="BodyText"/>
        <w:ind w:left="1234"/>
        <w:jc w:val="both"/>
      </w:pP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previamente</w:t>
      </w:r>
      <w:r>
        <w:rPr>
          <w:spacing w:val="-2"/>
        </w:rPr>
        <w:t> </w:t>
      </w:r>
      <w:r>
        <w:rPr/>
        <w:t>expuesto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fundado,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emite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siguiente</w:t>
      </w:r>
    </w:p>
    <w:p>
      <w:pPr>
        <w:pStyle w:val="BodyText"/>
        <w:spacing w:before="4"/>
        <w:rPr>
          <w:sz w:val="36"/>
        </w:rPr>
      </w:pPr>
    </w:p>
    <w:p>
      <w:pPr>
        <w:pStyle w:val="Heading1"/>
        <w:numPr>
          <w:ilvl w:val="0"/>
          <w:numId w:val="4"/>
        </w:numPr>
        <w:tabs>
          <w:tab w:pos="4478" w:val="left" w:leader="none"/>
        </w:tabs>
        <w:spacing w:line="240" w:lineRule="auto" w:before="0" w:after="0"/>
        <w:ind w:left="4477" w:right="0" w:hanging="337"/>
        <w:jc w:val="left"/>
      </w:pPr>
      <w:r>
        <w:rPr/>
        <w:t>RESOLUTIVO</w:t>
      </w:r>
    </w:p>
    <w:p>
      <w:pPr>
        <w:pStyle w:val="BodyText"/>
        <w:spacing w:before="3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1234" w:right="117"/>
        <w:jc w:val="both"/>
      </w:pPr>
      <w:r>
        <w:rPr>
          <w:rFonts w:ascii="Arial" w:hAnsi="Arial"/>
          <w:b/>
        </w:rPr>
        <w:t>ÚNICO. </w:t>
      </w:r>
      <w:r>
        <w:rPr/>
        <w:t>No ha lugar a aclarar la sentencia de veintidós de noviembre de</w:t>
      </w:r>
      <w:r>
        <w:rPr>
          <w:spacing w:val="-64"/>
        </w:rPr>
        <w:t> </w:t>
      </w:r>
      <w:r>
        <w:rPr/>
        <w:t>dos</w:t>
      </w:r>
      <w:r>
        <w:rPr>
          <w:spacing w:val="-4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veintiuno,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términos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razonado</w:t>
      </w:r>
      <w:r>
        <w:rPr>
          <w:spacing w:val="-6"/>
        </w:rPr>
        <w:t> </w:t>
      </w:r>
      <w:r>
        <w:rPr/>
        <w:t>en</w:t>
      </w:r>
      <w:r>
        <w:rPr>
          <w:spacing w:val="2"/>
        </w:rPr>
        <w:t> </w:t>
      </w:r>
      <w:r>
        <w:rPr/>
        <w:t>la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resolución.</w:t>
      </w:r>
    </w:p>
    <w:p>
      <w:pPr>
        <w:pStyle w:val="BodyText"/>
        <w:spacing w:before="5"/>
      </w:pPr>
    </w:p>
    <w:p>
      <w:pPr>
        <w:spacing w:line="360" w:lineRule="auto" w:before="0"/>
        <w:ind w:left="1234" w:right="116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Notifíquese. Personalmente </w:t>
      </w:r>
      <w:r>
        <w:rPr>
          <w:sz w:val="24"/>
        </w:rPr>
        <w:t>a la parte actora; </w:t>
      </w:r>
      <w:r>
        <w:rPr>
          <w:rFonts w:ascii="Arial" w:hAnsi="Arial"/>
          <w:b/>
          <w:sz w:val="24"/>
        </w:rPr>
        <w:t>por oficio </w:t>
      </w:r>
      <w:r>
        <w:rPr>
          <w:sz w:val="24"/>
        </w:rPr>
        <w:t>a la autoridad</w:t>
      </w:r>
      <w:r>
        <w:rPr>
          <w:spacing w:val="-64"/>
          <w:sz w:val="24"/>
        </w:rPr>
        <w:t> </w:t>
      </w:r>
      <w:r>
        <w:rPr>
          <w:sz w:val="24"/>
        </w:rPr>
        <w:t>responsable,</w:t>
      </w:r>
      <w:r>
        <w:rPr>
          <w:spacing w:val="31"/>
          <w:sz w:val="24"/>
        </w:rPr>
        <w:t> </w:t>
      </w:r>
      <w:r>
        <w:rPr>
          <w:sz w:val="24"/>
        </w:rPr>
        <w:t>así</w:t>
      </w:r>
      <w:r>
        <w:rPr>
          <w:spacing w:val="32"/>
          <w:sz w:val="24"/>
        </w:rPr>
        <w:t> </w:t>
      </w:r>
      <w:r>
        <w:rPr>
          <w:sz w:val="24"/>
        </w:rPr>
        <w:t>como</w:t>
      </w:r>
      <w:r>
        <w:rPr>
          <w:spacing w:val="32"/>
          <w:sz w:val="24"/>
        </w:rPr>
        <w:t> </w:t>
      </w:r>
      <w:r>
        <w:rPr>
          <w:sz w:val="24"/>
        </w:rPr>
        <w:t>al</w:t>
      </w:r>
      <w:r>
        <w:rPr>
          <w:spacing w:val="32"/>
          <w:sz w:val="24"/>
        </w:rPr>
        <w:t> </w:t>
      </w:r>
      <w:r>
        <w:rPr>
          <w:sz w:val="24"/>
        </w:rPr>
        <w:t>Congreso</w:t>
      </w:r>
      <w:r>
        <w:rPr>
          <w:spacing w:val="32"/>
          <w:sz w:val="24"/>
        </w:rPr>
        <w:t> </w:t>
      </w:r>
      <w:r>
        <w:rPr>
          <w:sz w:val="24"/>
        </w:rPr>
        <w:t>del</w:t>
      </w:r>
      <w:r>
        <w:rPr>
          <w:spacing w:val="32"/>
          <w:sz w:val="24"/>
        </w:rPr>
        <w:t> </w:t>
      </w:r>
      <w:r>
        <w:rPr>
          <w:sz w:val="24"/>
        </w:rPr>
        <w:t>Estado;</w:t>
      </w:r>
      <w:r>
        <w:rPr>
          <w:spacing w:val="39"/>
          <w:sz w:val="24"/>
        </w:rPr>
        <w:t> </w:t>
      </w:r>
      <w:r>
        <w:rPr>
          <w:sz w:val="24"/>
        </w:rPr>
        <w:t>y</w:t>
      </w:r>
      <w:r>
        <w:rPr>
          <w:spacing w:val="32"/>
          <w:sz w:val="24"/>
        </w:rPr>
        <w:t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31"/>
          <w:sz w:val="24"/>
        </w:rPr>
        <w:t> </w:t>
      </w:r>
      <w:r>
        <w:rPr>
          <w:rFonts w:ascii="Arial" w:hAnsi="Arial"/>
          <w:b/>
          <w:sz w:val="24"/>
        </w:rPr>
        <w:t>estrados</w:t>
      </w:r>
      <w:r>
        <w:rPr>
          <w:rFonts w:ascii="Arial" w:hAnsi="Arial"/>
          <w:b/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los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  <w:r>
        <w:rPr/>
        <w:pict>
          <v:rect style="position:absolute;margin-left:141.740005pt;margin-top:14.448282pt;width:144.020pt;height:.71997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50" w:right="939" w:firstLine="0"/>
        <w:jc w:val="center"/>
        <w:rPr>
          <w:sz w:val="20"/>
        </w:rPr>
      </w:pPr>
      <w:r>
        <w:rPr>
          <w:w w:val="80"/>
          <w:position w:val="5"/>
          <w:sz w:val="13"/>
        </w:rPr>
        <w:t>7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Tal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es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caso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Oaxaca,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como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precisó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la</w:t>
      </w:r>
      <w:r>
        <w:rPr>
          <w:spacing w:val="12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Sentencia,</w:t>
      </w:r>
      <w:r>
        <w:rPr>
          <w:rFonts w:ascii="Arial" w:hAnsi="Arial"/>
          <w:i/>
          <w:spacing w:val="6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analizar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diversos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precedentes.</w:t>
      </w:r>
    </w:p>
    <w:p>
      <w:pPr>
        <w:spacing w:after="0"/>
        <w:jc w:val="center"/>
        <w:rPr>
          <w:sz w:val="20"/>
        </w:rPr>
        <w:sectPr>
          <w:pgSz w:w="12250" w:h="19300"/>
          <w:pgMar w:header="1191" w:footer="1544" w:top="1640" w:bottom="1740" w:left="1600" w:right="1580"/>
        </w:sectPr>
      </w:pPr>
    </w:p>
    <w:p>
      <w:pPr>
        <w:pStyle w:val="BodyText"/>
        <w:rPr>
          <w:sz w:val="14"/>
        </w:rPr>
      </w:pPr>
    </w:p>
    <w:p>
      <w:pPr>
        <w:pStyle w:val="BodyText"/>
        <w:spacing w:line="360" w:lineRule="auto" w:before="93"/>
        <w:ind w:left="102" w:right="1251"/>
        <w:jc w:val="both"/>
      </w:pPr>
      <w:r>
        <w:rPr/>
        <w:t>demás interesados. Lo anterior, con fundamento en los artículos 39 y 37</w:t>
      </w:r>
      <w:r>
        <w:rPr>
          <w:spacing w:val="-64"/>
        </w:rPr>
        <w:t> </w:t>
      </w:r>
      <w:r>
        <w:rPr/>
        <w:t>fracciones I, II y III de la Ley Electoral, así como en los diversos 40</w:t>
      </w:r>
      <w:r>
        <w:rPr>
          <w:spacing w:val="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VIII,</w:t>
      </w:r>
      <w:r>
        <w:rPr>
          <w:spacing w:val="-3"/>
        </w:rPr>
        <w:t> </w:t>
      </w:r>
      <w:r>
        <w:rPr/>
        <w:t>42,</w:t>
      </w:r>
      <w:r>
        <w:rPr>
          <w:spacing w:val="-4"/>
        </w:rPr>
        <w:t> </w:t>
      </w:r>
      <w:r>
        <w:rPr/>
        <w:t>43,</w:t>
      </w:r>
      <w:r>
        <w:rPr>
          <w:spacing w:val="-1"/>
        </w:rPr>
        <w:t> </w:t>
      </w:r>
      <w:r>
        <w:rPr/>
        <w:t>44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47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Reglamento</w:t>
      </w:r>
      <w:r>
        <w:rPr>
          <w:spacing w:val="-3"/>
        </w:rPr>
        <w:t> </w:t>
      </w:r>
      <w:r>
        <w:rPr/>
        <w:t>Interno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Tribunal.</w:t>
      </w:r>
    </w:p>
    <w:p>
      <w:pPr>
        <w:pStyle w:val="BodyText"/>
        <w:spacing w:before="3"/>
      </w:pPr>
    </w:p>
    <w:p>
      <w:pPr>
        <w:pStyle w:val="BodyText"/>
        <w:spacing w:line="360" w:lineRule="auto"/>
        <w:ind w:left="102" w:right="1247"/>
        <w:jc w:val="both"/>
      </w:pP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8"/>
        </w:rPr>
        <w:t> </w:t>
      </w:r>
      <w:r>
        <w:rPr/>
        <w:t>oportunidad,</w:t>
      </w:r>
      <w:r>
        <w:rPr>
          <w:spacing w:val="-10"/>
        </w:rPr>
        <w:t> </w:t>
      </w:r>
      <w:r>
        <w:rPr/>
        <w:t>archívese</w:t>
      </w:r>
      <w:r>
        <w:rPr>
          <w:spacing w:val="-8"/>
        </w:rPr>
        <w:t> </w:t>
      </w:r>
      <w:r>
        <w:rPr/>
        <w:t>el</w:t>
      </w:r>
      <w:r>
        <w:rPr>
          <w:spacing w:val="-10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expediente</w:t>
      </w:r>
      <w:r>
        <w:rPr>
          <w:spacing w:val="-2"/>
        </w:rPr>
        <w:t> </w:t>
      </w:r>
      <w:r>
        <w:rPr/>
        <w:t>como</w:t>
      </w:r>
      <w:r>
        <w:rPr>
          <w:spacing w:val="-8"/>
        </w:rPr>
        <w:t> </w:t>
      </w:r>
      <w:r>
        <w:rPr/>
        <w:t>asunto</w:t>
      </w:r>
      <w:r>
        <w:rPr>
          <w:spacing w:val="-9"/>
        </w:rPr>
        <w:t> </w:t>
      </w:r>
      <w:r>
        <w:rPr/>
        <w:t>total</w:t>
      </w:r>
      <w:r>
        <w:rPr>
          <w:spacing w:val="-7"/>
        </w:rPr>
        <w:t> </w:t>
      </w:r>
      <w:r>
        <w:rPr/>
        <w:t>y</w:t>
      </w:r>
      <w:r>
        <w:rPr>
          <w:spacing w:val="-64"/>
        </w:rPr>
        <w:t> </w:t>
      </w:r>
      <w:r>
        <w:rPr/>
        <w:t>definitivamente</w:t>
      </w:r>
      <w:r>
        <w:rPr>
          <w:spacing w:val="-2"/>
        </w:rPr>
        <w:t> </w:t>
      </w:r>
      <w:r>
        <w:rPr/>
        <w:t>concluido.</w:t>
      </w:r>
    </w:p>
    <w:p>
      <w:pPr>
        <w:pStyle w:val="BodyText"/>
        <w:spacing w:before="5"/>
      </w:pPr>
    </w:p>
    <w:p>
      <w:pPr>
        <w:pStyle w:val="BodyText"/>
        <w:spacing w:line="360" w:lineRule="auto"/>
        <w:ind w:left="102" w:right="1246"/>
        <w:jc w:val="both"/>
      </w:pPr>
      <w:r>
        <w:rPr/>
        <w:t>Así, a las catorce horas con treinta y ocho minutos del día de hoy, por</w:t>
      </w:r>
      <w:r>
        <w:rPr>
          <w:spacing w:val="1"/>
        </w:rPr>
        <w:t> </w:t>
      </w:r>
      <w:r>
        <w:rPr/>
        <w:t>unanimidad de votos lo resolvieron y firman los integrantes del Pleno del</w:t>
      </w:r>
      <w:r>
        <w:rPr>
          <w:spacing w:val="-64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Magistrado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Salvador Alejandro Pérez Contreras, las Magistradas Yurisha Andrade</w:t>
      </w:r>
      <w:r>
        <w:rPr>
          <w:spacing w:val="1"/>
        </w:rPr>
        <w:t> </w:t>
      </w:r>
      <w:r>
        <w:rPr/>
        <w:t>Morales,</w:t>
      </w:r>
      <w:r>
        <w:rPr>
          <w:spacing w:val="-8"/>
        </w:rPr>
        <w:t> </w:t>
      </w:r>
      <w:r>
        <w:rPr/>
        <w:t>Alma</w:t>
      </w:r>
      <w:r>
        <w:rPr>
          <w:spacing w:val="-7"/>
        </w:rPr>
        <w:t> </w:t>
      </w:r>
      <w:r>
        <w:rPr/>
        <w:t>Rosa</w:t>
      </w:r>
      <w:r>
        <w:rPr>
          <w:spacing w:val="-7"/>
        </w:rPr>
        <w:t> </w:t>
      </w:r>
      <w:r>
        <w:rPr/>
        <w:t>Bahena</w:t>
      </w:r>
      <w:r>
        <w:rPr>
          <w:spacing w:val="-9"/>
        </w:rPr>
        <w:t> </w:t>
      </w:r>
      <w:r>
        <w:rPr/>
        <w:t>Villalobos</w:t>
      </w:r>
      <w:r>
        <w:rPr>
          <w:spacing w:val="-4"/>
        </w:rPr>
        <w:t> </w:t>
      </w:r>
      <w:r>
        <w:rPr>
          <w:rFonts w:ascii="Arial" w:hAnsi="Arial"/>
          <w:i/>
        </w:rPr>
        <w:t>—quien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fue</w:t>
      </w:r>
      <w:r>
        <w:rPr>
          <w:rFonts w:ascii="Arial" w:hAnsi="Arial"/>
          <w:i/>
          <w:spacing w:val="-9"/>
        </w:rPr>
        <w:t> </w:t>
      </w:r>
      <w:r>
        <w:rPr>
          <w:rFonts w:ascii="Arial" w:hAnsi="Arial"/>
          <w:i/>
        </w:rPr>
        <w:t>ponente—</w:t>
      </w:r>
      <w:r>
        <w:rPr>
          <w:rFonts w:ascii="Arial" w:hAnsi="Arial"/>
          <w:i/>
          <w:spacing w:val="-8"/>
        </w:rPr>
        <w:t> </w:t>
      </w:r>
      <w:r>
        <w:rPr/>
        <w:t>y</w:t>
      </w:r>
      <w:r>
        <w:rPr>
          <w:spacing w:val="-10"/>
        </w:rPr>
        <w:t> </w:t>
      </w:r>
      <w:r>
        <w:rPr/>
        <w:t>Yolanda</w:t>
      </w:r>
      <w:r>
        <w:rPr>
          <w:spacing w:val="-65"/>
        </w:rPr>
        <w:t> </w:t>
      </w:r>
      <w:r>
        <w:rPr/>
        <w:t>Camacho Ochoa, ante el Subsecretario General de Acuerdos, Héctor</w:t>
      </w:r>
      <w:r>
        <w:rPr>
          <w:spacing w:val="1"/>
        </w:rPr>
        <w:t> </w:t>
      </w:r>
      <w:r>
        <w:rPr/>
        <w:t>Rangel</w:t>
      </w:r>
      <w:r>
        <w:rPr>
          <w:spacing w:val="-4"/>
        </w:rPr>
        <w:t> </w:t>
      </w:r>
      <w:r>
        <w:rPr/>
        <w:t>Argueta,</w:t>
      </w:r>
      <w:r>
        <w:rPr>
          <w:spacing w:val="-2"/>
        </w:rPr>
        <w:t> </w:t>
      </w:r>
      <w:r>
        <w:rPr/>
        <w:t>quien autoriza y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spacing w:before="1"/>
        <w:rPr>
          <w:sz w:val="25"/>
        </w:rPr>
      </w:pPr>
    </w:p>
    <w:tbl>
      <w:tblPr>
        <w:tblW w:w="0" w:type="auto"/>
        <w:jc w:val="left"/>
        <w:tblInd w:w="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1"/>
        <w:gridCol w:w="3473"/>
      </w:tblGrid>
      <w:tr>
        <w:trPr>
          <w:trHeight w:val="1786" w:hRule="atLeast"/>
        </w:trPr>
        <w:tc>
          <w:tcPr>
            <w:tcW w:w="6744" w:type="dxa"/>
            <w:gridSpan w:val="2"/>
          </w:tcPr>
          <w:p>
            <w:pPr>
              <w:pStyle w:val="TableParagraph"/>
              <w:spacing w:line="520" w:lineRule="auto"/>
              <w:ind w:left="1654" w:right="1587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MAGISTRADO PRESIDENTE</w:t>
            </w:r>
            <w:r>
              <w:rPr>
                <w:rFonts w:ascii="Arial" w:hAnsi="Arial"/>
                <w:b/>
                <w:spacing w:val="-6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(RÚBRICA)</w:t>
            </w:r>
          </w:p>
          <w:p>
            <w:pPr>
              <w:pStyle w:val="TableParagraph"/>
              <w:spacing w:line="273" w:lineRule="exact"/>
              <w:ind w:left="709" w:right="649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SALVADOR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ALEJANDRO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PÉREZ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CONTRERAS</w:t>
            </w:r>
          </w:p>
        </w:tc>
      </w:tr>
      <w:tr>
        <w:trPr>
          <w:trHeight w:val="2426" w:hRule="atLeast"/>
        </w:trPr>
        <w:tc>
          <w:tcPr>
            <w:tcW w:w="3271" w:type="dxa"/>
          </w:tcPr>
          <w:p>
            <w:pPr>
              <w:pStyle w:val="TableParagraph"/>
              <w:spacing w:before="5"/>
              <w:ind w:left="0"/>
              <w:rPr>
                <w:sz w:val="27"/>
              </w:rPr>
            </w:pPr>
          </w:p>
          <w:p>
            <w:pPr>
              <w:pStyle w:val="TableParagraph"/>
              <w:spacing w:line="520" w:lineRule="auto"/>
              <w:ind w:left="200" w:right="725" w:hanging="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MAGISTRADA</w:t>
            </w:r>
            <w:r>
              <w:rPr>
                <w:rFonts w:ascii="Arial" w:hAnsi="Arial"/>
                <w:b/>
                <w:spacing w:val="1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(RÚBRICA)</w:t>
            </w:r>
          </w:p>
          <w:p>
            <w:pPr>
              <w:pStyle w:val="TableParagraph"/>
              <w:spacing w:line="276" w:lineRule="auto"/>
              <w:ind w:left="200" w:right="72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YURISHA</w:t>
            </w:r>
            <w:r>
              <w:rPr>
                <w:rFonts w:ascii="Arial"/>
                <w:b/>
                <w:spacing w:val="-1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ANDRADE</w:t>
            </w:r>
            <w:r>
              <w:rPr>
                <w:rFonts w:ascii="Arial"/>
                <w:b/>
                <w:spacing w:val="-6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MORALES</w:t>
            </w:r>
          </w:p>
        </w:tc>
        <w:tc>
          <w:tcPr>
            <w:tcW w:w="3473" w:type="dxa"/>
          </w:tcPr>
          <w:p>
            <w:pPr>
              <w:pStyle w:val="TableParagraph"/>
              <w:spacing w:before="5"/>
              <w:ind w:left="0"/>
              <w:rPr>
                <w:sz w:val="27"/>
              </w:rPr>
            </w:pPr>
          </w:p>
          <w:p>
            <w:pPr>
              <w:pStyle w:val="TableParagraph"/>
              <w:spacing w:line="520" w:lineRule="auto"/>
              <w:ind w:left="726" w:right="19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MAGISTRADA</w:t>
            </w:r>
            <w:r>
              <w:rPr>
                <w:rFonts w:ascii="Arial" w:hAnsi="Arial"/>
                <w:b/>
                <w:spacing w:val="-6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(RÚBRICA)</w:t>
            </w:r>
          </w:p>
          <w:p>
            <w:pPr>
              <w:pStyle w:val="TableParagraph"/>
              <w:spacing w:line="276" w:lineRule="auto"/>
              <w:ind w:left="726" w:right="19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ALMA ROSA BAHENA</w:t>
            </w:r>
            <w:r>
              <w:rPr>
                <w:rFonts w:ascii="Arial"/>
                <w:b/>
                <w:spacing w:val="-65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VILLALOBOS</w:t>
            </w:r>
          </w:p>
        </w:tc>
      </w:tr>
      <w:tr>
        <w:trPr>
          <w:trHeight w:val="2110" w:hRule="atLeast"/>
        </w:trPr>
        <w:tc>
          <w:tcPr>
            <w:tcW w:w="6744" w:type="dxa"/>
            <w:gridSpan w:val="2"/>
          </w:tcPr>
          <w:p>
            <w:pPr>
              <w:pStyle w:val="TableParagraph"/>
              <w:spacing w:before="4"/>
              <w:ind w:left="0"/>
              <w:rPr>
                <w:sz w:val="27"/>
              </w:rPr>
            </w:pPr>
          </w:p>
          <w:p>
            <w:pPr>
              <w:pStyle w:val="TableParagraph"/>
              <w:spacing w:line="520" w:lineRule="auto" w:before="1"/>
              <w:ind w:left="2590" w:right="252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MAGISTRADA</w:t>
            </w:r>
            <w:r>
              <w:rPr>
                <w:rFonts w:ascii="Arial" w:hAnsi="Arial"/>
                <w:b/>
                <w:spacing w:val="-6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(RÚBRICA)</w:t>
            </w:r>
          </w:p>
          <w:p>
            <w:pPr>
              <w:pStyle w:val="TableParagraph"/>
              <w:spacing w:line="274" w:lineRule="exact"/>
              <w:ind w:left="1654" w:right="158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YOLANDA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CAMACHO</w:t>
            </w:r>
            <w:r>
              <w:rPr>
                <w:rFonts w:ascii="Arial"/>
                <w:b/>
                <w:spacing w:val="-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OCHOA</w:t>
            </w:r>
          </w:p>
        </w:tc>
      </w:tr>
      <w:tr>
        <w:trPr>
          <w:trHeight w:val="1786" w:hRule="atLeast"/>
        </w:trPr>
        <w:tc>
          <w:tcPr>
            <w:tcW w:w="6744" w:type="dxa"/>
            <w:gridSpan w:val="2"/>
          </w:tcPr>
          <w:p>
            <w:pPr>
              <w:pStyle w:val="TableParagraph"/>
              <w:spacing w:before="4"/>
              <w:ind w:left="0"/>
              <w:rPr>
                <w:sz w:val="27"/>
              </w:rPr>
            </w:pPr>
          </w:p>
          <w:p>
            <w:pPr>
              <w:pStyle w:val="TableParagraph"/>
              <w:spacing w:line="520" w:lineRule="auto" w:before="1"/>
              <w:ind w:left="709" w:right="646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SUBSECRETARIO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GENERAL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ACUERDOS</w:t>
            </w:r>
            <w:r>
              <w:rPr>
                <w:rFonts w:ascii="Arial" w:hAnsi="Arial"/>
                <w:b/>
                <w:spacing w:val="-64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(RÚBRICA)</w:t>
            </w:r>
          </w:p>
          <w:p>
            <w:pPr>
              <w:pStyle w:val="TableParagraph"/>
              <w:spacing w:line="253" w:lineRule="exact"/>
              <w:ind w:left="1654" w:right="1587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HÉCTOR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RANGEL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ARGUETA</w:t>
            </w:r>
          </w:p>
        </w:tc>
      </w:tr>
    </w:tbl>
    <w:sectPr>
      <w:pgSz w:w="12250" w:h="19300"/>
      <w:pgMar w:header="1191" w:footer="1544" w:top="1640" w:bottom="174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2.450012pt;margin-top:876.601929pt;width:10.55pt;height:13.45pt;mso-position-horizontal-relative:page;mso-position-vertical-relative:page;z-index:-15865856" type="#_x0000_t202" filled="false" stroked="false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w w:val="81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09985pt;margin-top:876.601929pt;width:10.55pt;height:13.45pt;mso-position-horizontal-relative:page;mso-position-vertical-relative:page;z-index:-15865344" type="#_x0000_t202" filled="false" stroked="false">
          <v:textbox inset="0,0,0,0">
            <w:txbxContent>
              <w:p>
                <w:pPr>
                  <w:spacing w:before="18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w w:val="81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1.029999pt;margin-top:58.561939pt;width:90.35pt;height:24.95pt;mso-position-horizontal-relative:page;mso-position-vertical-relative:page;z-index:-15866880" type="#_x0000_t202" filled="false" stroked="false">
          <v:textbox inset="0,0,0,0">
            <w:txbxContent>
              <w:p>
                <w:pPr>
                  <w:spacing w:before="18"/>
                  <w:ind w:left="221" w:right="18" w:hanging="202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Aclaración</w:t>
                </w:r>
                <w:r>
                  <w:rPr>
                    <w:spacing w:val="9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13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Sentencia</w:t>
                </w:r>
                <w:r>
                  <w:rPr>
                    <w:spacing w:val="-42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TEEM-JDC-328/2021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7.700012pt;margin-top:58.561939pt;width:90.3pt;height:24.95pt;mso-position-horizontal-relative:page;mso-position-vertical-relative:page;z-index:-15866368" type="#_x0000_t202" filled="false" stroked="false">
          <v:textbox inset="0,0,0,0">
            <w:txbxContent>
              <w:p>
                <w:pPr>
                  <w:spacing w:before="18"/>
                  <w:ind w:left="221" w:right="18" w:hanging="202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Aclaración</w:t>
                </w:r>
                <w:r>
                  <w:rPr>
                    <w:spacing w:val="9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13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Sentencia</w:t>
                </w:r>
                <w:r>
                  <w:rPr>
                    <w:spacing w:val="-42"/>
                    <w:w w:val="80"/>
                    <w:sz w:val="20"/>
                  </w:rPr>
                  <w:t> </w:t>
                </w:r>
                <w:r>
                  <w:rPr>
                    <w:w w:val="80"/>
                    <w:sz w:val="20"/>
                  </w:rPr>
                  <w:t>TEEM-JDC-328/2021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upperRoman"/>
      <w:lvlText w:val="%1."/>
      <w:lvlJc w:val="left"/>
      <w:pPr>
        <w:ind w:left="954" w:hanging="286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70" w:hanging="28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80" w:hanging="28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90" w:hanging="28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00" w:hanging="28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1" w:hanging="28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21" w:hanging="28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31" w:hanging="28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1" w:hanging="286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505" w:hanging="40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05" w:hanging="404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801" w:hanging="337"/>
        <w:jc w:val="lef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13" w:hanging="33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0" w:hanging="33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27" w:hanging="33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34" w:hanging="33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41" w:hanging="33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8" w:hanging="337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02" w:hanging="41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2" w:hanging="416"/>
        <w:jc w:val="lef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92" w:hanging="4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88" w:hanging="4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84" w:hanging="4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81" w:hanging="4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77" w:hanging="4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73" w:hanging="4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69" w:hanging="41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076" w:hanging="202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678" w:hanging="20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276" w:hanging="20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874" w:hanging="20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72" w:hanging="20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71" w:hanging="20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69" w:hanging="20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67" w:hanging="20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5" w:hanging="202"/>
      </w:pPr>
      <w:rPr>
        <w:rFonts w:hint="default"/>
        <w:lang w:val="es-E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0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Clemente Ramírez Suárez</dc:creator>
  <dcterms:created xsi:type="dcterms:W3CDTF">2022-03-14T20:37:41Z</dcterms:created>
  <dcterms:modified xsi:type="dcterms:W3CDTF">2022-03-14T20:37:41Z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2022-03-14T00:00:00Z</vt:filetime>
  </property>
</Properties>
</file>