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4" w:rsidRDefault="00352584" w:rsidP="00CA5C42">
      <w:pPr>
        <w:jc w:val="both"/>
        <w:rPr>
          <w:rFonts w:ascii="Arial" w:hAnsi="Arial" w:cs="Arial"/>
          <w:b/>
          <w:sz w:val="24"/>
          <w:szCs w:val="24"/>
        </w:rPr>
      </w:pPr>
    </w:p>
    <w:p w:rsidR="001053B0" w:rsidRDefault="00CA5C42" w:rsidP="00CA5C42">
      <w:pPr>
        <w:jc w:val="both"/>
        <w:rPr>
          <w:rFonts w:ascii="Arial" w:hAnsi="Arial" w:cs="Arial"/>
          <w:sz w:val="24"/>
          <w:szCs w:val="24"/>
        </w:rPr>
      </w:pPr>
      <w:r w:rsidRPr="00DE6CAE">
        <w:rPr>
          <w:rFonts w:ascii="Arial" w:hAnsi="Arial" w:cs="Arial"/>
          <w:b/>
          <w:sz w:val="24"/>
          <w:szCs w:val="24"/>
        </w:rPr>
        <w:t>ARTÍCULO 10</w:t>
      </w:r>
      <w:r w:rsidRPr="00DE6CAE">
        <w:rPr>
          <w:rFonts w:ascii="Arial" w:hAnsi="Arial" w:cs="Arial"/>
          <w:sz w:val="24"/>
          <w:szCs w:val="24"/>
        </w:rPr>
        <w:t xml:space="preserve">.- Los Sujetos Obligados deberán mantener actualizada, para consulta directa y en los medios electrónicos disponibles, la información de oficio siguiente: </w:t>
      </w:r>
    </w:p>
    <w:p w:rsidR="00376FE5" w:rsidRPr="00376FE5" w:rsidRDefault="00376FE5" w:rsidP="00D279B8">
      <w:pPr>
        <w:rPr>
          <w:rFonts w:ascii="Arial" w:hAnsi="Arial" w:cs="Arial"/>
          <w:sz w:val="24"/>
          <w:szCs w:val="24"/>
        </w:rPr>
      </w:pPr>
      <w:r w:rsidRPr="00376FE5">
        <w:rPr>
          <w:rFonts w:ascii="Arial" w:hAnsi="Arial" w:cs="Arial"/>
          <w:sz w:val="24"/>
          <w:szCs w:val="24"/>
        </w:rPr>
        <w:t>XI</w:t>
      </w:r>
      <w:r w:rsidR="00D279B8">
        <w:rPr>
          <w:rFonts w:ascii="Arial" w:hAnsi="Arial" w:cs="Arial"/>
          <w:sz w:val="24"/>
          <w:szCs w:val="24"/>
        </w:rPr>
        <w:t>X</w:t>
      </w:r>
      <w:r w:rsidRPr="00376FE5">
        <w:rPr>
          <w:rFonts w:ascii="Arial" w:hAnsi="Arial" w:cs="Arial"/>
          <w:sz w:val="24"/>
          <w:szCs w:val="24"/>
        </w:rPr>
        <w:t xml:space="preserve">. </w:t>
      </w:r>
      <w:r w:rsidR="00D279B8" w:rsidRPr="00D279B8">
        <w:rPr>
          <w:rFonts w:ascii="Arial" w:hAnsi="Arial" w:cs="Arial"/>
          <w:sz w:val="24"/>
          <w:szCs w:val="24"/>
        </w:rPr>
        <w:t>Las convocatorias a concurso o licitación de obras, adquisiciones, arrendamientos, prestación de servicios, concesiones,</w:t>
      </w:r>
      <w:r w:rsidR="00D279B8">
        <w:rPr>
          <w:rFonts w:ascii="Arial" w:hAnsi="Arial" w:cs="Arial"/>
          <w:sz w:val="24"/>
          <w:szCs w:val="24"/>
        </w:rPr>
        <w:t xml:space="preserve"> </w:t>
      </w:r>
      <w:r w:rsidR="00D279B8" w:rsidRPr="00D279B8">
        <w:rPr>
          <w:rFonts w:ascii="Arial" w:hAnsi="Arial" w:cs="Arial"/>
          <w:sz w:val="24"/>
          <w:szCs w:val="24"/>
        </w:rPr>
        <w:t>permisos y autorizaciones, así como sus resultados</w:t>
      </w:r>
      <w:r w:rsidRPr="00376FE5">
        <w:rPr>
          <w:rFonts w:ascii="Arial" w:hAnsi="Arial" w:cs="Arial"/>
          <w:sz w:val="24"/>
          <w:szCs w:val="24"/>
        </w:rPr>
        <w:t>;</w:t>
      </w:r>
    </w:p>
    <w:p w:rsidR="00645530" w:rsidRDefault="00376FE5" w:rsidP="00376FE5">
      <w:pPr>
        <w:rPr>
          <w:rFonts w:ascii="Arial" w:hAnsi="Arial" w:cs="Arial"/>
          <w:b/>
          <w:sz w:val="24"/>
          <w:szCs w:val="24"/>
        </w:rPr>
      </w:pPr>
      <w:r w:rsidRPr="00376FE5">
        <w:rPr>
          <w:rFonts w:ascii="Arial" w:hAnsi="Arial" w:cs="Arial"/>
          <w:b/>
          <w:sz w:val="24"/>
          <w:szCs w:val="24"/>
        </w:rPr>
        <w:t xml:space="preserve">FRACCIÓN </w:t>
      </w:r>
      <w:r w:rsidR="00D279B8">
        <w:rPr>
          <w:rFonts w:ascii="Arial" w:hAnsi="Arial" w:cs="Arial"/>
          <w:b/>
          <w:sz w:val="24"/>
          <w:szCs w:val="24"/>
        </w:rPr>
        <w:t xml:space="preserve">XIX. </w:t>
      </w:r>
      <w:r w:rsidR="0098358F" w:rsidRPr="0098358F">
        <w:rPr>
          <w:rFonts w:ascii="Arial" w:hAnsi="Arial" w:cs="Arial"/>
          <w:b/>
          <w:sz w:val="24"/>
          <w:szCs w:val="24"/>
        </w:rPr>
        <w:t>PERMISOS</w:t>
      </w:r>
    </w:p>
    <w:tbl>
      <w:tblPr>
        <w:tblStyle w:val="Tabladecuadrcula4-nfasis6"/>
        <w:tblW w:w="10528" w:type="dxa"/>
        <w:tblLayout w:type="fixed"/>
        <w:tblLook w:val="04A0" w:firstRow="1" w:lastRow="0" w:firstColumn="1" w:lastColumn="0" w:noHBand="0" w:noVBand="1"/>
      </w:tblPr>
      <w:tblGrid>
        <w:gridCol w:w="1316"/>
        <w:gridCol w:w="1316"/>
        <w:gridCol w:w="1316"/>
        <w:gridCol w:w="1316"/>
        <w:gridCol w:w="1316"/>
        <w:gridCol w:w="1316"/>
        <w:gridCol w:w="1316"/>
        <w:gridCol w:w="1316"/>
      </w:tblGrid>
      <w:tr w:rsidR="00D279B8" w:rsidRPr="006A206C" w:rsidTr="00D279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6" w:type="dxa"/>
            <w:noWrap/>
            <w:vAlign w:val="center"/>
          </w:tcPr>
          <w:p w:rsidR="00D279B8" w:rsidRPr="00D279B8" w:rsidRDefault="00D279B8" w:rsidP="00D279B8">
            <w:pPr>
              <w:autoSpaceDE w:val="0"/>
              <w:autoSpaceDN w:val="0"/>
              <w:adjustRightInd w:val="0"/>
              <w:jc w:val="center"/>
              <w:rPr>
                <w:rFonts w:ascii="Arial" w:eastAsia="Times New Roman" w:hAnsi="Arial" w:cs="Arial"/>
                <w:sz w:val="16"/>
                <w:szCs w:val="24"/>
                <w:lang w:eastAsia="es-MX"/>
              </w:rPr>
            </w:pPr>
            <w:r w:rsidRPr="00D279B8">
              <w:rPr>
                <w:rFonts w:ascii="Arial" w:eastAsia="Times New Roman" w:hAnsi="Arial" w:cs="Arial"/>
                <w:sz w:val="16"/>
                <w:szCs w:val="24"/>
                <w:lang w:eastAsia="es-MX"/>
              </w:rPr>
              <w:t>PERIODO REPORTADO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VÍNCULO A LA CONVOCATORIA</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PARTICIPANTES</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IDENTIFICACIÓN PRECISA DEL CONTRATO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4"/>
                <w:lang w:eastAsia="es-MX"/>
              </w:rPr>
            </w:pPr>
            <w:r w:rsidRPr="00D279B8">
              <w:rPr>
                <w:rFonts w:ascii="Arial" w:eastAsia="Times New Roman" w:hAnsi="Arial" w:cs="Arial"/>
                <w:bCs w:val="0"/>
                <w:sz w:val="16"/>
                <w:szCs w:val="24"/>
                <w:lang w:eastAsia="es-MX"/>
              </w:rPr>
              <w:t>MONTO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4"/>
                <w:lang w:eastAsia="es-MX"/>
              </w:rPr>
            </w:pPr>
            <w:r w:rsidRPr="00D279B8">
              <w:rPr>
                <w:rFonts w:ascii="Arial" w:eastAsia="Times New Roman" w:hAnsi="Arial" w:cs="Arial"/>
                <w:bCs w:val="0"/>
                <w:sz w:val="16"/>
                <w:szCs w:val="24"/>
                <w:lang w:eastAsia="es-MX"/>
              </w:rPr>
              <w:t>NOMBRE O RAZÓN SOCIAL DEL GANADOR (PROVEEDOR O CONTRATISTA</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4"/>
                <w:lang w:eastAsia="es-MX"/>
              </w:rPr>
            </w:pPr>
            <w:r w:rsidRPr="00D279B8">
              <w:rPr>
                <w:rFonts w:ascii="Arial" w:eastAsia="Times New Roman" w:hAnsi="Arial" w:cs="Arial"/>
                <w:bCs w:val="0"/>
                <w:sz w:val="16"/>
                <w:szCs w:val="24"/>
                <w:lang w:eastAsia="es-MX"/>
              </w:rPr>
              <w:t>PLAZO PARA SU CUMPLIMIENTO</w:t>
            </w:r>
          </w:p>
        </w:tc>
        <w:tc>
          <w:tcPr>
            <w:tcW w:w="1316" w:type="dxa"/>
            <w:vAlign w:val="center"/>
          </w:tcPr>
          <w:p w:rsidR="00D279B8" w:rsidRPr="00D279B8" w:rsidRDefault="00D279B8" w:rsidP="00D279B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D279B8">
              <w:rPr>
                <w:rFonts w:ascii="Arial" w:eastAsia="Times New Roman" w:hAnsi="Arial" w:cs="Arial"/>
                <w:sz w:val="16"/>
                <w:szCs w:val="24"/>
                <w:lang w:eastAsia="es-MX"/>
              </w:rPr>
              <w:t>MECANISMOS DE PARTICIPACIÓN CIUDADANA</w:t>
            </w:r>
          </w:p>
        </w:tc>
      </w:tr>
      <w:tr w:rsidR="00D279B8" w:rsidRPr="006A206C" w:rsidTr="00CC2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28" w:type="dxa"/>
            <w:gridSpan w:val="8"/>
            <w:noWrap/>
            <w:vAlign w:val="center"/>
          </w:tcPr>
          <w:p w:rsidR="00D279B8" w:rsidRDefault="0098358F" w:rsidP="006A206C">
            <w:pPr>
              <w:jc w:val="both"/>
              <w:rPr>
                <w:rFonts w:ascii="Arial" w:hAnsi="Arial" w:cs="Arial"/>
                <w:b w:val="0"/>
                <w:sz w:val="24"/>
                <w:szCs w:val="24"/>
              </w:rPr>
            </w:pPr>
            <w:r w:rsidRPr="0098358F">
              <w:rPr>
                <w:rFonts w:ascii="Arial" w:hAnsi="Arial" w:cs="Arial"/>
                <w:b w:val="0"/>
                <w:sz w:val="24"/>
                <w:szCs w:val="24"/>
              </w:rPr>
              <w:t>El Tribunal Electoral del Estado de Michoacán no cuenta con competencia y atribuciones para otorgar permisos de obra a las que se refiere el artículo 10 fracción XIX de la Ley de Transparencia y Acceso a la Información Pública del Estado de Michoacán de Ocampo, de conformidad con los artículos 98 A de la Constitución Política del Estado Libre y Soberano de Michoacán de Ocampo, 60, 62 y 64 del Código Electoral del Estado de Michoacán de Ocampo</w:t>
            </w:r>
            <w:r w:rsidR="00D279B8">
              <w:rPr>
                <w:rFonts w:ascii="Arial" w:hAnsi="Arial" w:cs="Arial"/>
                <w:b w:val="0"/>
                <w:sz w:val="24"/>
                <w:szCs w:val="24"/>
              </w:rPr>
              <w:t>, que señalan:</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sz w:val="24"/>
                <w:szCs w:val="24"/>
              </w:rPr>
            </w:pPr>
            <w:r w:rsidRPr="006A206C">
              <w:rPr>
                <w:rFonts w:ascii="Arial" w:hAnsi="Arial" w:cs="Arial"/>
                <w:sz w:val="24"/>
                <w:szCs w:val="24"/>
              </w:rPr>
              <w:t>Constitución Política del Estado Libre y Soberano de Michoacán de Ocampo</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 xml:space="preserve">Artículo 98 A.- Se establecerá un sistema de medios de impugnación, en los términos que señale esta Constitución y la Ley, de los que conocerá el organismo público previsto en el artículo anterior y el Tribunal Electoral del Estado. Dicho sistema dará </w:t>
            </w:r>
            <w:proofErr w:type="spellStart"/>
            <w:r w:rsidRPr="006A206C">
              <w:rPr>
                <w:rFonts w:ascii="Arial" w:hAnsi="Arial" w:cs="Arial"/>
                <w:b w:val="0"/>
                <w:sz w:val="24"/>
                <w:szCs w:val="24"/>
              </w:rPr>
              <w:t>definitividad</w:t>
            </w:r>
            <w:proofErr w:type="spellEnd"/>
            <w:r w:rsidRPr="006A206C">
              <w:rPr>
                <w:rFonts w:ascii="Arial" w:hAnsi="Arial" w:cs="Arial"/>
                <w:b w:val="0"/>
                <w:sz w:val="24"/>
                <w:szCs w:val="24"/>
              </w:rPr>
              <w:t xml:space="preserve"> a las distintas etapas de los procesos electorales y garantizará que los actos y resoluciones electorales se sujeten invariablemente al principio de legalidad.</w:t>
            </w:r>
          </w:p>
          <w:p w:rsidR="00D279B8" w:rsidRPr="006A206C"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 xml:space="preserve">En materia electoral, la interposición de los recursos, en ningún caso produce efectos suspensivos del acto o resolución </w:t>
            </w:r>
            <w:proofErr w:type="gramStart"/>
            <w:r w:rsidRPr="006A206C">
              <w:rPr>
                <w:rFonts w:ascii="Arial" w:hAnsi="Arial" w:cs="Arial"/>
                <w:b w:val="0"/>
                <w:sz w:val="24"/>
                <w:szCs w:val="24"/>
              </w:rPr>
              <w:t>impugnado</w:t>
            </w:r>
            <w:proofErr w:type="gramEnd"/>
            <w:r w:rsidRPr="006A206C">
              <w:rPr>
                <w:rFonts w:ascii="Arial" w:hAnsi="Arial" w:cs="Arial"/>
                <w:b w:val="0"/>
                <w:sz w:val="24"/>
                <w:szCs w:val="24"/>
              </w:rPr>
              <w:t>.</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Tribunal Electoral del Estado será órgano permanente, autónomo y máxima autoridad jurisdiccional electoral.</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Tribunal Electoral cubrirá en su desempeño, además de lo que determine la Ley, las actividades relativas al fomento de la cultura de la legalidad en materia de justicia electoral y participación ciudadana, consistentes en tareas de capacitación, investigación y difusión.</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Pleno del Tribunal Electoral declarará la legalidad y validez de la elección de Gobernador del Estado, una vez resueltos, en su caso, los medios de impugnación que se hubieren interpuesto en contra de la misma.</w:t>
            </w:r>
          </w:p>
          <w:p w:rsidR="00D279B8" w:rsidRDefault="00D279B8" w:rsidP="006A206C">
            <w:pPr>
              <w:jc w:val="both"/>
              <w:rPr>
                <w:rFonts w:ascii="Arial" w:hAnsi="Arial" w:cs="Arial"/>
                <w:b w:val="0"/>
                <w:sz w:val="24"/>
                <w:szCs w:val="24"/>
              </w:rPr>
            </w:pPr>
          </w:p>
          <w:p w:rsidR="00D279B8" w:rsidRPr="006A206C" w:rsidRDefault="00D279B8" w:rsidP="006A206C">
            <w:pPr>
              <w:jc w:val="both"/>
              <w:rPr>
                <w:rFonts w:ascii="Arial" w:hAnsi="Arial" w:cs="Arial"/>
                <w:b w:val="0"/>
                <w:sz w:val="24"/>
                <w:szCs w:val="24"/>
              </w:rPr>
            </w:pPr>
            <w:r w:rsidRPr="006A206C">
              <w:rPr>
                <w:rFonts w:ascii="Arial" w:hAnsi="Arial" w:cs="Arial"/>
                <w:b w:val="0"/>
                <w:sz w:val="24"/>
                <w:szCs w:val="24"/>
              </w:rPr>
              <w:t>El Tribunal Electoral del Estado se organizará en los términos que señale la ley de la materia.</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El Tribunal Electoral del Estado funcionará en Pleno con cinco magistrados, quienes serán electos por un período de siete años conforme a lo previsto en la Constitución Política de los Estados Unidos Mexicanos y la normatividad de la materia.</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Deberá sesionar por lo menos una vez al mes y todas sus determinaciones serán tomadas por mayoría. En el caso de las sesiones de resolución jurisdiccional serán siempre públicas, en los términos que establezca la Ley.</w:t>
            </w:r>
          </w:p>
          <w:p w:rsidR="00D279B8" w:rsidRPr="006A206C" w:rsidRDefault="00D279B8" w:rsidP="006A206C">
            <w:pPr>
              <w:jc w:val="both"/>
              <w:rPr>
                <w:rFonts w:ascii="Arial" w:hAnsi="Arial" w:cs="Arial"/>
                <w:b w:val="0"/>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Las personas que cubran las vacantes temporales de alguno de los magistrados que integran el Tribunal, deberán satisfacer los mismos requisitos que para ser magistrado electoral, conforme al procedimiento que se establezca en la ley de la materia.</w:t>
            </w:r>
          </w:p>
          <w:p w:rsidR="00D279B8" w:rsidRDefault="00D279B8" w:rsidP="006A206C">
            <w:pPr>
              <w:jc w:val="both"/>
              <w:rPr>
                <w:rFonts w:ascii="Arial" w:hAnsi="Arial" w:cs="Arial"/>
                <w:b w:val="0"/>
                <w:sz w:val="24"/>
                <w:szCs w:val="24"/>
              </w:rPr>
            </w:pPr>
          </w:p>
          <w:p w:rsidR="00D279B8" w:rsidRDefault="00D279B8" w:rsidP="006A206C">
            <w:pPr>
              <w:jc w:val="both"/>
              <w:rPr>
                <w:rFonts w:ascii="Arial" w:hAnsi="Arial" w:cs="Arial"/>
                <w:sz w:val="24"/>
                <w:szCs w:val="24"/>
              </w:rPr>
            </w:pPr>
            <w:r w:rsidRPr="006A206C">
              <w:rPr>
                <w:rFonts w:ascii="Arial" w:hAnsi="Arial" w:cs="Arial"/>
                <w:sz w:val="24"/>
                <w:szCs w:val="24"/>
              </w:rPr>
              <w:t>Código Electoral del Estado de Michoacán de Ocampo</w:t>
            </w:r>
          </w:p>
          <w:p w:rsidR="00D279B8" w:rsidRPr="006A206C" w:rsidRDefault="00D279B8" w:rsidP="006A206C">
            <w:pPr>
              <w:jc w:val="both"/>
              <w:rPr>
                <w:rFonts w:ascii="Arial" w:hAnsi="Arial" w:cs="Arial"/>
                <w:sz w:val="24"/>
                <w:szCs w:val="24"/>
              </w:rPr>
            </w:pPr>
          </w:p>
          <w:p w:rsidR="00D279B8" w:rsidRDefault="00D279B8" w:rsidP="006A206C">
            <w:pPr>
              <w:jc w:val="both"/>
              <w:rPr>
                <w:rFonts w:ascii="Arial" w:hAnsi="Arial" w:cs="Arial"/>
                <w:b w:val="0"/>
                <w:sz w:val="24"/>
                <w:szCs w:val="24"/>
              </w:rPr>
            </w:pPr>
            <w:r w:rsidRPr="006A206C">
              <w:rPr>
                <w:rFonts w:ascii="Arial" w:hAnsi="Arial" w:cs="Arial"/>
                <w:b w:val="0"/>
                <w:sz w:val="24"/>
                <w:szCs w:val="24"/>
              </w:rPr>
              <w:t>ARTÍCULO 60. El Tribunal Electoral del Estado de Michoacán</w:t>
            </w:r>
            <w:r>
              <w:rPr>
                <w:rFonts w:ascii="Arial" w:hAnsi="Arial" w:cs="Arial"/>
                <w:b w:val="0"/>
                <w:sz w:val="24"/>
                <w:szCs w:val="24"/>
              </w:rPr>
              <w:t xml:space="preserve"> </w:t>
            </w:r>
            <w:r w:rsidRPr="006A206C">
              <w:rPr>
                <w:rFonts w:ascii="Arial" w:hAnsi="Arial" w:cs="Arial"/>
                <w:b w:val="0"/>
                <w:sz w:val="24"/>
                <w:szCs w:val="24"/>
              </w:rPr>
              <w:t>es el órgano permanente, con autonomía técnica y de gestión e</w:t>
            </w:r>
            <w:r>
              <w:rPr>
                <w:rFonts w:ascii="Arial" w:hAnsi="Arial" w:cs="Arial"/>
                <w:b w:val="0"/>
                <w:sz w:val="24"/>
                <w:szCs w:val="24"/>
              </w:rPr>
              <w:t xml:space="preserve"> </w:t>
            </w:r>
            <w:r w:rsidRPr="006A206C">
              <w:rPr>
                <w:rFonts w:ascii="Arial" w:hAnsi="Arial" w:cs="Arial"/>
                <w:b w:val="0"/>
                <w:sz w:val="24"/>
                <w:szCs w:val="24"/>
              </w:rPr>
              <w:t>independencia en sus decisiones, máxima autoridad jurisdiccional</w:t>
            </w:r>
            <w:r>
              <w:rPr>
                <w:rFonts w:ascii="Arial" w:hAnsi="Arial" w:cs="Arial"/>
                <w:b w:val="0"/>
                <w:sz w:val="24"/>
                <w:szCs w:val="24"/>
              </w:rPr>
              <w:t xml:space="preserve"> </w:t>
            </w:r>
            <w:r w:rsidRPr="006A206C">
              <w:rPr>
                <w:rFonts w:ascii="Arial" w:hAnsi="Arial" w:cs="Arial"/>
                <w:b w:val="0"/>
                <w:sz w:val="24"/>
                <w:szCs w:val="24"/>
              </w:rPr>
              <w:t>en materia electoral; el cual es competente para conocer y resolver</w:t>
            </w:r>
            <w:r>
              <w:rPr>
                <w:rFonts w:ascii="Arial" w:hAnsi="Arial" w:cs="Arial"/>
                <w:b w:val="0"/>
                <w:sz w:val="24"/>
                <w:szCs w:val="24"/>
              </w:rPr>
              <w:t xml:space="preserve"> </w:t>
            </w:r>
            <w:r w:rsidRPr="006A206C">
              <w:rPr>
                <w:rFonts w:ascii="Arial" w:hAnsi="Arial" w:cs="Arial"/>
                <w:b w:val="0"/>
                <w:sz w:val="24"/>
                <w:szCs w:val="24"/>
              </w:rPr>
              <w:t xml:space="preserve">Recursos de </w:t>
            </w:r>
            <w:r w:rsidRPr="006A206C">
              <w:rPr>
                <w:rFonts w:ascii="Arial" w:hAnsi="Arial" w:cs="Arial"/>
                <w:b w:val="0"/>
                <w:sz w:val="24"/>
                <w:szCs w:val="24"/>
              </w:rPr>
              <w:lastRenderedPageBreak/>
              <w:t>Apelación, Juicios de Inconformidad, Juicios para la</w:t>
            </w:r>
            <w:r>
              <w:rPr>
                <w:rFonts w:ascii="Arial" w:hAnsi="Arial" w:cs="Arial"/>
                <w:b w:val="0"/>
                <w:sz w:val="24"/>
                <w:szCs w:val="24"/>
              </w:rPr>
              <w:t xml:space="preserve"> </w:t>
            </w:r>
            <w:r w:rsidRPr="006A206C">
              <w:rPr>
                <w:rFonts w:ascii="Arial" w:hAnsi="Arial" w:cs="Arial"/>
                <w:b w:val="0"/>
                <w:sz w:val="24"/>
                <w:szCs w:val="24"/>
              </w:rPr>
              <w:t>Protección de los Derechos Político-Electorales y Procedimientos</w:t>
            </w:r>
            <w:r>
              <w:rPr>
                <w:rFonts w:ascii="Arial" w:hAnsi="Arial" w:cs="Arial"/>
                <w:b w:val="0"/>
                <w:sz w:val="24"/>
                <w:szCs w:val="24"/>
              </w:rPr>
              <w:t xml:space="preserve"> </w:t>
            </w:r>
            <w:r w:rsidRPr="006A206C">
              <w:rPr>
                <w:rFonts w:ascii="Arial" w:hAnsi="Arial" w:cs="Arial"/>
                <w:b w:val="0"/>
                <w:sz w:val="24"/>
                <w:szCs w:val="24"/>
              </w:rPr>
              <w:t>Especiales Sancionadores.</w:t>
            </w:r>
          </w:p>
          <w:p w:rsidR="00D279B8" w:rsidRDefault="00D279B8" w:rsidP="006A206C">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ARTÍCULO 62. El Tribunal funcionará en Pleno con cinco</w:t>
            </w:r>
            <w:r>
              <w:rPr>
                <w:rFonts w:ascii="Arial" w:hAnsi="Arial" w:cs="Arial"/>
                <w:b w:val="0"/>
                <w:sz w:val="24"/>
                <w:szCs w:val="24"/>
              </w:rPr>
              <w:t xml:space="preserve"> </w:t>
            </w:r>
            <w:r w:rsidRPr="000D1757">
              <w:rPr>
                <w:rFonts w:ascii="Arial" w:hAnsi="Arial" w:cs="Arial"/>
                <w:b w:val="0"/>
                <w:sz w:val="24"/>
                <w:szCs w:val="24"/>
              </w:rPr>
              <w:t>magistrados, la temporalidad, requisitos, procedimiento para</w:t>
            </w:r>
            <w:r>
              <w:rPr>
                <w:rFonts w:ascii="Arial" w:hAnsi="Arial" w:cs="Arial"/>
                <w:b w:val="0"/>
                <w:sz w:val="24"/>
                <w:szCs w:val="24"/>
              </w:rPr>
              <w:t xml:space="preserve"> </w:t>
            </w:r>
            <w:r w:rsidRPr="000D1757">
              <w:rPr>
                <w:rFonts w:ascii="Arial" w:hAnsi="Arial" w:cs="Arial"/>
                <w:b w:val="0"/>
                <w:sz w:val="24"/>
                <w:szCs w:val="24"/>
              </w:rPr>
              <w:t>designación, vacantes definitivas, excusas y recusaciones,</w:t>
            </w:r>
            <w:r>
              <w:rPr>
                <w:rFonts w:ascii="Arial" w:hAnsi="Arial" w:cs="Arial"/>
                <w:b w:val="0"/>
                <w:sz w:val="24"/>
                <w:szCs w:val="24"/>
              </w:rPr>
              <w:t xml:space="preserve"> </w:t>
            </w:r>
            <w:r w:rsidRPr="000D1757">
              <w:rPr>
                <w:rFonts w:ascii="Arial" w:hAnsi="Arial" w:cs="Arial"/>
                <w:b w:val="0"/>
                <w:sz w:val="24"/>
                <w:szCs w:val="24"/>
              </w:rPr>
              <w:t>modalidades para ejercer la función y demás disposiciones que</w:t>
            </w:r>
            <w:r>
              <w:rPr>
                <w:rFonts w:ascii="Arial" w:hAnsi="Arial" w:cs="Arial"/>
                <w:b w:val="0"/>
                <w:sz w:val="24"/>
                <w:szCs w:val="24"/>
              </w:rPr>
              <w:t xml:space="preserve"> </w:t>
            </w:r>
            <w:r w:rsidRPr="000D1757">
              <w:rPr>
                <w:rFonts w:ascii="Arial" w:hAnsi="Arial" w:cs="Arial"/>
                <w:b w:val="0"/>
                <w:sz w:val="24"/>
                <w:szCs w:val="24"/>
              </w:rPr>
              <w:t>norman la actividad de éstos, serán las dispuestas en la Ley General.</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De presentarse alguna vacante temporal no mayor de tres meses,</w:t>
            </w:r>
            <w:r>
              <w:rPr>
                <w:rFonts w:ascii="Arial" w:hAnsi="Arial" w:cs="Arial"/>
                <w:b w:val="0"/>
                <w:sz w:val="24"/>
                <w:szCs w:val="24"/>
              </w:rPr>
              <w:t xml:space="preserve"> </w:t>
            </w:r>
            <w:r w:rsidRPr="000D1757">
              <w:rPr>
                <w:rFonts w:ascii="Arial" w:hAnsi="Arial" w:cs="Arial"/>
                <w:b w:val="0"/>
                <w:sz w:val="24"/>
                <w:szCs w:val="24"/>
              </w:rPr>
              <w:t>de alguno de los magistrados electorales, deberá enterarse por el</w:t>
            </w:r>
            <w:r>
              <w:rPr>
                <w:rFonts w:ascii="Arial" w:hAnsi="Arial" w:cs="Arial"/>
                <w:b w:val="0"/>
                <w:sz w:val="24"/>
                <w:szCs w:val="24"/>
              </w:rPr>
              <w:t xml:space="preserve"> </w:t>
            </w:r>
            <w:r w:rsidRPr="000D1757">
              <w:rPr>
                <w:rFonts w:ascii="Arial" w:hAnsi="Arial" w:cs="Arial"/>
                <w:b w:val="0"/>
                <w:sz w:val="24"/>
                <w:szCs w:val="24"/>
              </w:rPr>
              <w:t>Magistrado Presidente al Pleno del Tribunal, éste una vez en</w:t>
            </w:r>
            <w:r>
              <w:rPr>
                <w:rFonts w:ascii="Arial" w:hAnsi="Arial" w:cs="Arial"/>
                <w:b w:val="0"/>
                <w:sz w:val="24"/>
                <w:szCs w:val="24"/>
              </w:rPr>
              <w:t xml:space="preserve"> </w:t>
            </w:r>
            <w:r w:rsidRPr="000D1757">
              <w:rPr>
                <w:rFonts w:ascii="Arial" w:hAnsi="Arial" w:cs="Arial"/>
                <w:b w:val="0"/>
                <w:sz w:val="24"/>
                <w:szCs w:val="24"/>
              </w:rPr>
              <w:t>conocimiento de la vacante contará con cinco días para integrar</w:t>
            </w:r>
            <w:r>
              <w:rPr>
                <w:rFonts w:ascii="Arial" w:hAnsi="Arial" w:cs="Arial"/>
                <w:b w:val="0"/>
                <w:sz w:val="24"/>
                <w:szCs w:val="24"/>
              </w:rPr>
              <w:t xml:space="preserve"> </w:t>
            </w:r>
            <w:r w:rsidRPr="000D1757">
              <w:rPr>
                <w:rFonts w:ascii="Arial" w:hAnsi="Arial" w:cs="Arial"/>
                <w:b w:val="0"/>
                <w:sz w:val="24"/>
                <w:szCs w:val="24"/>
              </w:rPr>
              <w:t>una terna que contenga las propuestas de las personas que puedan</w:t>
            </w:r>
            <w:r>
              <w:rPr>
                <w:rFonts w:ascii="Arial" w:hAnsi="Arial" w:cs="Arial"/>
                <w:b w:val="0"/>
                <w:sz w:val="24"/>
                <w:szCs w:val="24"/>
              </w:rPr>
              <w:t xml:space="preserve"> </w:t>
            </w:r>
            <w:r w:rsidRPr="000D1757">
              <w:rPr>
                <w:rFonts w:ascii="Arial" w:hAnsi="Arial" w:cs="Arial"/>
                <w:b w:val="0"/>
                <w:sz w:val="24"/>
                <w:szCs w:val="24"/>
              </w:rPr>
              <w:t>cubrirla de entre el personal de dicho órgano jurisdiccional con</w:t>
            </w:r>
            <w:r>
              <w:rPr>
                <w:rFonts w:ascii="Arial" w:hAnsi="Arial" w:cs="Arial"/>
                <w:b w:val="0"/>
                <w:sz w:val="24"/>
                <w:szCs w:val="24"/>
              </w:rPr>
              <w:t xml:space="preserve"> </w:t>
            </w:r>
            <w:r w:rsidRPr="000D1757">
              <w:rPr>
                <w:rFonts w:ascii="Arial" w:hAnsi="Arial" w:cs="Arial"/>
                <w:b w:val="0"/>
                <w:sz w:val="24"/>
                <w:szCs w:val="24"/>
              </w:rPr>
              <w:t>mayor experiencia y capacidad para desempeñarlo, una vez</w:t>
            </w:r>
            <w:r>
              <w:rPr>
                <w:rFonts w:ascii="Arial" w:hAnsi="Arial" w:cs="Arial"/>
                <w:b w:val="0"/>
                <w:sz w:val="24"/>
                <w:szCs w:val="24"/>
              </w:rPr>
              <w:t xml:space="preserve"> </w:t>
            </w:r>
            <w:r w:rsidRPr="000D1757">
              <w:rPr>
                <w:rFonts w:ascii="Arial" w:hAnsi="Arial" w:cs="Arial"/>
                <w:b w:val="0"/>
                <w:sz w:val="24"/>
                <w:szCs w:val="24"/>
              </w:rPr>
              <w:t>aprobada la terna deberá remitirse al Congreso.</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El Congreso, al día siguiente de recibida la notificación de la vacante</w:t>
            </w:r>
            <w:r>
              <w:rPr>
                <w:rFonts w:ascii="Arial" w:hAnsi="Arial" w:cs="Arial"/>
                <w:b w:val="0"/>
                <w:sz w:val="24"/>
                <w:szCs w:val="24"/>
              </w:rPr>
              <w:t xml:space="preserve"> </w:t>
            </w:r>
            <w:r w:rsidRPr="000D1757">
              <w:rPr>
                <w:rFonts w:ascii="Arial" w:hAnsi="Arial" w:cs="Arial"/>
                <w:b w:val="0"/>
                <w:sz w:val="24"/>
                <w:szCs w:val="24"/>
              </w:rPr>
              <w:t>temporal con la terna propuesta, deberá reunirse en el recinto del</w:t>
            </w:r>
            <w:r>
              <w:rPr>
                <w:rFonts w:ascii="Arial" w:hAnsi="Arial" w:cs="Arial"/>
                <w:b w:val="0"/>
                <w:sz w:val="24"/>
                <w:szCs w:val="24"/>
              </w:rPr>
              <w:t xml:space="preserve"> </w:t>
            </w:r>
            <w:r w:rsidRPr="000D1757">
              <w:rPr>
                <w:rFonts w:ascii="Arial" w:hAnsi="Arial" w:cs="Arial"/>
                <w:b w:val="0"/>
                <w:sz w:val="24"/>
                <w:szCs w:val="24"/>
              </w:rPr>
              <w:t>Poder Legislativo para dar inicio al trámite legislativo</w:t>
            </w:r>
            <w:r>
              <w:rPr>
                <w:rFonts w:ascii="Arial" w:hAnsi="Arial" w:cs="Arial"/>
                <w:b w:val="0"/>
                <w:sz w:val="24"/>
                <w:szCs w:val="24"/>
              </w:rPr>
              <w:t xml:space="preserve"> </w:t>
            </w:r>
            <w:r w:rsidRPr="000D1757">
              <w:rPr>
                <w:rFonts w:ascii="Arial" w:hAnsi="Arial" w:cs="Arial"/>
                <w:b w:val="0"/>
                <w:sz w:val="24"/>
                <w:szCs w:val="24"/>
              </w:rPr>
              <w:t>correspondiente. El magistrado electoral temporal será electo, de</w:t>
            </w:r>
            <w:r>
              <w:rPr>
                <w:rFonts w:ascii="Arial" w:hAnsi="Arial" w:cs="Arial"/>
                <w:b w:val="0"/>
                <w:sz w:val="24"/>
                <w:szCs w:val="24"/>
              </w:rPr>
              <w:t xml:space="preserve"> </w:t>
            </w:r>
            <w:r w:rsidRPr="000D1757">
              <w:rPr>
                <w:rFonts w:ascii="Arial" w:hAnsi="Arial" w:cs="Arial"/>
                <w:b w:val="0"/>
                <w:sz w:val="24"/>
                <w:szCs w:val="24"/>
              </w:rPr>
              <w:t>entre aquellos que integran la terna, por el voto de las dos terceras</w:t>
            </w:r>
            <w:r>
              <w:rPr>
                <w:rFonts w:ascii="Arial" w:hAnsi="Arial" w:cs="Arial"/>
                <w:b w:val="0"/>
                <w:sz w:val="24"/>
                <w:szCs w:val="24"/>
              </w:rPr>
              <w:t xml:space="preserve"> </w:t>
            </w:r>
            <w:r w:rsidRPr="000D1757">
              <w:rPr>
                <w:rFonts w:ascii="Arial" w:hAnsi="Arial" w:cs="Arial"/>
                <w:b w:val="0"/>
                <w:sz w:val="24"/>
                <w:szCs w:val="24"/>
              </w:rPr>
              <w:t>partes de los Diputados presentes en la sesión.</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Entre el día que tome conocimiento el Pleno del Congreso de la</w:t>
            </w:r>
            <w:r>
              <w:rPr>
                <w:rFonts w:ascii="Arial" w:hAnsi="Arial" w:cs="Arial"/>
                <w:b w:val="0"/>
                <w:sz w:val="24"/>
                <w:szCs w:val="24"/>
              </w:rPr>
              <w:t xml:space="preserve"> </w:t>
            </w:r>
            <w:r w:rsidRPr="000D1757">
              <w:rPr>
                <w:rFonts w:ascii="Arial" w:hAnsi="Arial" w:cs="Arial"/>
                <w:b w:val="0"/>
                <w:sz w:val="24"/>
                <w:szCs w:val="24"/>
              </w:rPr>
              <w:t>vacante temporal y aquel en que se celebre la Sesión en que se</w:t>
            </w:r>
            <w:r>
              <w:rPr>
                <w:rFonts w:ascii="Arial" w:hAnsi="Arial" w:cs="Arial"/>
                <w:b w:val="0"/>
                <w:sz w:val="24"/>
                <w:szCs w:val="24"/>
              </w:rPr>
              <w:t xml:space="preserve"> </w:t>
            </w:r>
            <w:r w:rsidRPr="000D1757">
              <w:rPr>
                <w:rFonts w:ascii="Arial" w:hAnsi="Arial" w:cs="Arial"/>
                <w:b w:val="0"/>
                <w:sz w:val="24"/>
                <w:szCs w:val="24"/>
              </w:rPr>
              <w:t>vote, no podrán mediar más de 5 días.</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De no lograrse la votación requerida, o vencerse el plazo en el</w:t>
            </w:r>
            <w:r>
              <w:rPr>
                <w:rFonts w:ascii="Arial" w:hAnsi="Arial" w:cs="Arial"/>
                <w:b w:val="0"/>
                <w:sz w:val="24"/>
                <w:szCs w:val="24"/>
              </w:rPr>
              <w:t xml:space="preserve"> </w:t>
            </w:r>
            <w:r w:rsidRPr="000D1757">
              <w:rPr>
                <w:rFonts w:ascii="Arial" w:hAnsi="Arial" w:cs="Arial"/>
                <w:b w:val="0"/>
                <w:sz w:val="24"/>
                <w:szCs w:val="24"/>
              </w:rPr>
              <w:t>párrafo anterior, el Pleno del Tribunal, elegirá de entre los</w:t>
            </w:r>
            <w:r>
              <w:rPr>
                <w:rFonts w:ascii="Arial" w:hAnsi="Arial" w:cs="Arial"/>
                <w:b w:val="0"/>
                <w:sz w:val="24"/>
                <w:szCs w:val="24"/>
              </w:rPr>
              <w:t xml:space="preserve"> </w:t>
            </w:r>
            <w:r w:rsidRPr="000D1757">
              <w:rPr>
                <w:rFonts w:ascii="Arial" w:hAnsi="Arial" w:cs="Arial"/>
                <w:b w:val="0"/>
                <w:sz w:val="24"/>
                <w:szCs w:val="24"/>
              </w:rPr>
              <w:t>propuestos.</w:t>
            </w:r>
          </w:p>
          <w:p w:rsidR="00D279B8"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ARTÍCULO 64. El Pleno del Tribunal, tendrá la competencia y</w:t>
            </w:r>
            <w:r>
              <w:rPr>
                <w:rFonts w:ascii="Arial" w:hAnsi="Arial" w:cs="Arial"/>
                <w:b w:val="0"/>
                <w:sz w:val="24"/>
                <w:szCs w:val="24"/>
              </w:rPr>
              <w:t xml:space="preserve"> </w:t>
            </w:r>
            <w:r w:rsidRPr="000D1757">
              <w:rPr>
                <w:rFonts w:ascii="Arial" w:hAnsi="Arial" w:cs="Arial"/>
                <w:b w:val="0"/>
                <w:sz w:val="24"/>
                <w:szCs w:val="24"/>
              </w:rPr>
              <w:t>atribuciones siguientes:</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 Declarar la legalidad y validez de la elección de Gobernador</w:t>
            </w:r>
            <w:r>
              <w:rPr>
                <w:rFonts w:ascii="Arial" w:hAnsi="Arial" w:cs="Arial"/>
                <w:b w:val="0"/>
                <w:sz w:val="24"/>
                <w:szCs w:val="24"/>
              </w:rPr>
              <w:t xml:space="preserve"> </w:t>
            </w:r>
            <w:r w:rsidRPr="000D1757">
              <w:rPr>
                <w:rFonts w:ascii="Arial" w:hAnsi="Arial" w:cs="Arial"/>
                <w:b w:val="0"/>
                <w:sz w:val="24"/>
                <w:szCs w:val="24"/>
              </w:rPr>
              <w:t>del Estado, y hacer la declaratoria correspondiente, una</w:t>
            </w:r>
            <w:r>
              <w:rPr>
                <w:rFonts w:ascii="Arial" w:hAnsi="Arial" w:cs="Arial"/>
                <w:b w:val="0"/>
                <w:sz w:val="24"/>
                <w:szCs w:val="24"/>
              </w:rPr>
              <w:t xml:space="preserve"> </w:t>
            </w:r>
            <w:r w:rsidRPr="000D1757">
              <w:rPr>
                <w:rFonts w:ascii="Arial" w:hAnsi="Arial" w:cs="Arial"/>
                <w:b w:val="0"/>
                <w:sz w:val="24"/>
                <w:szCs w:val="24"/>
              </w:rPr>
              <w:t>vez resueltos los juicios de inconformidad que se hubieren</w:t>
            </w:r>
            <w:r>
              <w:rPr>
                <w:rFonts w:ascii="Arial" w:hAnsi="Arial" w:cs="Arial"/>
                <w:b w:val="0"/>
                <w:sz w:val="24"/>
                <w:szCs w:val="24"/>
              </w:rPr>
              <w:t xml:space="preserve"> </w:t>
            </w:r>
            <w:r w:rsidRPr="000D1757">
              <w:rPr>
                <w:rFonts w:ascii="Arial" w:hAnsi="Arial" w:cs="Arial"/>
                <w:b w:val="0"/>
                <w:sz w:val="24"/>
                <w:szCs w:val="24"/>
              </w:rPr>
              <w:t>interpuesto sobre la misma;</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II. Establecer criterios jurisprudenciales;</w:t>
            </w:r>
            <w:r>
              <w:rPr>
                <w:rFonts w:ascii="Arial" w:hAnsi="Arial" w:cs="Arial"/>
                <w:b w:val="0"/>
                <w:sz w:val="24"/>
                <w:szCs w:val="24"/>
              </w:rPr>
              <w:t xml:space="preserve"> </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III. Conocer y resolver de las excusas que presenten los</w:t>
            </w:r>
            <w:r>
              <w:rPr>
                <w:rFonts w:ascii="Arial" w:hAnsi="Arial" w:cs="Arial"/>
                <w:b w:val="0"/>
                <w:sz w:val="24"/>
                <w:szCs w:val="24"/>
              </w:rPr>
              <w:t xml:space="preserve"> </w:t>
            </w:r>
            <w:r w:rsidRPr="000D1757">
              <w:rPr>
                <w:rFonts w:ascii="Arial" w:hAnsi="Arial" w:cs="Arial"/>
                <w:b w:val="0"/>
                <w:sz w:val="24"/>
                <w:szCs w:val="24"/>
              </w:rPr>
              <w:t>magistrados respecto de asuntos que les sean turnados;</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IV. Expedir el reglamento interior y los demás acuerdos</w:t>
            </w:r>
            <w:r>
              <w:rPr>
                <w:rFonts w:ascii="Arial" w:hAnsi="Arial" w:cs="Arial"/>
                <w:b w:val="0"/>
                <w:sz w:val="24"/>
                <w:szCs w:val="24"/>
              </w:rPr>
              <w:t xml:space="preserve"> </w:t>
            </w:r>
            <w:r w:rsidRPr="000D1757">
              <w:rPr>
                <w:rFonts w:ascii="Arial" w:hAnsi="Arial" w:cs="Arial"/>
                <w:b w:val="0"/>
                <w:sz w:val="24"/>
                <w:szCs w:val="24"/>
              </w:rPr>
              <w:t>necesarios para el funcionamiento del Tribunal;</w:t>
            </w:r>
          </w:p>
          <w:p w:rsidR="00D279B8" w:rsidRPr="000D1757"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V. Imponer sanciones y medidas de apremio en los términos</w:t>
            </w:r>
            <w:r>
              <w:rPr>
                <w:rFonts w:ascii="Arial" w:hAnsi="Arial" w:cs="Arial"/>
                <w:b w:val="0"/>
                <w:sz w:val="24"/>
                <w:szCs w:val="24"/>
              </w:rPr>
              <w:t xml:space="preserve"> </w:t>
            </w:r>
            <w:r w:rsidRPr="000D1757">
              <w:rPr>
                <w:rFonts w:ascii="Arial" w:hAnsi="Arial" w:cs="Arial"/>
                <w:b w:val="0"/>
                <w:sz w:val="24"/>
                <w:szCs w:val="24"/>
              </w:rPr>
              <w:t>de la norma;</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VI. Cubrir en su desempeño, además de lo que determine la</w:t>
            </w:r>
            <w:r>
              <w:rPr>
                <w:rFonts w:ascii="Arial" w:hAnsi="Arial" w:cs="Arial"/>
                <w:b w:val="0"/>
                <w:sz w:val="24"/>
                <w:szCs w:val="24"/>
              </w:rPr>
              <w:t xml:space="preserve"> </w:t>
            </w:r>
            <w:r w:rsidRPr="000D1757">
              <w:rPr>
                <w:rFonts w:ascii="Arial" w:hAnsi="Arial" w:cs="Arial"/>
                <w:b w:val="0"/>
                <w:sz w:val="24"/>
                <w:szCs w:val="24"/>
              </w:rPr>
              <w:t>norma, las actividades relativas al fomento de la cultura de</w:t>
            </w:r>
            <w:r>
              <w:rPr>
                <w:rFonts w:ascii="Arial" w:hAnsi="Arial" w:cs="Arial"/>
                <w:b w:val="0"/>
                <w:sz w:val="24"/>
                <w:szCs w:val="24"/>
              </w:rPr>
              <w:t xml:space="preserve"> </w:t>
            </w:r>
            <w:r w:rsidRPr="000D1757">
              <w:rPr>
                <w:rFonts w:ascii="Arial" w:hAnsi="Arial" w:cs="Arial"/>
                <w:b w:val="0"/>
                <w:sz w:val="24"/>
                <w:szCs w:val="24"/>
              </w:rPr>
              <w:t>la legalidad en materia de justicia electoral y participación</w:t>
            </w:r>
            <w:r>
              <w:rPr>
                <w:rFonts w:ascii="Arial" w:hAnsi="Arial" w:cs="Arial"/>
                <w:b w:val="0"/>
                <w:sz w:val="24"/>
                <w:szCs w:val="24"/>
              </w:rPr>
              <w:t xml:space="preserve"> </w:t>
            </w:r>
            <w:r w:rsidRPr="000D1757">
              <w:rPr>
                <w:rFonts w:ascii="Arial" w:hAnsi="Arial" w:cs="Arial"/>
                <w:b w:val="0"/>
                <w:sz w:val="24"/>
                <w:szCs w:val="24"/>
              </w:rPr>
              <w:t>ciudadana, consistentes en tareas de investigación y</w:t>
            </w:r>
            <w:r>
              <w:rPr>
                <w:rFonts w:ascii="Arial" w:hAnsi="Arial" w:cs="Arial"/>
                <w:b w:val="0"/>
                <w:sz w:val="24"/>
                <w:szCs w:val="24"/>
              </w:rPr>
              <w:t xml:space="preserve"> </w:t>
            </w:r>
            <w:r w:rsidRPr="000D1757">
              <w:rPr>
                <w:rFonts w:ascii="Arial" w:hAnsi="Arial" w:cs="Arial"/>
                <w:b w:val="0"/>
                <w:sz w:val="24"/>
                <w:szCs w:val="24"/>
              </w:rPr>
              <w:t>difusión;</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VII. Celebrar para su mejor desempeño, convenios de</w:t>
            </w:r>
            <w:r>
              <w:rPr>
                <w:rFonts w:ascii="Arial" w:hAnsi="Arial" w:cs="Arial"/>
                <w:b w:val="0"/>
                <w:sz w:val="24"/>
                <w:szCs w:val="24"/>
              </w:rPr>
              <w:t xml:space="preserve"> </w:t>
            </w:r>
            <w:r w:rsidRPr="000D1757">
              <w:rPr>
                <w:rFonts w:ascii="Arial" w:hAnsi="Arial" w:cs="Arial"/>
                <w:b w:val="0"/>
                <w:sz w:val="24"/>
                <w:szCs w:val="24"/>
              </w:rPr>
              <w:t>colaboración con otros tribunales, instituciones y</w:t>
            </w:r>
            <w:r>
              <w:rPr>
                <w:rFonts w:ascii="Arial" w:hAnsi="Arial" w:cs="Arial"/>
                <w:b w:val="0"/>
                <w:sz w:val="24"/>
                <w:szCs w:val="24"/>
              </w:rPr>
              <w:t xml:space="preserve"> </w:t>
            </w:r>
            <w:r w:rsidRPr="000D1757">
              <w:rPr>
                <w:rFonts w:ascii="Arial" w:hAnsi="Arial" w:cs="Arial"/>
                <w:b w:val="0"/>
                <w:sz w:val="24"/>
                <w:szCs w:val="24"/>
              </w:rPr>
              <w:t>autoridades;</w:t>
            </w:r>
          </w:p>
          <w:p w:rsidR="00D279B8" w:rsidRPr="000D1757"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VIII. Notificar al Congreso las vacantes temporales para que</w:t>
            </w:r>
            <w:r>
              <w:rPr>
                <w:rFonts w:ascii="Arial" w:hAnsi="Arial" w:cs="Arial"/>
                <w:b w:val="0"/>
                <w:sz w:val="24"/>
                <w:szCs w:val="24"/>
              </w:rPr>
              <w:t xml:space="preserve"> </w:t>
            </w:r>
            <w:r w:rsidRPr="000D1757">
              <w:rPr>
                <w:rFonts w:ascii="Arial" w:hAnsi="Arial" w:cs="Arial"/>
                <w:b w:val="0"/>
                <w:sz w:val="24"/>
                <w:szCs w:val="24"/>
              </w:rPr>
              <w:t>éste las cubra atendiendo al procedimiento dispuesto en el</w:t>
            </w:r>
            <w:r>
              <w:rPr>
                <w:rFonts w:ascii="Arial" w:hAnsi="Arial" w:cs="Arial"/>
                <w:b w:val="0"/>
                <w:sz w:val="24"/>
                <w:szCs w:val="24"/>
              </w:rPr>
              <w:t xml:space="preserve"> </w:t>
            </w:r>
            <w:r w:rsidRPr="000D1757">
              <w:rPr>
                <w:rFonts w:ascii="Arial" w:hAnsi="Arial" w:cs="Arial"/>
                <w:b w:val="0"/>
                <w:sz w:val="24"/>
                <w:szCs w:val="24"/>
              </w:rPr>
              <w:t>presente Código.</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IX. Definir, acatando las políticas y lineamientos establecidos</w:t>
            </w:r>
            <w:r>
              <w:rPr>
                <w:rFonts w:ascii="Arial" w:hAnsi="Arial" w:cs="Arial"/>
                <w:b w:val="0"/>
                <w:sz w:val="24"/>
                <w:szCs w:val="24"/>
              </w:rPr>
              <w:t xml:space="preserve"> </w:t>
            </w:r>
            <w:r w:rsidRPr="000D1757">
              <w:rPr>
                <w:rFonts w:ascii="Arial" w:hAnsi="Arial" w:cs="Arial"/>
                <w:b w:val="0"/>
                <w:sz w:val="24"/>
                <w:szCs w:val="24"/>
              </w:rPr>
              <w:t>por el Congreso, a partir de la estructura orgánica</w:t>
            </w:r>
            <w:r>
              <w:rPr>
                <w:rFonts w:ascii="Arial" w:hAnsi="Arial" w:cs="Arial"/>
                <w:b w:val="0"/>
                <w:sz w:val="24"/>
                <w:szCs w:val="24"/>
              </w:rPr>
              <w:t xml:space="preserve"> </w:t>
            </w:r>
            <w:r w:rsidRPr="000D1757">
              <w:rPr>
                <w:rFonts w:ascii="Arial" w:hAnsi="Arial" w:cs="Arial"/>
                <w:b w:val="0"/>
                <w:sz w:val="24"/>
                <w:szCs w:val="24"/>
              </w:rPr>
              <w:t>autorizada, a propuesta presentada por el Presidente, la</w:t>
            </w:r>
            <w:r>
              <w:rPr>
                <w:rFonts w:ascii="Arial" w:hAnsi="Arial" w:cs="Arial"/>
                <w:b w:val="0"/>
                <w:sz w:val="24"/>
                <w:szCs w:val="24"/>
              </w:rPr>
              <w:t xml:space="preserve"> </w:t>
            </w:r>
            <w:r w:rsidRPr="000D1757">
              <w:rPr>
                <w:rFonts w:ascii="Arial" w:hAnsi="Arial" w:cs="Arial"/>
                <w:b w:val="0"/>
                <w:sz w:val="24"/>
                <w:szCs w:val="24"/>
              </w:rPr>
              <w:t>política salarial para regular el sistema de remuneraciones</w:t>
            </w:r>
            <w:r>
              <w:rPr>
                <w:rFonts w:ascii="Arial" w:hAnsi="Arial" w:cs="Arial"/>
                <w:b w:val="0"/>
                <w:sz w:val="24"/>
                <w:szCs w:val="24"/>
              </w:rPr>
              <w:t xml:space="preserve"> </w:t>
            </w:r>
            <w:r w:rsidRPr="000D1757">
              <w:rPr>
                <w:rFonts w:ascii="Arial" w:hAnsi="Arial" w:cs="Arial"/>
                <w:b w:val="0"/>
                <w:sz w:val="24"/>
                <w:szCs w:val="24"/>
              </w:rPr>
              <w:t>y prestaciones del Tribunal, misma que estará</w:t>
            </w:r>
            <w:r>
              <w:rPr>
                <w:rFonts w:ascii="Arial" w:hAnsi="Arial" w:cs="Arial"/>
                <w:b w:val="0"/>
                <w:sz w:val="24"/>
                <w:szCs w:val="24"/>
              </w:rPr>
              <w:t xml:space="preserve"> </w:t>
            </w:r>
            <w:r w:rsidRPr="000D1757">
              <w:rPr>
                <w:rFonts w:ascii="Arial" w:hAnsi="Arial" w:cs="Arial"/>
                <w:b w:val="0"/>
                <w:sz w:val="24"/>
                <w:szCs w:val="24"/>
              </w:rPr>
              <w:t>fundamentada en los principios de austeridad, racionalidad,</w:t>
            </w:r>
            <w:r>
              <w:rPr>
                <w:rFonts w:ascii="Arial" w:hAnsi="Arial" w:cs="Arial"/>
                <w:b w:val="0"/>
                <w:sz w:val="24"/>
                <w:szCs w:val="24"/>
              </w:rPr>
              <w:t xml:space="preserve"> </w:t>
            </w:r>
            <w:r w:rsidRPr="000D1757">
              <w:rPr>
                <w:rFonts w:ascii="Arial" w:hAnsi="Arial" w:cs="Arial"/>
                <w:b w:val="0"/>
                <w:sz w:val="24"/>
                <w:szCs w:val="24"/>
              </w:rPr>
              <w:t>disciplina presupuestal, certeza, equidad, motivación y</w:t>
            </w:r>
            <w:r>
              <w:rPr>
                <w:rFonts w:ascii="Arial" w:hAnsi="Arial" w:cs="Arial"/>
                <w:b w:val="0"/>
                <w:sz w:val="24"/>
                <w:szCs w:val="24"/>
              </w:rPr>
              <w:t xml:space="preserve"> </w:t>
            </w:r>
            <w:r w:rsidRPr="000D1757">
              <w:rPr>
                <w:rFonts w:ascii="Arial" w:hAnsi="Arial" w:cs="Arial"/>
                <w:b w:val="0"/>
                <w:sz w:val="24"/>
                <w:szCs w:val="24"/>
              </w:rPr>
              <w:t>proporcionalidad;</w:t>
            </w:r>
          </w:p>
          <w:p w:rsidR="00D279B8" w:rsidRPr="000D1757" w:rsidRDefault="00D279B8" w:rsidP="000D1757">
            <w:pPr>
              <w:jc w:val="both"/>
              <w:rPr>
                <w:rFonts w:ascii="Arial" w:hAnsi="Arial" w:cs="Arial"/>
                <w:b w:val="0"/>
                <w:sz w:val="24"/>
                <w:szCs w:val="24"/>
              </w:rPr>
            </w:pPr>
          </w:p>
          <w:p w:rsidR="00D279B8" w:rsidRPr="000D1757" w:rsidRDefault="00D279B8" w:rsidP="000D1757">
            <w:pPr>
              <w:jc w:val="both"/>
              <w:rPr>
                <w:rFonts w:ascii="Arial" w:hAnsi="Arial" w:cs="Arial"/>
                <w:b w:val="0"/>
                <w:sz w:val="24"/>
                <w:szCs w:val="24"/>
              </w:rPr>
            </w:pPr>
            <w:r w:rsidRPr="000D1757">
              <w:rPr>
                <w:rFonts w:ascii="Arial" w:hAnsi="Arial" w:cs="Arial"/>
                <w:b w:val="0"/>
                <w:sz w:val="24"/>
                <w:szCs w:val="24"/>
              </w:rPr>
              <w:t>X. Conocer y aprobar el proyecto de presupuesto del</w:t>
            </w:r>
            <w:r>
              <w:rPr>
                <w:rFonts w:ascii="Arial" w:hAnsi="Arial" w:cs="Arial"/>
                <w:b w:val="0"/>
                <w:sz w:val="24"/>
                <w:szCs w:val="24"/>
              </w:rPr>
              <w:t xml:space="preserve"> </w:t>
            </w:r>
            <w:r w:rsidRPr="000D1757">
              <w:rPr>
                <w:rFonts w:ascii="Arial" w:hAnsi="Arial" w:cs="Arial"/>
                <w:b w:val="0"/>
                <w:sz w:val="24"/>
                <w:szCs w:val="24"/>
              </w:rPr>
              <w:t>Tribunal;</w:t>
            </w:r>
          </w:p>
          <w:p w:rsidR="00D279B8"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XI. Designar al Secretario General del Tribunal, a los secretarios</w:t>
            </w:r>
            <w:r>
              <w:rPr>
                <w:rFonts w:ascii="Arial" w:hAnsi="Arial" w:cs="Arial"/>
                <w:b w:val="0"/>
                <w:sz w:val="24"/>
                <w:szCs w:val="24"/>
              </w:rPr>
              <w:t xml:space="preserve"> </w:t>
            </w:r>
            <w:r w:rsidRPr="000D1757">
              <w:rPr>
                <w:rFonts w:ascii="Arial" w:hAnsi="Arial" w:cs="Arial"/>
                <w:b w:val="0"/>
                <w:sz w:val="24"/>
                <w:szCs w:val="24"/>
              </w:rPr>
              <w:t>proyectistas y a los demás funcionarios del Tribunal;</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XII. Conceder a los magistrados electorales licencias temporales</w:t>
            </w:r>
            <w:r>
              <w:rPr>
                <w:rFonts w:ascii="Arial" w:hAnsi="Arial" w:cs="Arial"/>
                <w:b w:val="0"/>
                <w:sz w:val="24"/>
                <w:szCs w:val="24"/>
              </w:rPr>
              <w:t xml:space="preserve"> </w:t>
            </w:r>
            <w:r w:rsidRPr="000D1757">
              <w:rPr>
                <w:rFonts w:ascii="Arial" w:hAnsi="Arial" w:cs="Arial"/>
                <w:b w:val="0"/>
                <w:sz w:val="24"/>
                <w:szCs w:val="24"/>
              </w:rPr>
              <w:t>para ausentarse de su cargo sin goce de sueldo;</w:t>
            </w:r>
          </w:p>
          <w:p w:rsidR="00D279B8" w:rsidRPr="000D1757" w:rsidRDefault="00D279B8" w:rsidP="000D1757">
            <w:pPr>
              <w:jc w:val="both"/>
              <w:rPr>
                <w:rFonts w:ascii="Arial" w:hAnsi="Arial" w:cs="Arial"/>
                <w:b w:val="0"/>
                <w:sz w:val="24"/>
                <w:szCs w:val="24"/>
              </w:rPr>
            </w:pPr>
          </w:p>
          <w:p w:rsidR="00D279B8" w:rsidRDefault="00D279B8" w:rsidP="000D1757">
            <w:pPr>
              <w:jc w:val="both"/>
              <w:rPr>
                <w:rFonts w:ascii="Arial" w:hAnsi="Arial" w:cs="Arial"/>
                <w:b w:val="0"/>
                <w:sz w:val="24"/>
                <w:szCs w:val="24"/>
              </w:rPr>
            </w:pPr>
            <w:r w:rsidRPr="000D1757">
              <w:rPr>
                <w:rFonts w:ascii="Arial" w:hAnsi="Arial" w:cs="Arial"/>
                <w:b w:val="0"/>
                <w:sz w:val="24"/>
                <w:szCs w:val="24"/>
              </w:rPr>
              <w:t>XIII. Resolver de manera definitiva los medios de impugnación</w:t>
            </w:r>
            <w:r>
              <w:rPr>
                <w:rFonts w:ascii="Arial" w:hAnsi="Arial" w:cs="Arial"/>
                <w:b w:val="0"/>
                <w:sz w:val="24"/>
                <w:szCs w:val="24"/>
              </w:rPr>
              <w:t xml:space="preserve"> </w:t>
            </w:r>
            <w:r w:rsidRPr="000D1757">
              <w:rPr>
                <w:rFonts w:ascii="Arial" w:hAnsi="Arial" w:cs="Arial"/>
                <w:b w:val="0"/>
                <w:sz w:val="24"/>
                <w:szCs w:val="24"/>
              </w:rPr>
              <w:t>de su competencia; y los procedimientos sancionadores</w:t>
            </w:r>
            <w:r>
              <w:rPr>
                <w:rFonts w:ascii="Arial" w:hAnsi="Arial" w:cs="Arial"/>
                <w:b w:val="0"/>
                <w:sz w:val="24"/>
                <w:szCs w:val="24"/>
              </w:rPr>
              <w:t xml:space="preserve"> </w:t>
            </w:r>
            <w:r w:rsidRPr="000D1757">
              <w:rPr>
                <w:rFonts w:ascii="Arial" w:hAnsi="Arial" w:cs="Arial"/>
                <w:b w:val="0"/>
                <w:sz w:val="24"/>
                <w:szCs w:val="24"/>
              </w:rPr>
              <w:t>que le sean remitidos por el Instituto; y,</w:t>
            </w:r>
          </w:p>
          <w:p w:rsidR="00D279B8" w:rsidRDefault="00D279B8" w:rsidP="000D1757">
            <w:pPr>
              <w:jc w:val="both"/>
              <w:rPr>
                <w:rFonts w:ascii="Arial" w:hAnsi="Arial" w:cs="Arial"/>
                <w:b w:val="0"/>
                <w:sz w:val="24"/>
                <w:szCs w:val="24"/>
              </w:rPr>
            </w:pPr>
          </w:p>
          <w:p w:rsidR="00D279B8" w:rsidRPr="00D279B8" w:rsidRDefault="00D279B8" w:rsidP="006A206C">
            <w:pPr>
              <w:jc w:val="both"/>
              <w:rPr>
                <w:rFonts w:ascii="Arial" w:hAnsi="Arial" w:cs="Arial"/>
                <w:sz w:val="24"/>
                <w:szCs w:val="24"/>
              </w:rPr>
            </w:pPr>
            <w:r w:rsidRPr="000D1757">
              <w:rPr>
                <w:rFonts w:ascii="Arial" w:hAnsi="Arial" w:cs="Arial"/>
                <w:b w:val="0"/>
                <w:sz w:val="24"/>
                <w:szCs w:val="24"/>
              </w:rPr>
              <w:t>XIV. Las demás que le otorgue el presente Código y otras</w:t>
            </w:r>
            <w:r>
              <w:rPr>
                <w:rFonts w:ascii="Arial" w:hAnsi="Arial" w:cs="Arial"/>
                <w:b w:val="0"/>
                <w:sz w:val="24"/>
                <w:szCs w:val="24"/>
              </w:rPr>
              <w:t xml:space="preserve"> </w:t>
            </w:r>
            <w:r w:rsidRPr="000D1757">
              <w:rPr>
                <w:rFonts w:ascii="Arial" w:hAnsi="Arial" w:cs="Arial"/>
                <w:b w:val="0"/>
                <w:sz w:val="24"/>
                <w:szCs w:val="24"/>
              </w:rPr>
              <w:t>disposiciones legales.</w:t>
            </w:r>
            <w:r w:rsidRPr="000D1757">
              <w:rPr>
                <w:rFonts w:ascii="Arial" w:eastAsia="Times New Roman" w:hAnsi="Arial" w:cs="Arial"/>
                <w:b w:val="0"/>
                <w:color w:val="000000"/>
                <w:sz w:val="24"/>
                <w:szCs w:val="24"/>
                <w:lang w:eastAsia="es-MX"/>
              </w:rPr>
              <w:t xml:space="preserve"> </w:t>
            </w:r>
          </w:p>
        </w:tc>
      </w:tr>
    </w:tbl>
    <w:p w:rsidR="001053B0" w:rsidRPr="001053B0" w:rsidRDefault="001053B0">
      <w:pPr>
        <w:rPr>
          <w:sz w:val="2"/>
        </w:rPr>
      </w:pPr>
    </w:p>
    <w:tbl>
      <w:tblPr>
        <w:tblStyle w:val="Tablaconcuadrcula1"/>
        <w:tblW w:w="10485" w:type="dxa"/>
        <w:tblLook w:val="04A0" w:firstRow="1" w:lastRow="0" w:firstColumn="1" w:lastColumn="0" w:noHBand="0" w:noVBand="1"/>
      </w:tblPr>
      <w:tblGrid>
        <w:gridCol w:w="2547"/>
        <w:gridCol w:w="2551"/>
        <w:gridCol w:w="5387"/>
      </w:tblGrid>
      <w:tr w:rsidR="0067329D" w:rsidRPr="001900A5" w:rsidTr="006A206C">
        <w:tc>
          <w:tcPr>
            <w:tcW w:w="254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Fecha de actualización de la información</w:t>
            </w:r>
          </w:p>
        </w:tc>
        <w:tc>
          <w:tcPr>
            <w:tcW w:w="2551"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Área productora de información</w:t>
            </w:r>
          </w:p>
        </w:tc>
        <w:tc>
          <w:tcPr>
            <w:tcW w:w="538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Responsable de acceso a la información pública</w:t>
            </w:r>
          </w:p>
        </w:tc>
      </w:tr>
      <w:tr w:rsidR="0067329D" w:rsidRPr="001900A5" w:rsidTr="006A206C">
        <w:tc>
          <w:tcPr>
            <w:tcW w:w="2547" w:type="dxa"/>
          </w:tcPr>
          <w:p w:rsidR="0067329D" w:rsidRPr="001900A5" w:rsidRDefault="0061133B" w:rsidP="00C54E0B">
            <w:pPr>
              <w:jc w:val="center"/>
              <w:rPr>
                <w:rFonts w:ascii="Arial" w:hAnsi="Arial" w:cs="Arial"/>
                <w:sz w:val="20"/>
                <w:szCs w:val="24"/>
              </w:rPr>
            </w:pPr>
            <w:r w:rsidRPr="00E116DC">
              <w:rPr>
                <w:rFonts w:ascii="Arial" w:hAnsi="Arial" w:cs="Arial"/>
                <w:sz w:val="20"/>
                <w:szCs w:val="24"/>
              </w:rPr>
              <w:t>31</w:t>
            </w:r>
            <w:r w:rsidR="0067329D" w:rsidRPr="00E116DC">
              <w:rPr>
                <w:rFonts w:ascii="Arial" w:hAnsi="Arial" w:cs="Arial"/>
                <w:sz w:val="20"/>
                <w:szCs w:val="24"/>
              </w:rPr>
              <w:t>/</w:t>
            </w:r>
            <w:r w:rsidR="00EE7BC0">
              <w:rPr>
                <w:rFonts w:ascii="Arial" w:hAnsi="Arial" w:cs="Arial"/>
                <w:sz w:val="20"/>
                <w:szCs w:val="24"/>
              </w:rPr>
              <w:t>0</w:t>
            </w:r>
            <w:r w:rsidR="00C54E0B">
              <w:rPr>
                <w:rFonts w:ascii="Arial" w:hAnsi="Arial" w:cs="Arial"/>
                <w:sz w:val="20"/>
                <w:szCs w:val="24"/>
              </w:rPr>
              <w:t>3</w:t>
            </w:r>
            <w:bookmarkStart w:id="0" w:name="_GoBack"/>
            <w:bookmarkEnd w:id="0"/>
            <w:r w:rsidR="0067329D" w:rsidRPr="00E116DC">
              <w:rPr>
                <w:rFonts w:ascii="Arial" w:hAnsi="Arial" w:cs="Arial"/>
                <w:sz w:val="20"/>
                <w:szCs w:val="24"/>
              </w:rPr>
              <w:t>/201</w:t>
            </w:r>
            <w:r w:rsidR="00EE7BC0">
              <w:rPr>
                <w:rFonts w:ascii="Arial" w:hAnsi="Arial" w:cs="Arial"/>
                <w:sz w:val="20"/>
                <w:szCs w:val="24"/>
              </w:rPr>
              <w:t>6</w:t>
            </w:r>
          </w:p>
        </w:tc>
        <w:tc>
          <w:tcPr>
            <w:tcW w:w="2551" w:type="dxa"/>
          </w:tcPr>
          <w:p w:rsidR="0067329D" w:rsidRPr="001900A5" w:rsidRDefault="00274667" w:rsidP="00575E4A">
            <w:pPr>
              <w:jc w:val="center"/>
              <w:rPr>
                <w:rFonts w:ascii="Arial" w:hAnsi="Arial" w:cs="Arial"/>
                <w:sz w:val="20"/>
                <w:szCs w:val="24"/>
              </w:rPr>
            </w:pPr>
            <w:r>
              <w:rPr>
                <w:rFonts w:ascii="Arial" w:hAnsi="Arial" w:cs="Arial"/>
                <w:sz w:val="20"/>
                <w:szCs w:val="24"/>
              </w:rPr>
              <w:t>Presidencia</w:t>
            </w:r>
          </w:p>
        </w:tc>
        <w:tc>
          <w:tcPr>
            <w:tcW w:w="5387" w:type="dxa"/>
          </w:tcPr>
          <w:p w:rsidR="0067329D" w:rsidRPr="001900A5" w:rsidRDefault="0067329D" w:rsidP="00575E4A">
            <w:pPr>
              <w:jc w:val="center"/>
              <w:rPr>
                <w:sz w:val="20"/>
              </w:rPr>
            </w:pPr>
            <w:r w:rsidRPr="001900A5">
              <w:rPr>
                <w:rFonts w:ascii="Arial" w:hAnsi="Arial" w:cs="Arial"/>
                <w:sz w:val="20"/>
                <w:szCs w:val="24"/>
              </w:rPr>
              <w:t>C. Clemente Sánchez Vázquez,</w:t>
            </w:r>
            <w:r w:rsidRPr="001900A5">
              <w:rPr>
                <w:sz w:val="20"/>
              </w:rPr>
              <w:t xml:space="preserve"> </w:t>
            </w:r>
          </w:p>
          <w:p w:rsidR="0067329D" w:rsidRPr="001900A5" w:rsidRDefault="00034FA8" w:rsidP="00575E4A">
            <w:pPr>
              <w:jc w:val="center"/>
              <w:rPr>
                <w:rFonts w:ascii="Arial" w:hAnsi="Arial" w:cs="Arial"/>
                <w:sz w:val="20"/>
                <w:szCs w:val="24"/>
              </w:rPr>
            </w:pPr>
            <w:r>
              <w:rPr>
                <w:rFonts w:ascii="Arial" w:hAnsi="Arial" w:cs="Arial"/>
                <w:sz w:val="20"/>
                <w:szCs w:val="24"/>
              </w:rPr>
              <w:t>E</w:t>
            </w:r>
            <w:r w:rsidR="0067329D" w:rsidRPr="001900A5">
              <w:rPr>
                <w:rFonts w:ascii="Arial" w:hAnsi="Arial" w:cs="Arial"/>
                <w:sz w:val="20"/>
                <w:szCs w:val="24"/>
              </w:rPr>
              <w:t>ncargado de la Coordinación de Comunicación Social en funciones de Unidad de Acceso Responsable de la Información conforme a lo dispuesto en el Reglamento del Tribunal Electoral del Estado de Michoacán en Materia de Transparencia y Acceso a la Información Pública.</w:t>
            </w:r>
          </w:p>
        </w:tc>
      </w:tr>
    </w:tbl>
    <w:p w:rsidR="001D1C54" w:rsidRPr="00DE6CAE" w:rsidRDefault="001D1C54" w:rsidP="007A79DE">
      <w:pPr>
        <w:rPr>
          <w:rFonts w:ascii="Arial" w:hAnsi="Arial" w:cs="Arial"/>
          <w:sz w:val="24"/>
          <w:szCs w:val="24"/>
        </w:rPr>
      </w:pPr>
    </w:p>
    <w:sectPr w:rsidR="001D1C54" w:rsidRPr="00DE6CAE" w:rsidSect="001900A5">
      <w:footerReference w:type="default" r:id="rId8"/>
      <w:headerReference w:type="first" r:id="rId9"/>
      <w:pgSz w:w="12240" w:h="20160" w:code="5"/>
      <w:pgMar w:top="910" w:right="851" w:bottom="1276" w:left="851" w:header="709" w:footer="146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FB" w:rsidRDefault="00740DFB" w:rsidP="004B023F">
      <w:pPr>
        <w:spacing w:after="0" w:line="240" w:lineRule="auto"/>
      </w:pPr>
      <w:r>
        <w:separator/>
      </w:r>
    </w:p>
  </w:endnote>
  <w:endnote w:type="continuationSeparator" w:id="0">
    <w:p w:rsidR="00740DFB" w:rsidRDefault="00740DFB" w:rsidP="004B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160"/>
      <w:docPartObj>
        <w:docPartGallery w:val="Page Numbers (Bottom of Page)"/>
        <w:docPartUnique/>
      </w:docPartObj>
    </w:sdtPr>
    <w:sdtEndPr/>
    <w:sdtContent>
      <w:p w:rsidR="00523987" w:rsidRDefault="00523987">
        <w:pPr>
          <w:pStyle w:val="Piedepgina"/>
          <w:jc w:val="right"/>
        </w:pPr>
        <w:r>
          <w:fldChar w:fldCharType="begin"/>
        </w:r>
        <w:r>
          <w:instrText>PAGE   \* MERGEFORMAT</w:instrText>
        </w:r>
        <w:r>
          <w:fldChar w:fldCharType="separate"/>
        </w:r>
        <w:r w:rsidR="00C54E0B" w:rsidRPr="00C54E0B">
          <w:rPr>
            <w:noProof/>
            <w:lang w:val="es-ES"/>
          </w:rPr>
          <w:t>2</w:t>
        </w:r>
        <w:r>
          <w:fldChar w:fldCharType="end"/>
        </w:r>
      </w:p>
    </w:sdtContent>
  </w:sdt>
  <w:p w:rsidR="00523987" w:rsidRDefault="00523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FB" w:rsidRDefault="00740DFB" w:rsidP="004B023F">
      <w:pPr>
        <w:spacing w:after="0" w:line="240" w:lineRule="auto"/>
      </w:pPr>
      <w:r>
        <w:separator/>
      </w:r>
    </w:p>
  </w:footnote>
  <w:footnote w:type="continuationSeparator" w:id="0">
    <w:p w:rsidR="00740DFB" w:rsidRDefault="00740DFB" w:rsidP="004B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3F" w:rsidRDefault="00C716F3">
    <w:pPr>
      <w:pStyle w:val="Encabezado"/>
    </w:pPr>
    <w:r>
      <w:rPr>
        <w:noProof/>
        <w:lang w:eastAsia="es-MX"/>
      </w:rPr>
      <mc:AlternateContent>
        <mc:Choice Requires="wps">
          <w:drawing>
            <wp:anchor distT="45720" distB="45720" distL="114300" distR="114300" simplePos="0" relativeHeight="251659264" behindDoc="0" locked="0" layoutInCell="1" allowOverlap="1" wp14:anchorId="66B6B043" wp14:editId="0994E80A">
              <wp:simplePos x="0" y="0"/>
              <wp:positionH relativeFrom="margin">
                <wp:posOffset>2136140</wp:posOffset>
              </wp:positionH>
              <wp:positionV relativeFrom="paragraph">
                <wp:posOffset>12700</wp:posOffset>
              </wp:positionV>
              <wp:extent cx="4631055" cy="714375"/>
              <wp:effectExtent l="0" t="0" r="1714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714375"/>
                      </a:xfrm>
                      <a:prstGeom prst="rect">
                        <a:avLst/>
                      </a:prstGeom>
                      <a:solidFill>
                        <a:srgbClr val="FFFFFF"/>
                      </a:solidFill>
                      <a:ln w="9525">
                        <a:solidFill>
                          <a:schemeClr val="bg1"/>
                        </a:solidFill>
                        <a:miter lim="800000"/>
                        <a:headEnd/>
                        <a:tailEnd/>
                      </a:ln>
                    </wps:spPr>
                    <wps:txb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B043" id="_x0000_t202" coordsize="21600,21600" o:spt="202" path="m,l,21600r21600,l21600,xe">
              <v:stroke joinstyle="miter"/>
              <v:path gradientshapeok="t" o:connecttype="rect"/>
            </v:shapetype>
            <v:shape id="Cuadro de texto 2" o:spid="_x0000_s1026" type="#_x0000_t202" style="position:absolute;margin-left:168.2pt;margin-top:1pt;width:364.6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MFMQIAAEw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" strokecolor="white [3212]">
              <v:textbo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v:textbox>
              <w10:wrap type="square" anchorx="margin"/>
            </v:shape>
          </w:pict>
        </mc:Fallback>
      </mc:AlternateContent>
    </w:r>
    <w:r>
      <w:rPr>
        <w:noProof/>
        <w:lang w:eastAsia="es-MX"/>
      </w:rPr>
      <w:drawing>
        <wp:inline distT="0" distB="0" distL="0" distR="0" wp14:anchorId="2034986C" wp14:editId="1CC8225B">
          <wp:extent cx="1938655" cy="57912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C94"/>
    <w:multiLevelType w:val="hybridMultilevel"/>
    <w:tmpl w:val="1220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9C747B"/>
    <w:multiLevelType w:val="hybridMultilevel"/>
    <w:tmpl w:val="E72E6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AC7A0F"/>
    <w:multiLevelType w:val="hybridMultilevel"/>
    <w:tmpl w:val="B824B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E95587"/>
    <w:multiLevelType w:val="hybridMultilevel"/>
    <w:tmpl w:val="D81A0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E9"/>
    <w:rsid w:val="000171DB"/>
    <w:rsid w:val="00025DAB"/>
    <w:rsid w:val="00034FA8"/>
    <w:rsid w:val="00036B24"/>
    <w:rsid w:val="00091DC4"/>
    <w:rsid w:val="0009436E"/>
    <w:rsid w:val="00096728"/>
    <w:rsid w:val="00096776"/>
    <w:rsid w:val="000A6C4F"/>
    <w:rsid w:val="000D1757"/>
    <w:rsid w:val="000F77EB"/>
    <w:rsid w:val="001053B0"/>
    <w:rsid w:val="00137765"/>
    <w:rsid w:val="00152776"/>
    <w:rsid w:val="001570F6"/>
    <w:rsid w:val="00160FD0"/>
    <w:rsid w:val="001709DA"/>
    <w:rsid w:val="0017576E"/>
    <w:rsid w:val="00180B59"/>
    <w:rsid w:val="0018372C"/>
    <w:rsid w:val="001879E2"/>
    <w:rsid w:val="001900A5"/>
    <w:rsid w:val="00193289"/>
    <w:rsid w:val="001D1C54"/>
    <w:rsid w:val="002072EF"/>
    <w:rsid w:val="00243CE0"/>
    <w:rsid w:val="00274667"/>
    <w:rsid w:val="002A170E"/>
    <w:rsid w:val="002A2BDF"/>
    <w:rsid w:val="002D4677"/>
    <w:rsid w:val="0031656D"/>
    <w:rsid w:val="00322ACD"/>
    <w:rsid w:val="003230AA"/>
    <w:rsid w:val="003416CA"/>
    <w:rsid w:val="0035041E"/>
    <w:rsid w:val="00352584"/>
    <w:rsid w:val="00376FE5"/>
    <w:rsid w:val="00377882"/>
    <w:rsid w:val="00380233"/>
    <w:rsid w:val="003803C1"/>
    <w:rsid w:val="003E414C"/>
    <w:rsid w:val="004620BC"/>
    <w:rsid w:val="00466BE9"/>
    <w:rsid w:val="004B023F"/>
    <w:rsid w:val="004B383A"/>
    <w:rsid w:val="005169A1"/>
    <w:rsid w:val="00523987"/>
    <w:rsid w:val="00547840"/>
    <w:rsid w:val="00547E6C"/>
    <w:rsid w:val="005A0D34"/>
    <w:rsid w:val="005B08E6"/>
    <w:rsid w:val="005E7921"/>
    <w:rsid w:val="0061133B"/>
    <w:rsid w:val="00612155"/>
    <w:rsid w:val="00645530"/>
    <w:rsid w:val="006520A8"/>
    <w:rsid w:val="00663875"/>
    <w:rsid w:val="0067329D"/>
    <w:rsid w:val="006A206C"/>
    <w:rsid w:val="006C4A57"/>
    <w:rsid w:val="006F43C9"/>
    <w:rsid w:val="006F5028"/>
    <w:rsid w:val="00740DFB"/>
    <w:rsid w:val="00783BA6"/>
    <w:rsid w:val="007A79DE"/>
    <w:rsid w:val="007E19A0"/>
    <w:rsid w:val="00822C83"/>
    <w:rsid w:val="00874437"/>
    <w:rsid w:val="00877CAD"/>
    <w:rsid w:val="008930D3"/>
    <w:rsid w:val="008C1EF0"/>
    <w:rsid w:val="0098358F"/>
    <w:rsid w:val="009B0BB3"/>
    <w:rsid w:val="009D6FB7"/>
    <w:rsid w:val="009F7D4E"/>
    <w:rsid w:val="00A4283E"/>
    <w:rsid w:val="00A60F98"/>
    <w:rsid w:val="00A96A83"/>
    <w:rsid w:val="00AD00D7"/>
    <w:rsid w:val="00AD131B"/>
    <w:rsid w:val="00AF06B4"/>
    <w:rsid w:val="00B15119"/>
    <w:rsid w:val="00B513AD"/>
    <w:rsid w:val="00B80318"/>
    <w:rsid w:val="00B84820"/>
    <w:rsid w:val="00BB78C8"/>
    <w:rsid w:val="00BC1388"/>
    <w:rsid w:val="00BC6473"/>
    <w:rsid w:val="00BE4C18"/>
    <w:rsid w:val="00BF0F16"/>
    <w:rsid w:val="00C016DA"/>
    <w:rsid w:val="00C12F95"/>
    <w:rsid w:val="00C26813"/>
    <w:rsid w:val="00C3611D"/>
    <w:rsid w:val="00C420D6"/>
    <w:rsid w:val="00C502C4"/>
    <w:rsid w:val="00C54E0B"/>
    <w:rsid w:val="00C716F3"/>
    <w:rsid w:val="00C76CF4"/>
    <w:rsid w:val="00CA5C42"/>
    <w:rsid w:val="00CF0004"/>
    <w:rsid w:val="00D279B8"/>
    <w:rsid w:val="00D60A9B"/>
    <w:rsid w:val="00DD235F"/>
    <w:rsid w:val="00DE6CAE"/>
    <w:rsid w:val="00DF28E9"/>
    <w:rsid w:val="00E116DC"/>
    <w:rsid w:val="00E157A6"/>
    <w:rsid w:val="00E203E0"/>
    <w:rsid w:val="00E209C7"/>
    <w:rsid w:val="00E876DC"/>
    <w:rsid w:val="00E920C5"/>
    <w:rsid w:val="00EA1AB2"/>
    <w:rsid w:val="00EE7BC0"/>
    <w:rsid w:val="00EF3420"/>
    <w:rsid w:val="00F07B7E"/>
    <w:rsid w:val="00F316DA"/>
    <w:rsid w:val="00F430CD"/>
    <w:rsid w:val="00F43D0E"/>
    <w:rsid w:val="00F9553E"/>
    <w:rsid w:val="00FD0864"/>
    <w:rsid w:val="00FF7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75DD1-9A8B-4924-96D6-790EA349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BE9"/>
    <w:pPr>
      <w:ind w:left="720"/>
      <w:contextualSpacing/>
    </w:pPr>
  </w:style>
  <w:style w:type="table" w:styleId="Tablaconcuadrcula">
    <w:name w:val="Table Grid"/>
    <w:basedOn w:val="Tablanormal"/>
    <w:uiPriority w:val="39"/>
    <w:rsid w:val="00466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6728"/>
    <w:rPr>
      <w:color w:val="0563C1" w:themeColor="hyperlink"/>
      <w:u w:val="single"/>
    </w:rPr>
  </w:style>
  <w:style w:type="character" w:styleId="Hipervnculovisitado">
    <w:name w:val="FollowedHyperlink"/>
    <w:basedOn w:val="Fuentedeprrafopredeter"/>
    <w:uiPriority w:val="99"/>
    <w:semiHidden/>
    <w:unhideWhenUsed/>
    <w:rsid w:val="00A96A83"/>
    <w:rPr>
      <w:color w:val="954F72" w:themeColor="followedHyperlink"/>
      <w:u w:val="single"/>
    </w:rPr>
  </w:style>
  <w:style w:type="character" w:customStyle="1" w:styleId="apple-converted-space">
    <w:name w:val="apple-converted-space"/>
    <w:basedOn w:val="Fuentedeprrafopredeter"/>
    <w:rsid w:val="00C12F95"/>
  </w:style>
  <w:style w:type="table" w:styleId="Tabladecuadrcula4-nfasis6">
    <w:name w:val="Grid Table 4 Accent 6"/>
    <w:basedOn w:val="Tablanormal"/>
    <w:uiPriority w:val="49"/>
    <w:rsid w:val="00036B2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B0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23F"/>
  </w:style>
  <w:style w:type="paragraph" w:styleId="Piedepgina">
    <w:name w:val="footer"/>
    <w:basedOn w:val="Normal"/>
    <w:link w:val="PiedepginaCar"/>
    <w:uiPriority w:val="99"/>
    <w:unhideWhenUsed/>
    <w:rsid w:val="004B0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23F"/>
  </w:style>
  <w:style w:type="table" w:customStyle="1" w:styleId="Tablaconcuadrcula1">
    <w:name w:val="Tabla con cuadrícula1"/>
    <w:basedOn w:val="Tablanormal"/>
    <w:next w:val="Tablaconcuadrcula"/>
    <w:uiPriority w:val="39"/>
    <w:rsid w:val="00673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8684">
      <w:bodyDiv w:val="1"/>
      <w:marLeft w:val="0"/>
      <w:marRight w:val="0"/>
      <w:marTop w:val="0"/>
      <w:marBottom w:val="0"/>
      <w:divBdr>
        <w:top w:val="none" w:sz="0" w:space="0" w:color="auto"/>
        <w:left w:val="none" w:sz="0" w:space="0" w:color="auto"/>
        <w:bottom w:val="none" w:sz="0" w:space="0" w:color="auto"/>
        <w:right w:val="none" w:sz="0" w:space="0" w:color="auto"/>
      </w:divBdr>
    </w:div>
    <w:div w:id="737092344">
      <w:bodyDiv w:val="1"/>
      <w:marLeft w:val="0"/>
      <w:marRight w:val="0"/>
      <w:marTop w:val="0"/>
      <w:marBottom w:val="0"/>
      <w:divBdr>
        <w:top w:val="none" w:sz="0" w:space="0" w:color="auto"/>
        <w:left w:val="none" w:sz="0" w:space="0" w:color="auto"/>
        <w:bottom w:val="none" w:sz="0" w:space="0" w:color="auto"/>
        <w:right w:val="none" w:sz="0" w:space="0" w:color="auto"/>
      </w:divBdr>
    </w:div>
    <w:div w:id="928850675">
      <w:bodyDiv w:val="1"/>
      <w:marLeft w:val="0"/>
      <w:marRight w:val="0"/>
      <w:marTop w:val="0"/>
      <w:marBottom w:val="0"/>
      <w:divBdr>
        <w:top w:val="none" w:sz="0" w:space="0" w:color="auto"/>
        <w:left w:val="none" w:sz="0" w:space="0" w:color="auto"/>
        <w:bottom w:val="none" w:sz="0" w:space="0" w:color="auto"/>
        <w:right w:val="none" w:sz="0" w:space="0" w:color="auto"/>
      </w:divBdr>
    </w:div>
    <w:div w:id="20643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65B6-6E23-4737-BA23-F82D4819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nacho</cp:lastModifiedBy>
  <cp:revision>3</cp:revision>
  <dcterms:created xsi:type="dcterms:W3CDTF">2016-05-12T15:37:00Z</dcterms:created>
  <dcterms:modified xsi:type="dcterms:W3CDTF">2016-05-12T15:54:00Z</dcterms:modified>
</cp:coreProperties>
</file>